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3716CA">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5667" w:type="pct"/>
        <w:tblInd w:w="-60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2362"/>
        <w:gridCol w:w="1391"/>
        <w:gridCol w:w="6112"/>
      </w:tblGrid>
      <w:tr w:rsidR="002B5F0E" w:rsidTr="00CB36F2">
        <w:trPr>
          <w:cantSplit/>
          <w:trHeight w:val="1004"/>
          <w:tblHeader/>
        </w:trPr>
        <w:tc>
          <w:tcPr>
            <w:tcW w:w="119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705"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98"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CB36F2">
        <w:trPr>
          <w:cantSplit/>
          <w:trHeight w:val="1004"/>
          <w:tblHeader/>
        </w:trPr>
        <w:tc>
          <w:tcPr>
            <w:tcW w:w="1197"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705"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98"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705"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CB36F2" w:rsidRDefault="0099358F" w:rsidP="00CB36F2">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bookmarkStart w:id="13" w:name="_heading=h.szpgyjbi3bx9" w:colFirst="0" w:colLast="0"/>
      <w:bookmarkEnd w:id="13"/>
    </w:p>
    <w:p w:rsidR="002B5F0E" w:rsidRPr="00CB36F2" w:rsidRDefault="0099358F" w:rsidP="00CB36F2">
      <w:pPr>
        <w:pStyle w:val="Ttulo1"/>
        <w:ind w:left="0" w:firstLine="0"/>
        <w:rPr>
          <w:rFonts w:ascii="Calibri" w:eastAsia="Arial" w:hAnsi="Calibri" w:cs="Calibri"/>
        </w:rPr>
      </w:pPr>
      <w:r w:rsidRPr="00CB36F2">
        <w:rPr>
          <w:rFonts w:ascii="Calibri" w:eastAsia="Arial" w:hAnsi="Calibri" w:cs="Calibri"/>
          <w:color w:val="000000"/>
          <w:sz w:val="26"/>
          <w:szCs w:val="26"/>
        </w:rPr>
        <w:t>5.1. Casos de Uso</w:t>
      </w:r>
    </w:p>
    <w:p w:rsidR="002B5F0E" w:rsidRPr="00DF0280" w:rsidRDefault="00CB36F2">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r w:rsidRPr="00A0163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8.6pt;margin-top:8.9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5F47E7" w:rsidP="00DA7D7B">
      <w:pPr>
        <w:pStyle w:val="normal0"/>
        <w:rPr>
          <w:b/>
        </w:rPr>
      </w:pPr>
      <w:bookmarkStart w:id="33" w:name="_heading=h.pb2ip5d1rmw1" w:colFirst="0" w:colLast="0"/>
      <w:bookmarkStart w:id="34" w:name="_heading=h.mafw534vet4u" w:colFirst="0" w:colLast="0"/>
      <w:bookmarkEnd w:id="33"/>
      <w:bookmarkEnd w:id="34"/>
      <w:r>
        <w:rPr>
          <w:rFonts w:eastAsia="Arial"/>
          <w:b/>
          <w:color w:val="000000"/>
          <w:sz w:val="26"/>
          <w:szCs w:val="26"/>
        </w:rPr>
        <w:lastRenderedPageBreak/>
        <w:t>5.3</w:t>
      </w:r>
      <w:r w:rsidR="003B04E3" w:rsidRPr="00DA7D7B">
        <w:rPr>
          <w:rFonts w:eastAsia="Arial"/>
          <w:b/>
          <w:color w:val="000000"/>
          <w:sz w:val="26"/>
          <w:szCs w:val="26"/>
        </w:rPr>
        <w:t>. Modelo Entidad-Relación y relacional</w:t>
      </w:r>
    </w:p>
    <w:p w:rsidR="002B5F0E" w:rsidRPr="00DA7D7B" w:rsidRDefault="00A01634">
      <w:pPr>
        <w:pStyle w:val="normal0"/>
        <w:rPr>
          <w:rFonts w:ascii="Arial" w:eastAsia="Arial" w:hAnsi="Arial" w:cs="Arial"/>
          <w:b/>
        </w:rPr>
      </w:pPr>
      <w:r w:rsidRPr="00A01634">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5F47E7"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p w:rsidR="005F47E7" w:rsidRDefault="005F47E7" w:rsidP="005F47E7">
      <w:pPr>
        <w:pStyle w:val="normal0"/>
        <w:rPr>
          <w:color w:val="041C2C"/>
          <w:sz w:val="32"/>
          <w:szCs w:val="32"/>
        </w:rPr>
      </w:pPr>
      <w: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5F47E7" w:rsidRDefault="00C56D67" w:rsidP="005F47E7">
      <w:pPr>
        <w:pStyle w:val="normal0"/>
      </w:pPr>
      <w:r>
        <w:t>Requesitos mínimos de hardware y software:</w:t>
      </w:r>
    </w:p>
    <w:p w:rsidR="00C56D67" w:rsidRPr="00C56D67" w:rsidRDefault="00C56D67" w:rsidP="00C56D67">
      <w:pPr>
        <w:pStyle w:val="NormalWeb"/>
        <w:numPr>
          <w:ilvl w:val="0"/>
          <w:numId w:val="13"/>
        </w:numPr>
        <w:spacing w:before="240" w:beforeAutospacing="0" w:after="240" w:afterAutospacing="0"/>
        <w:jc w:val="both"/>
        <w:textAlignment w:val="baseline"/>
        <w:rPr>
          <w:rFonts w:ascii="Calibri" w:hAnsi="Calibri" w:cs="Calibri"/>
          <w:color w:val="000000"/>
          <w:sz w:val="22"/>
          <w:szCs w:val="22"/>
        </w:rPr>
      </w:pPr>
      <w:r w:rsidRPr="00C56D67">
        <w:rPr>
          <w:rFonts w:ascii="Calibri" w:hAnsi="Calibri" w:cs="Calibri"/>
          <w:color w:val="000000"/>
          <w:sz w:val="22"/>
          <w:szCs w:val="22"/>
        </w:rPr>
        <w:t>Hardware: Se recomienda que el dispositivo anfitrión cuente con un mínimo de 4 GB de RAM y 10 GB de almacenamiento libre.</w:t>
      </w:r>
    </w:p>
    <w:p w:rsidR="00C56D67" w:rsidRPr="00C56D67" w:rsidRDefault="00C56D67" w:rsidP="00C56D67">
      <w:pPr>
        <w:pStyle w:val="normal0"/>
        <w:numPr>
          <w:ilvl w:val="0"/>
          <w:numId w:val="13"/>
        </w:numPr>
        <w:jc w:val="both"/>
      </w:pPr>
      <w:r w:rsidRPr="00C56D67">
        <w:rPr>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C56D67" w:rsidRPr="00C56D67" w:rsidRDefault="00C56D67" w:rsidP="00C56D67">
      <w:pPr>
        <w:pStyle w:val="normal0"/>
        <w:numPr>
          <w:ilvl w:val="0"/>
          <w:numId w:val="13"/>
        </w:numPr>
        <w:jc w:val="both"/>
      </w:pPr>
      <w:r w:rsidRPr="00C56D67">
        <w:rPr>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A44AEC" w:rsidRDefault="00A44AEC" w:rsidP="00C56D67">
      <w:pPr>
        <w:pStyle w:val="normal0"/>
        <w:jc w:val="both"/>
        <w:rPr>
          <w:color w:val="000000"/>
        </w:rPr>
      </w:pPr>
      <w:r>
        <w:rPr>
          <w:color w:val="000000"/>
        </w:rPr>
        <w:t xml:space="preserve">Para la preparación del </w:t>
      </w:r>
      <w:r w:rsidR="00B31AF1">
        <w:rPr>
          <w:color w:val="000000"/>
        </w:rPr>
        <w:t>entorno</w:t>
      </w:r>
      <w:r>
        <w:rPr>
          <w:color w:val="000000"/>
        </w:rPr>
        <w:t xml:space="preserve"> se requieren dos ficheros “.env”, uno para el frontend y otro para el backend. Por ejemplo, en este último la ruta relativa sería ./backend/.env.</w:t>
      </w:r>
    </w:p>
    <w:p w:rsidR="00A44AEC" w:rsidRPr="00A44AEC" w:rsidRDefault="00A44AEC" w:rsidP="00A44AEC">
      <w:pPr>
        <w:pStyle w:val="normal0"/>
        <w:numPr>
          <w:ilvl w:val="0"/>
          <w:numId w:val="13"/>
        </w:numPr>
        <w:jc w:val="both"/>
      </w:pPr>
      <w:r>
        <w:rPr>
          <w:color w:val="000000"/>
        </w:rPr>
        <w:t>Frontend: contiene la variable que guarda la url de esta parte del proyecto.</w:t>
      </w:r>
    </w:p>
    <w:p w:rsidR="00A44AEC" w:rsidRPr="00A44AEC" w:rsidRDefault="00A44AEC" w:rsidP="00A44AEC">
      <w:pPr>
        <w:pStyle w:val="normal0"/>
        <w:numPr>
          <w:ilvl w:val="0"/>
          <w:numId w:val="13"/>
        </w:numPr>
        <w:jc w:val="both"/>
      </w:pPr>
      <w:r>
        <w:rPr>
          <w:color w:val="000000"/>
        </w:rPr>
        <w:t>Backend: contiene el puerto a dicha división.</w:t>
      </w:r>
    </w:p>
    <w:p w:rsidR="00B31AF1" w:rsidRDefault="00B31AF1" w:rsidP="00B31AF1">
      <w:pPr>
        <w:pStyle w:val="NormalWeb"/>
        <w:spacing w:before="240" w:beforeAutospacing="0" w:after="240" w:afterAutospacing="0"/>
        <w:jc w:val="both"/>
        <w:rPr>
          <w:rFonts w:ascii="Calibri" w:hAnsi="Calibri" w:cs="Calibri"/>
          <w:color w:val="000000"/>
          <w:sz w:val="22"/>
          <w:szCs w:val="22"/>
        </w:rPr>
      </w:pPr>
      <w:r w:rsidRPr="00B31AF1">
        <w:rPr>
          <w:rFonts w:ascii="Calibri" w:hAnsi="Calibri" w:cs="Calibri"/>
          <w:color w:val="000000"/>
          <w:sz w:val="22"/>
          <w:szCs w:val="22"/>
        </w:rPr>
        <w:t xml:space="preserve">El despliegue está completamente automatizado. Docker Compose se encargará de conectarse a Docker Hub, descargar las imágenes correspondientes (hacer el </w:t>
      </w:r>
      <w:r w:rsidRPr="00B31AF1">
        <w:rPr>
          <w:rFonts w:ascii="Calibri" w:hAnsi="Calibri" w:cs="Calibri"/>
          <w:i/>
          <w:iCs/>
          <w:color w:val="000000"/>
          <w:sz w:val="22"/>
          <w:szCs w:val="22"/>
        </w:rPr>
        <w:t>pull</w:t>
      </w:r>
      <w:r w:rsidRPr="00B31AF1">
        <w:rPr>
          <w:rFonts w:ascii="Calibri" w:hAnsi="Calibri" w:cs="Calibri"/>
          <w:color w:val="000000"/>
          <w:sz w:val="22"/>
          <w:szCs w:val="22"/>
        </w:rPr>
        <w:t>) y configurar la red y los volúmenes en un solo paso.</w:t>
      </w:r>
      <w:r>
        <w:rPr>
          <w:rFonts w:ascii="Calibri" w:hAnsi="Calibri" w:cs="Calibri"/>
          <w:color w:val="000000"/>
          <w:sz w:val="22"/>
          <w:szCs w:val="22"/>
        </w:rPr>
        <w:t xml:space="preserve"> </w:t>
      </w:r>
    </w:p>
    <w:p w:rsidR="00B31AF1" w:rsidRDefault="00B31AF1" w:rsidP="00B31AF1">
      <w:pPr>
        <w:pStyle w:val="NormalWeb"/>
        <w:spacing w:before="240" w:beforeAutospacing="0" w:after="240" w:afterAutospacing="0"/>
        <w:jc w:val="both"/>
        <w:rPr>
          <w:rFonts w:ascii="Calibri" w:hAnsi="Calibri" w:cs="Calibri"/>
          <w:bCs/>
          <w:color w:val="000000"/>
          <w:sz w:val="22"/>
          <w:szCs w:val="22"/>
        </w:rPr>
      </w:pPr>
      <w:r w:rsidRPr="00B31AF1">
        <w:rPr>
          <w:rFonts w:ascii="Calibri" w:hAnsi="Calibri" w:cs="Calibri"/>
          <w:color w:val="000000"/>
          <w:sz w:val="22"/>
          <w:szCs w:val="22"/>
        </w:rPr>
        <w:t xml:space="preserve">Esto se consigue gracias  a la creación del archivo docker-compose.yml en el mismo directorio. </w:t>
      </w:r>
      <w:r>
        <w:rPr>
          <w:rFonts w:ascii="Calibri" w:hAnsi="Calibri" w:cs="Calibri"/>
          <w:bCs/>
          <w:color w:val="000000"/>
          <w:sz w:val="22"/>
          <w:szCs w:val="22"/>
        </w:rPr>
        <w:t>S</w:t>
      </w:r>
      <w:r w:rsidRPr="00B31AF1">
        <w:rPr>
          <w:rFonts w:ascii="Calibri" w:hAnsi="Calibri" w:cs="Calibri"/>
          <w:bCs/>
          <w:color w:val="000000"/>
          <w:sz w:val="22"/>
          <w:szCs w:val="22"/>
        </w:rPr>
        <w:t>e encargará de descargar automáticamente las imágenes desde Docker Hub y levantar los servicios.</w:t>
      </w:r>
    </w:p>
    <w:p w:rsidR="00B31AF1" w:rsidRPr="00B31AF1" w:rsidRDefault="00B31AF1" w:rsidP="00B31AF1">
      <w:pPr>
        <w:pStyle w:val="NormalWeb"/>
        <w:spacing w:before="240" w:beforeAutospacing="0" w:after="240" w:afterAutospacing="0"/>
        <w:jc w:val="both"/>
        <w:rPr>
          <w:rFonts w:ascii="Calibri" w:hAnsi="Calibri" w:cs="Calibri"/>
        </w:rPr>
      </w:pPr>
      <w:r>
        <w:rPr>
          <w:rFonts w:ascii="Calibri" w:hAnsi="Calibri" w:cs="Calibri"/>
          <w:bCs/>
          <w:color w:val="000000"/>
          <w:sz w:val="22"/>
          <w:szCs w:val="22"/>
        </w:rPr>
        <w:t>El comando a ejecutar será docker compose up -d.</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0C3C" w:rsidRDefault="00D20C3C" w:rsidP="002B5F0E">
      <w:pPr>
        <w:spacing w:after="0" w:line="240" w:lineRule="auto"/>
      </w:pPr>
      <w:r>
        <w:separator/>
      </w:r>
    </w:p>
  </w:endnote>
  <w:endnote w:type="continuationSeparator" w:id="1">
    <w:p w:rsidR="00D20C3C" w:rsidRDefault="00D20C3C"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3F7C836-42C7-44A4-96CC-42B367AD6CF9}"/>
    <w:embedBold r:id="rId2" w:fontKey="{A434B5C9-5F4C-4FBA-8D84-EDBB8B7BAF16}"/>
    <w:embedItalic r:id="rId3" w:fontKey="{6B1BE1EE-B6D6-401B-8B9A-57B0770B840F}"/>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CEFBB18B-9156-48A5-8189-D293B069C0A2}"/>
    <w:embedBold r:id="rId5" w:fontKey="{FAFE93A2-C89C-40E3-8479-D735FAC09AE0}"/>
    <w:embedItalic r:id="rId6" w:fontKey="{20456707-B512-4796-9491-9370FD8223BA}"/>
  </w:font>
  <w:font w:name="Calibri Light">
    <w:panose1 w:val="020F0302020204030204"/>
    <w:charset w:val="00"/>
    <w:family w:val="swiss"/>
    <w:pitch w:val="variable"/>
    <w:sig w:usb0="E4002EFF" w:usb1="C000247B" w:usb2="00000009" w:usb3="00000000" w:csb0="000001FF" w:csb1="00000000"/>
    <w:embedRegular r:id="rId7" w:fontKey="{CE3AE500-3FF1-4B09-BF72-75B50DAAAA0E}"/>
    <w:embedItalic r:id="rId8" w:fontKey="{A256EF58-0676-4E80-A57C-37E16A242C91}"/>
  </w:font>
  <w:font w:name="Tahoma">
    <w:panose1 w:val="020B0604030504040204"/>
    <w:charset w:val="00"/>
    <w:family w:val="swiss"/>
    <w:pitch w:val="variable"/>
    <w:sig w:usb0="E1002EFF" w:usb1="C000605B" w:usb2="00000029" w:usb3="00000000" w:csb0="000101FF" w:csb1="00000000"/>
    <w:embedRegular r:id="rId9" w:fontKey="{0051FFD6-1F2D-44AF-B2C6-D25CD3AE79B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402249">
      <w:rPr>
        <w:rFonts w:ascii="Georgia" w:eastAsia="Georgia" w:hAnsi="Georgia" w:cs="Georgia"/>
        <w:noProof/>
        <w:color w:val="041C2C"/>
      </w:rPr>
      <w:t>7</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3716CA">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0C3C" w:rsidRDefault="00D20C3C" w:rsidP="002B5F0E">
      <w:pPr>
        <w:spacing w:after="0" w:line="240" w:lineRule="auto"/>
      </w:pPr>
      <w:r>
        <w:separator/>
      </w:r>
    </w:p>
  </w:footnote>
  <w:footnote w:type="continuationSeparator" w:id="1">
    <w:p w:rsidR="00D20C3C" w:rsidRDefault="00D20C3C"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D20C3C">
      <w:trPr>
        <w:cantSplit/>
        <w:trHeight w:val="300"/>
        <w:tblHeader/>
      </w:trPr>
      <w:tc>
        <w:tcPr>
          <w:tcW w:w="2830" w:type="dxa"/>
        </w:tcPr>
        <w:p w:rsidR="00D20C3C" w:rsidRDefault="00D20C3C">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3"/>
  </w:num>
  <w:num w:numId="9">
    <w:abstractNumId w:val="11"/>
  </w:num>
  <w:num w:numId="10">
    <w:abstractNumId w:val="0"/>
  </w:num>
  <w:num w:numId="11">
    <w:abstractNumId w:val="7"/>
  </w:num>
  <w:num w:numId="12">
    <w:abstractNumId w:val="2"/>
  </w:num>
  <w:num w:numId="13">
    <w:abstractNumId w:val="10"/>
  </w:num>
  <w:num w:numId="14">
    <w:abstractNumId w:val="14"/>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0D4298"/>
    <w:rsid w:val="00200FE7"/>
    <w:rsid w:val="00217C8A"/>
    <w:rsid w:val="00237635"/>
    <w:rsid w:val="0025454D"/>
    <w:rsid w:val="002B5F0E"/>
    <w:rsid w:val="002E543D"/>
    <w:rsid w:val="0033369C"/>
    <w:rsid w:val="003716CA"/>
    <w:rsid w:val="003A429B"/>
    <w:rsid w:val="003A7090"/>
    <w:rsid w:val="003B04E3"/>
    <w:rsid w:val="003E74AA"/>
    <w:rsid w:val="00402249"/>
    <w:rsid w:val="00432EFE"/>
    <w:rsid w:val="004E5590"/>
    <w:rsid w:val="004F22FF"/>
    <w:rsid w:val="00556AE6"/>
    <w:rsid w:val="00592E9D"/>
    <w:rsid w:val="005F47E7"/>
    <w:rsid w:val="00846E1E"/>
    <w:rsid w:val="00890B75"/>
    <w:rsid w:val="009825FB"/>
    <w:rsid w:val="00991A55"/>
    <w:rsid w:val="0099358F"/>
    <w:rsid w:val="00A01634"/>
    <w:rsid w:val="00A2218E"/>
    <w:rsid w:val="00A44AEC"/>
    <w:rsid w:val="00AA73FE"/>
    <w:rsid w:val="00AE3B56"/>
    <w:rsid w:val="00B31AF1"/>
    <w:rsid w:val="00B95E70"/>
    <w:rsid w:val="00C27D99"/>
    <w:rsid w:val="00C309AF"/>
    <w:rsid w:val="00C56D67"/>
    <w:rsid w:val="00CB36F2"/>
    <w:rsid w:val="00CF0C28"/>
    <w:rsid w:val="00CF1BA2"/>
    <w:rsid w:val="00D20C3C"/>
    <w:rsid w:val="00D63D4B"/>
    <w:rsid w:val="00DA7D7B"/>
    <w:rsid w:val="00DB23D8"/>
    <w:rsid w:val="00DB6B7C"/>
    <w:rsid w:val="00DF0280"/>
    <w:rsid w:val="00EA385D"/>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17</Pages>
  <Words>2687</Words>
  <Characters>14780</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12</cp:revision>
  <dcterms:created xsi:type="dcterms:W3CDTF">2022-06-25T07:31:00Z</dcterms:created>
  <dcterms:modified xsi:type="dcterms:W3CDTF">2026-05-26T12:26:00Z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