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S-H1"/>
      </w:pPr>
      <w:r>
        <w:t>Introduction</w:t>
      </w:r>
    </w:p>
    <w:p>
      <w:pPr>
        <w:pStyle w:val="SWS-Body"/>
      </w:pPr>
      <w:r>
        <w:t>Peptide therapeutics have undergone a significant revival over the past decade.</w:t>
      </w:r>
    </w:p>
    <w:p>
      <w:pPr>
        <w:pStyle w:val="SWS-Body"/>
      </w:pPr>
      <w:r>
        <w:t>Cell-penetrating peptides offer a route to intracellular targets previously</w:t>
      </w:r>
    </w:p>
    <w:p>
      <w:pPr>
        <w:pStyle w:val="SWS-Body"/>
      </w:pPr>
      <w:r>
        <w:t>considered undruggable.</w:t>
      </w:r>
    </w:p>
    <w:p>
      <w:pPr>
        <w:pStyle w:val="SWS-H1"/>
      </w:pPr>
      <w:r>
        <w:t>Results</w:t>
      </w:r>
    </w:p>
    <w:p>
      <w:pPr>
        <w:pStyle w:val="SWS-H2"/>
      </w:pPr>
      <w:r>
        <w:t>Synthesis and Characterization</w:t>
      </w:r>
    </w:p>
    <w:p>
      <w:pPr>
        <w:pStyle w:val="SWS-Body"/>
      </w:pPr>
      <w:r>
        <w:t>The target compound was obtained in 87% isolated yield after HPLC purification.</w:t>
      </w:r>
    </w:p>
    <w:p>
      <w:pPr>
        <w:pStyle w:val="SWS-Body"/>
      </w:pPr>
      <w:r>
        <w:t>Spectroscopic data were consistent with the proposed structure.</w:t>
      </w:r>
    </w:p>
    <w:p>
      <w:pPr>
        <w:pStyle w:val="SWS-Caption"/>
      </w:pPr>
      <w:r>
        <w:t>Figure 1. Synthetic route to the key intermediate showing the cyclization step.</w:t>
      </w:r>
    </w:p>
    <w:p>
      <w:pPr>
        <w:pStyle w:val="SWS-Caption"/>
      </w:pPr>
      <w:r>
        <w:t>Table 1. Inhibitory activity (IC50) of compounds 1-5 against thrombin.</w:t>
      </w:r>
    </w:p>
    <w:p>
      <w:pPr>
        <w:pStyle w:val="SWS-H2"/>
      </w:pPr>
      <w:r>
        <w:t>Biological Evaluation</w:t>
      </w:r>
    </w:p>
    <w:p>
      <w:pPr>
        <w:pStyle w:val="SWS-Body"/>
      </w:pPr>
      <w:r>
        <w:t>All compounds showed &gt;70% cell viability at 10 μM in HEK293 cells.</w:t>
      </w:r>
    </w:p>
    <w:p>
      <w:pPr>
        <w:pStyle w:val="SWS-Body"/>
      </w:pPr>
      <w:r>
        <w:t>The lead compound exhibited an IC50 of 1.2 μM against thrombin.</w:t>
      </w:r>
    </w:p>
    <w:p>
      <w:pPr>
        <w:pStyle w:val="SWS-H1"/>
      </w:pPr>
      <w:r>
        <w:t>Discussion</w:t>
      </w:r>
    </w:p>
    <w:p>
      <w:pPr>
        <w:pStyle w:val="SWS-Body"/>
      </w:pPr>
      <w:r>
        <w:t>These data support the mechanism proposed by Smith et al.</w:t>
      </w:r>
    </w:p>
    <w:p>
      <w:pPr>
        <w:pStyle w:val="SWS-Body"/>
      </w:pPr>
      <w:r>
        <w:t>The stereochemical outcome is consistent with in vitro selectivity studies.</w:t>
      </w:r>
    </w:p>
    <w:p>
      <w:pPr>
        <w:pStyle w:val="SWS-H1"/>
      </w:pPr>
      <w:r>
        <w:t>Conclusion</w:t>
      </w:r>
    </w:p>
    <w:p>
      <w:pPr>
        <w:pStyle w:val="SWS-Body"/>
      </w:pPr>
      <w:r>
        <w:t>We have demonstrated a concise route to potent thrombin inhibitors.</w:t>
      </w:r>
    </w:p>
    <w:p>
      <w:pPr>
        <w:pStyle w:val="SWS-Body"/>
      </w:pPr>
      <w:r>
        <w:t>Further studies will address in vivo pharmacokinetics.</w:t>
      </w:r>
    </w:p>
    <w:p>
      <w:pPr>
        <w:pStyle w:val="SWS-H1"/>
      </w:pPr>
      <w:r>
        <w:t>References</w:t>
      </w:r>
    </w:p>
    <w:p>
      <w:pPr>
        <w:pStyle w:val="SWS-References"/>
      </w:pPr>
      <w:r>
        <w:t>1. Smith J. et al. *Nature Chemistry* 2024, 16, 123–131.</w:t>
      </w:r>
    </w:p>
    <w:p>
      <w:pPr>
        <w:pStyle w:val="SWS-References"/>
      </w:pPr>
      <w:r>
        <w:t>2. Jones A. B.; Brown C. D. *J. Am. Chem. Soc.* 2023, 145, 4567–4578.</w:t>
      </w:r>
    </w:p>
    <w:p>
      <w:pPr>
        <w:pStyle w:val="SWS-References"/>
      </w:pPr>
      <w:r>
        <w:t>3. Lee E. et al. *Angew. Chem. Int. Ed.* 2022, 61, e202200001.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S-Body">
    <w:name w:val="SWS-Body"/>
    <w:rPr>
      <w:rFonts w:ascii="Arial" w:hAnsi="Arial"/>
      <w:b w:val="0"/>
      <w:i w:val="0"/>
      <w:sz w:val="24"/>
    </w:rPr>
  </w:style>
  <w:style w:type="paragraph" w:customStyle="1" w:styleId="SWS-H1">
    <w:name w:val="SWS-H1"/>
    <w:rPr>
      <w:rFonts w:ascii="Arial" w:hAnsi="Arial"/>
      <w:b/>
      <w:i w:val="0"/>
      <w:sz w:val="24"/>
    </w:rPr>
  </w:style>
  <w:style w:type="paragraph" w:customStyle="1" w:styleId="SWS-H2">
    <w:name w:val="SWS-H2"/>
    <w:rPr>
      <w:rFonts w:ascii="Arial" w:hAnsi="Arial"/>
      <w:b/>
      <w:i/>
      <w:sz w:val="24"/>
    </w:rPr>
  </w:style>
  <w:style w:type="paragraph" w:customStyle="1" w:styleId="SWS-Caption">
    <w:name w:val="SWS-Caption"/>
    <w:rPr>
      <w:rFonts w:ascii="Arial" w:hAnsi="Arial"/>
      <w:b w:val="0"/>
      <w:i w:val="0"/>
      <w:sz w:val="20"/>
    </w:rPr>
  </w:style>
  <w:style w:type="paragraph" w:customStyle="1" w:styleId="SWS-References">
    <w:name w:val="SWS-References"/>
    <w:rPr>
      <w:rFonts w:ascii="Arial" w:hAnsi="Arial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