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>
        <w:pStyle w:val="Heading2"/>
      </w:pPr>
      <w:r>
        <w:t>Background</w:t>
      </w:r>
    </w:p>
    <w:p>
      <w:r>
        <w:t xml:space="preserve">Ordinary text followed by </w:t>
      </w:r>
      <w:r>
        <w:rPr>
          <w:i/>
        </w:rPr>
        <w:t>italic text</w:t>
      </w:r>
      <w:r>
        <w:t xml:space="preserve"> and back to normal.</w:t>
      </w:r>
    </w:p>
    <w:p>
      <w:r>
        <w:t>A second body paragraph without any direct character formatting.</w:t>
      </w:r>
    </w:p>
    <w:p>
      <w:r>
        <w:rPr>
          <w:highlight w:val="yellow"/>
        </w:rPr>
        <w:t>Highlighted passage.</w:t>
      </w:r>
    </w:p>
    <w:p>
      <w:pPr>
        <w:pStyle w:val="Heading1"/>
      </w:pPr>
      <w:r>
        <w:t>References</w:t>
      </w:r>
    </w:p>
    <w:p>
      <w:r>
        <w:t>[1] Smith, J.; Doe, A. J. Am. Chem. Soc. 2023, 145, 1234–1240.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