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ourier New" w:hAnsi="Courier New"/>
          <w:b/>
          <w:color w:val="C8973A"/>
          <w:sz w:val="16"/>
        </w:rPr>
        <w:t>ALPHAABSOLUTE · SYSTEM 4.0 — DETAILED SPECIFICATION</w:t>
      </w:r>
    </w:p>
    <w:p>
      <w:r>
        <w:rPr>
          <w:rFonts w:ascii="Calibri" w:hAnsi="Calibri"/>
          <w:b/>
          <w:color w:val="0B1D35"/>
          <w:sz w:val="48"/>
        </w:rPr>
        <w:t>Stock Screening Criteria</w:t>
      </w:r>
    </w:p>
    <w:p>
      <w:r>
        <w:rPr>
          <w:color w:val="5A6A7E"/>
          <w:sz w:val="22"/>
        </w:rPr>
        <w:t>Complete specification for AI learning — universe construction, signal computation, gate logic, edge cases, and implementation details</w:t>
      </w:r>
    </w:p>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Document</w:t>
            </w:r>
          </w:p>
        </w:tc>
        <w:tc>
          <w:tcPr>
            <w:tcW w:type="dxa" w:w="1881"/>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Version</w:t>
            </w:r>
          </w:p>
        </w:tc>
        <w:tc>
          <w:tcPr>
            <w:tcW w:type="dxa" w:w="1881"/>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System</w:t>
            </w:r>
          </w:p>
        </w:tc>
        <w:tc>
          <w:tcPr>
            <w:tcW w:type="dxa" w:w="1881"/>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Author</w:t>
            </w:r>
          </w:p>
        </w:tc>
        <w:tc>
          <w:tcPr>
            <w:tcW w:type="dxa" w:w="1881"/>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Date</w:t>
            </w:r>
          </w:p>
        </w:tc>
      </w:tr>
      <w:tr>
        <w:tc>
          <w:tcPr>
            <w:tcW w:type="dxa" w:w="1881"/>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Screening Criteria</w:t>
            </w:r>
          </w:p>
        </w:tc>
        <w:tc>
          <w:tcPr>
            <w:tcW w:type="dxa" w:w="1881"/>
            <w:tcBorders>
              <w:top w:val="single" w:sz="4" w:space="0" w:color="C8D8E4"/>
              <w:left w:val="single" w:sz="4" w:space="0" w:color="C8D8E4"/>
              <w:bottom w:val="single" w:sz="4" w:space="0" w:color="C8D8E4"/>
              <w:right w:val="single" w:sz="4" w:space="0" w:color="C8D8E4"/>
            </w:tcBorders>
          </w:tcPr>
          <w:p>
            <w:r>
              <w:rPr>
                <w:sz w:val="20"/>
              </w:rPr>
              <w:t>1.0</w:t>
            </w:r>
          </w:p>
        </w:tc>
        <w:tc>
          <w:tcPr>
            <w:tcW w:type="dxa" w:w="1881"/>
            <w:tcBorders>
              <w:top w:val="single" w:sz="4" w:space="0" w:color="C8D8E4"/>
              <w:left w:val="single" w:sz="4" w:space="0" w:color="C8D8E4"/>
              <w:bottom w:val="single" w:sz="4" w:space="0" w:color="C8D8E4"/>
              <w:right w:val="single" w:sz="4" w:space="0" w:color="C8D8E4"/>
            </w:tcBorders>
          </w:tcPr>
          <w:p>
            <w:r>
              <w:rPr>
                <w:sz w:val="20"/>
              </w:rPr>
              <w:t>AlphaModel-US v4</w:t>
            </w:r>
          </w:p>
        </w:tc>
        <w:tc>
          <w:tcPr>
            <w:tcW w:type="dxa" w:w="1881"/>
            <w:tcBorders>
              <w:top w:val="single" w:sz="4" w:space="0" w:color="C8D8E4"/>
              <w:left w:val="single" w:sz="4" w:space="0" w:color="C8D8E4"/>
              <w:bottom w:val="single" w:sz="4" w:space="0" w:color="C8D8E4"/>
              <w:right w:val="single" w:sz="4" w:space="0" w:color="C8D8E4"/>
            </w:tcBorders>
          </w:tcPr>
          <w:p>
            <w:r>
              <w:rPr>
                <w:sz w:val="20"/>
              </w:rPr>
              <w:t>Piriyapon K.</w:t>
            </w:r>
          </w:p>
        </w:tc>
        <w:tc>
          <w:tcPr>
            <w:tcW w:type="dxa" w:w="1881"/>
            <w:tcBorders>
              <w:top w:val="single" w:sz="4" w:space="0" w:color="C8D8E4"/>
              <w:left w:val="single" w:sz="4" w:space="0" w:color="C8D8E4"/>
              <w:bottom w:val="single" w:sz="4" w:space="0" w:color="C8D8E4"/>
              <w:right w:val="single" w:sz="4" w:space="0" w:color="C8D8E4"/>
            </w:tcBorders>
          </w:tcPr>
          <w:p>
            <w:r>
              <w:rPr>
                <w:sz w:val="20"/>
              </w:rPr>
              <w:t>2026-09-29</w:t>
            </w:r>
          </w:p>
        </w:tc>
      </w:tr>
    </w:tbl>
    <w:p/>
    <w:p>
      <w:pPr>
        <w:spacing w:before="400" w:after="120"/>
        <w:pBdr>
          <w:bottom w:val="single" w:sz="8" w:space="1" w:color="0B1D35"/>
        </w:pBdr>
      </w:pPr>
      <w:r>
        <w:rPr>
          <w:rFonts w:ascii="Calibri" w:hAnsi="Calibri"/>
          <w:b/>
          <w:color w:val="0B1D35"/>
          <w:sz w:val="34"/>
        </w:rPr>
        <w:t>Overview — The 4-Gate Screening Pipeline</w:t>
      </w:r>
    </w:p>
    <w:p>
      <w:pPr>
        <w:spacing w:after="80"/>
        <w:ind w:left="0"/>
      </w:pPr>
      <w:r>
        <w:rPr>
          <w:color w:val="2C3A4F"/>
          <w:sz w:val="21"/>
        </w:rPr>
        <w:t>Every rebalance runs the following pipeline in order. A stock must pass ALL gates to enter the portfolio. Gates are AND-logic — failing any single gate disqualifies the stock regardless of how strongly it passes the others.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Step</w:t>
            </w:r>
          </w:p>
        </w:tc>
        <w:tc>
          <w:tcPr>
            <w:tcW w:type="dxa" w:w="2351"/>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Gate</w:t>
            </w:r>
          </w:p>
        </w:tc>
        <w:tc>
          <w:tcPr>
            <w:tcW w:type="dxa" w:w="2351"/>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Threshold</w:t>
            </w:r>
          </w:p>
        </w:tc>
        <w:tc>
          <w:tcPr>
            <w:tcW w:type="dxa" w:w="2351"/>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Eliminates</w:t>
            </w:r>
          </w:p>
        </w:tc>
      </w:tr>
      <w:tr>
        <w:tc>
          <w:tcPr>
            <w:tcW w:type="dxa" w:w="2351"/>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0</w:t>
            </w:r>
          </w:p>
        </w:tc>
        <w:tc>
          <w:tcPr>
            <w:tcW w:type="dxa" w:w="2351"/>
            <w:tcBorders>
              <w:top w:val="single" w:sz="4" w:space="0" w:color="C8D8E4"/>
              <w:left w:val="single" w:sz="4" w:space="0" w:color="C8D8E4"/>
              <w:bottom w:val="single" w:sz="4" w:space="0" w:color="C8D8E4"/>
              <w:right w:val="single" w:sz="4" w:space="0" w:color="C8D8E4"/>
            </w:tcBorders>
          </w:tcPr>
          <w:p>
            <w:r>
              <w:rPr>
                <w:sz w:val="20"/>
              </w:rPr>
              <w:t>Universe</w:t>
            </w:r>
          </w:p>
        </w:tc>
        <w:tc>
          <w:tcPr>
            <w:tcW w:type="dxa" w:w="2351"/>
            <w:tcBorders>
              <w:top w:val="single" w:sz="4" w:space="0" w:color="C8D8E4"/>
              <w:left w:val="single" w:sz="4" w:space="0" w:color="C8D8E4"/>
              <w:bottom w:val="single" w:sz="4" w:space="0" w:color="C8D8E4"/>
              <w:right w:val="single" w:sz="4" w:space="0" w:color="C8D8E4"/>
            </w:tcBorders>
          </w:tcPr>
          <w:p>
            <w:r>
              <w:rPr>
                <w:sz w:val="20"/>
              </w:rPr>
              <w:t>S&amp;P 500 tickers + ≥60 bars of data</w:t>
            </w:r>
          </w:p>
        </w:tc>
        <w:tc>
          <w:tcPr>
            <w:tcW w:type="dxa" w:w="2351"/>
            <w:tcBorders>
              <w:top w:val="single" w:sz="4" w:space="0" w:color="C8D8E4"/>
              <w:left w:val="single" w:sz="4" w:space="0" w:color="C8D8E4"/>
              <w:bottom w:val="single" w:sz="4" w:space="0" w:color="C8D8E4"/>
              <w:right w:val="single" w:sz="4" w:space="0" w:color="C8D8E4"/>
            </w:tcBorders>
          </w:tcPr>
          <w:p>
            <w:r>
              <w:rPr>
                <w:sz w:val="20"/>
              </w:rPr>
              <w:t>Delisted, newly listed (&lt;60d), data gaps</w:t>
            </w:r>
          </w:p>
        </w:tc>
      </w:tr>
      <w:tr>
        <w:tc>
          <w:tcPr>
            <w:tcW w:type="dxa" w:w="2351"/>
            <w:shd w:val="clear" w:color="auto" w:fill="EEF3F8"/>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1</w:t>
            </w:r>
          </w:p>
        </w:tc>
        <w:tc>
          <w:tcPr>
            <w:tcW w:type="dxa" w:w="2351"/>
            <w:shd w:val="clear" w:color="auto" w:fill="EEF3F8"/>
            <w:tcBorders>
              <w:top w:val="single" w:sz="4" w:space="0" w:color="C8D8E4"/>
              <w:left w:val="single" w:sz="4" w:space="0" w:color="C8D8E4"/>
              <w:bottom w:val="single" w:sz="4" w:space="0" w:color="C8D8E4"/>
              <w:right w:val="single" w:sz="4" w:space="0" w:color="C8D8E4"/>
            </w:tcBorders>
          </w:tcPr>
          <w:p>
            <w:r>
              <w:rPr>
                <w:sz w:val="20"/>
              </w:rPr>
              <w:t>RS Percentile</w:t>
            </w:r>
          </w:p>
        </w:tc>
        <w:tc>
          <w:tcPr>
            <w:tcW w:type="dxa" w:w="2351"/>
            <w:shd w:val="clear" w:color="auto" w:fill="EEF3F8"/>
            <w:tcBorders>
              <w:top w:val="single" w:sz="4" w:space="0" w:color="C8D8E4"/>
              <w:left w:val="single" w:sz="4" w:space="0" w:color="C8D8E4"/>
              <w:bottom w:val="single" w:sz="4" w:space="0" w:color="C8D8E4"/>
              <w:right w:val="single" w:sz="4" w:space="0" w:color="C8D8E4"/>
            </w:tcBorders>
          </w:tcPr>
          <w:p>
            <w:r>
              <w:rPr>
                <w:sz w:val="20"/>
              </w:rPr>
              <w:t>rs_pct ≥ 80th within universe</w:t>
            </w:r>
          </w:p>
        </w:tc>
        <w:tc>
          <w:tcPr>
            <w:tcW w:type="dxa" w:w="2351"/>
            <w:shd w:val="clear" w:color="auto" w:fill="EEF3F8"/>
            <w:tcBorders>
              <w:top w:val="single" w:sz="4" w:space="0" w:color="C8D8E4"/>
              <w:left w:val="single" w:sz="4" w:space="0" w:color="C8D8E4"/>
              <w:bottom w:val="single" w:sz="4" w:space="0" w:color="C8D8E4"/>
              <w:right w:val="single" w:sz="4" w:space="0" w:color="C8D8E4"/>
            </w:tcBorders>
          </w:tcPr>
          <w:p>
            <w:r>
              <w:rPr>
                <w:sz w:val="20"/>
              </w:rPr>
              <w:t>Bottom 80% by relative strength</w:t>
            </w:r>
          </w:p>
        </w:tc>
      </w:tr>
      <w:tr>
        <w:tc>
          <w:tcPr>
            <w:tcW w:type="dxa" w:w="2351"/>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2</w:t>
            </w:r>
          </w:p>
        </w:tc>
        <w:tc>
          <w:tcPr>
            <w:tcW w:type="dxa" w:w="2351"/>
            <w:tcBorders>
              <w:top w:val="single" w:sz="4" w:space="0" w:color="C8D8E4"/>
              <w:left w:val="single" w:sz="4" w:space="0" w:color="C8D8E4"/>
              <w:bottom w:val="single" w:sz="4" w:space="0" w:color="C8D8E4"/>
              <w:right w:val="single" w:sz="4" w:space="0" w:color="C8D8E4"/>
            </w:tcBorders>
          </w:tcPr>
          <w:p>
            <w:r>
              <w:rPr>
                <w:sz w:val="20"/>
              </w:rPr>
              <w:t>MA200 Filter</w:t>
            </w:r>
          </w:p>
        </w:tc>
        <w:tc>
          <w:tcPr>
            <w:tcW w:type="dxa" w:w="2351"/>
            <w:tcBorders>
              <w:top w:val="single" w:sz="4" w:space="0" w:color="C8D8E4"/>
              <w:left w:val="single" w:sz="4" w:space="0" w:color="C8D8E4"/>
              <w:bottom w:val="single" w:sz="4" w:space="0" w:color="C8D8E4"/>
              <w:right w:val="single" w:sz="4" w:space="0" w:color="C8D8E4"/>
            </w:tcBorders>
          </w:tcPr>
          <w:p>
            <w:r>
              <w:rPr>
                <w:sz w:val="20"/>
              </w:rPr>
              <w:t>close &gt; MA200 (200-day SMA)</w:t>
            </w:r>
          </w:p>
        </w:tc>
        <w:tc>
          <w:tcPr>
            <w:tcW w:type="dxa" w:w="2351"/>
            <w:tcBorders>
              <w:top w:val="single" w:sz="4" w:space="0" w:color="C8D8E4"/>
              <w:left w:val="single" w:sz="4" w:space="0" w:color="C8D8E4"/>
              <w:bottom w:val="single" w:sz="4" w:space="0" w:color="C8D8E4"/>
              <w:right w:val="single" w:sz="4" w:space="0" w:color="C8D8E4"/>
            </w:tcBorders>
          </w:tcPr>
          <w:p>
            <w:r>
              <w:rPr>
                <w:sz w:val="20"/>
              </w:rPr>
              <w:t>Stage 3/4 stocks in downtrends</w:t>
            </w:r>
          </w:p>
        </w:tc>
      </w:tr>
      <w:tr>
        <w:tc>
          <w:tcPr>
            <w:tcW w:type="dxa" w:w="2351"/>
            <w:shd w:val="clear" w:color="auto" w:fill="EEF3F8"/>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3</w:t>
            </w:r>
          </w:p>
        </w:tc>
        <w:tc>
          <w:tcPr>
            <w:tcW w:type="dxa" w:w="2351"/>
            <w:shd w:val="clear" w:color="auto" w:fill="EEF3F8"/>
            <w:tcBorders>
              <w:top w:val="single" w:sz="4" w:space="0" w:color="C8D8E4"/>
              <w:left w:val="single" w:sz="4" w:space="0" w:color="C8D8E4"/>
              <w:bottom w:val="single" w:sz="4" w:space="0" w:color="C8D8E4"/>
              <w:right w:val="single" w:sz="4" w:space="0" w:color="C8D8E4"/>
            </w:tcBorders>
          </w:tcPr>
          <w:p>
            <w:r>
              <w:rPr>
                <w:sz w:val="20"/>
              </w:rPr>
              <w:t>Volume Trend</w:t>
            </w:r>
          </w:p>
        </w:tc>
        <w:tc>
          <w:tcPr>
            <w:tcW w:type="dxa" w:w="2351"/>
            <w:shd w:val="clear" w:color="auto" w:fill="EEF3F8"/>
            <w:tcBorders>
              <w:top w:val="single" w:sz="4" w:space="0" w:color="C8D8E4"/>
              <w:left w:val="single" w:sz="4" w:space="0" w:color="C8D8E4"/>
              <w:bottom w:val="single" w:sz="4" w:space="0" w:color="C8D8E4"/>
              <w:right w:val="single" w:sz="4" w:space="0" w:color="C8D8E4"/>
            </w:tcBorders>
          </w:tcPr>
          <w:p>
            <w:r>
              <w:rPr>
                <w:sz w:val="20"/>
              </w:rPr>
              <w:t>vol_trend ≥ 0.75 (BULL) or 0.95 (BEAR)</w:t>
            </w:r>
          </w:p>
        </w:tc>
        <w:tc>
          <w:tcPr>
            <w:tcW w:type="dxa" w:w="2351"/>
            <w:shd w:val="clear" w:color="auto" w:fill="EEF3F8"/>
            <w:tcBorders>
              <w:top w:val="single" w:sz="4" w:space="0" w:color="C8D8E4"/>
              <w:left w:val="single" w:sz="4" w:space="0" w:color="C8D8E4"/>
              <w:bottom w:val="single" w:sz="4" w:space="0" w:color="C8D8E4"/>
              <w:right w:val="single" w:sz="4" w:space="0" w:color="C8D8E4"/>
            </w:tcBorders>
          </w:tcPr>
          <w:p>
            <w:r>
              <w:rPr>
                <w:sz w:val="20"/>
              </w:rPr>
              <w:t>Low-conviction, thin-volume moves</w:t>
            </w:r>
          </w:p>
        </w:tc>
      </w:tr>
      <w:tr>
        <w:tc>
          <w:tcPr>
            <w:tcW w:type="dxa" w:w="2351"/>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4</w:t>
            </w:r>
          </w:p>
        </w:tc>
        <w:tc>
          <w:tcPr>
            <w:tcW w:type="dxa" w:w="2351"/>
            <w:tcBorders>
              <w:top w:val="single" w:sz="4" w:space="0" w:color="C8D8E4"/>
              <w:left w:val="single" w:sz="4" w:space="0" w:color="C8D8E4"/>
              <w:bottom w:val="single" w:sz="4" w:space="0" w:color="C8D8E4"/>
              <w:right w:val="single" w:sz="4" w:space="0" w:color="C8D8E4"/>
            </w:tcBorders>
          </w:tcPr>
          <w:p>
            <w:r>
              <w:rPr>
                <w:sz w:val="20"/>
              </w:rPr>
              <w:t>Liquidity (ADTV)</w:t>
            </w:r>
          </w:p>
        </w:tc>
        <w:tc>
          <w:tcPr>
            <w:tcW w:type="dxa" w:w="2351"/>
            <w:tcBorders>
              <w:top w:val="single" w:sz="4" w:space="0" w:color="C8D8E4"/>
              <w:left w:val="single" w:sz="4" w:space="0" w:color="C8D8E4"/>
              <w:bottom w:val="single" w:sz="4" w:space="0" w:color="C8D8E4"/>
              <w:right w:val="single" w:sz="4" w:space="0" w:color="C8D8E4"/>
            </w:tcBorders>
          </w:tcPr>
          <w:p>
            <w:r>
              <w:rPr>
                <w:sz w:val="20"/>
              </w:rPr>
              <w:t>ADTV ≥ $10M (63-day avg)</w:t>
            </w:r>
          </w:p>
        </w:tc>
        <w:tc>
          <w:tcPr>
            <w:tcW w:type="dxa" w:w="2351"/>
            <w:tcBorders>
              <w:top w:val="single" w:sz="4" w:space="0" w:color="C8D8E4"/>
              <w:left w:val="single" w:sz="4" w:space="0" w:color="C8D8E4"/>
              <w:bottom w:val="single" w:sz="4" w:space="0" w:color="C8D8E4"/>
              <w:right w:val="single" w:sz="4" w:space="0" w:color="C8D8E4"/>
            </w:tcBorders>
          </w:tcPr>
          <w:p>
            <w:r>
              <w:rPr>
                <w:sz w:val="20"/>
              </w:rPr>
              <w:t>Illiquid names — checked on top-75 only</w:t>
            </w:r>
          </w:p>
        </w:tc>
      </w:tr>
      <w:tr>
        <w:tc>
          <w:tcPr>
            <w:tcW w:type="dxa" w:w="2351"/>
            <w:shd w:val="clear" w:color="auto" w:fill="EEF3F8"/>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5</w:t>
            </w:r>
          </w:p>
        </w:tc>
        <w:tc>
          <w:tcPr>
            <w:tcW w:type="dxa" w:w="2351"/>
            <w:shd w:val="clear" w:color="auto" w:fill="EEF3F8"/>
            <w:tcBorders>
              <w:top w:val="single" w:sz="4" w:space="0" w:color="C8D8E4"/>
              <w:left w:val="single" w:sz="4" w:space="0" w:color="C8D8E4"/>
              <w:bottom w:val="single" w:sz="4" w:space="0" w:color="C8D8E4"/>
              <w:right w:val="single" w:sz="4" w:space="0" w:color="C8D8E4"/>
            </w:tcBorders>
          </w:tcPr>
          <w:p>
            <w:r>
              <w:rPr>
                <w:sz w:val="20"/>
              </w:rPr>
              <w:t>Final select</w:t>
            </w:r>
          </w:p>
        </w:tc>
        <w:tc>
          <w:tcPr>
            <w:tcW w:type="dxa" w:w="2351"/>
            <w:shd w:val="clear" w:color="auto" w:fill="EEF3F8"/>
            <w:tcBorders>
              <w:top w:val="single" w:sz="4" w:space="0" w:color="C8D8E4"/>
              <w:left w:val="single" w:sz="4" w:space="0" w:color="C8D8E4"/>
              <w:bottom w:val="single" w:sz="4" w:space="0" w:color="C8D8E4"/>
              <w:right w:val="single" w:sz="4" w:space="0" w:color="C8D8E4"/>
            </w:tcBorders>
          </w:tcPr>
          <w:p>
            <w:r>
              <w:rPr>
                <w:sz w:val="20"/>
              </w:rPr>
              <w:t>Top 15 by RS from Gate 4 survivors</w:t>
            </w:r>
          </w:p>
        </w:tc>
        <w:tc>
          <w:tcPr>
            <w:tcW w:type="dxa" w:w="2351"/>
            <w:shd w:val="clear" w:color="auto" w:fill="EEF3F8"/>
            <w:tcBorders>
              <w:top w:val="single" w:sz="4" w:space="0" w:color="C8D8E4"/>
              <w:left w:val="single" w:sz="4" w:space="0" w:color="C8D8E4"/>
              <w:bottom w:val="single" w:sz="4" w:space="0" w:color="C8D8E4"/>
              <w:right w:val="single" w:sz="4" w:space="0" w:color="C8D8E4"/>
            </w:tcBorders>
          </w:tcPr>
          <w:p>
            <w:r>
              <w:rPr>
                <w:sz w:val="20"/>
              </w:rPr>
              <w:t>Stocks ranked 16+ by RS</w:t>
            </w:r>
          </w:p>
        </w:tc>
      </w:tr>
    </w:tbl>
    <w:p/>
    <w:tbl>
      <w:tblPr>
        <w:tblW w:type="auto" w:w="0"/>
        <w:jc w:val="left"/>
        <w:tblLook w:firstColumn="1" w:firstRow="1" w:lastColumn="0" w:lastRow="0" w:noHBand="0" w:noVBand="1" w:val="04A0"/>
      </w:tblPr>
      <w:tblGrid>
        <w:gridCol w:w="9406"/>
      </w:tblGrid>
      <w:tr>
        <w:tc>
          <w:tcPr>
            <w:tcW w:type="dxa" w:w="9406"/>
            <w:shd w:val="clear" w:color="auto" w:fill="FBF0DC"/>
            <w:tcBorders>
              <w:top w:val="single" w:sz="4" w:space="0" w:color="C8973A"/>
              <w:left w:val="single" w:sz="4" w:space="0" w:color="C8973A"/>
              <w:bottom w:val="single" w:sz="4" w:space="0" w:color="C8973A"/>
              <w:right w:val="single" w:sz="4" w:space="0" w:color="C8973A"/>
            </w:tcBorders>
          </w:tcPr>
          <w:p>
            <w:r>
              <w:rPr>
                <w:rFonts w:ascii="Courier New" w:hAnsi="Courier New"/>
                <w:b/>
                <w:i w:val="0"/>
                <w:color w:val="C8973A"/>
                <w:sz w:val="16"/>
              </w:rPr>
              <w:t xml:space="preserve">PIPELINE EFFICIENCY  </w:t>
            </w:r>
            <w:r>
              <w:rPr>
                <w:b w:val="0"/>
                <w:i w:val="0"/>
                <w:color w:val="1C2533"/>
                <w:sz w:val="20"/>
              </w:rPr>
              <w:t>Gates 1–3 run on the full universe simultaneously (vectorized). Gate 4 (ADTV) is expensive — it requires a separate API call per ticker. To minimize cost, ADTV is only fetched for the top 75 RS candidates (CANDIDATE_POOL = TOP_N × 5 = 75), not for all ~500 tickers. This means: a stock ranked RS #76 will never be in the portfolio even if it passes ADTV, because it was never evaluated for liquidity.</w:t>
            </w:r>
          </w:p>
        </w:tc>
      </w:tr>
    </w:tbl>
    <w:p/>
    <w:p>
      <w:r>
        <w:br w:type="page"/>
      </w:r>
    </w:p>
    <w:p>
      <w:pPr>
        <w:spacing w:before="400" w:after="120"/>
        <w:pBdr>
          <w:bottom w:val="single" w:sz="8" w:space="1" w:color="0B1D35"/>
        </w:pBdr>
      </w:pPr>
      <w:r>
        <w:rPr>
          <w:rFonts w:ascii="Calibri" w:hAnsi="Calibri"/>
          <w:b/>
          <w:color w:val="0B1D35"/>
          <w:sz w:val="34"/>
        </w:rPr>
        <w:t>Step 0 — Universe Construction</w:t>
      </w:r>
    </w:p>
    <w:p>
      <w:pPr>
        <w:spacing w:before="280" w:after="60"/>
      </w:pPr>
      <w:r>
        <w:rPr>
          <w:rFonts w:ascii="Calibri" w:hAnsi="Calibri"/>
          <w:b/>
          <w:color w:val="3B6EA5"/>
          <w:sz w:val="25"/>
        </w:rPr>
        <w:t>Source: S&amp;P 500 Ticker List</w:t>
      </w:r>
    </w:p>
    <w:p>
      <w:pPr>
        <w:spacing w:after="80"/>
        <w:ind w:left="0"/>
      </w:pPr>
      <w:r>
        <w:rPr>
          <w:color w:val="2C3A4F"/>
          <w:sz w:val="21"/>
        </w:rPr>
        <w:t>Tickers are loaded from a flat text file, one ticker per line:</w:t>
      </w:r>
    </w:p>
    <w:p>
      <w:pPr>
        <w:spacing w:before="60" w:after="120"/>
        <w:shd w:val="clear" w:color="auto" w:fill="0B1D35"/>
      </w:pPr>
      <w:r>
        <w:rPr>
          <w:rFonts w:ascii="Courier New" w:hAnsi="Courier New"/>
          <w:color w:val="C8D8EE"/>
          <w:sz w:val="18"/>
        </w:rPr>
        <w:t># File: data/paper_trading/sp500_tickers.txt</w:t>
        <w:br/>
        <w:t>AAPL</w:t>
        <w:br/>
        <w:t>MSFT</w:t>
        <w:br/>
        <w:t>NVDA</w:t>
        <w:br/>
        <w:t>... (~500 tickers)</w:t>
      </w:r>
    </w:p>
    <w:p>
      <w:pPr>
        <w:spacing w:after="80"/>
        <w:ind w:left="0"/>
      </w:pPr>
      <w:r>
        <w:rPr>
          <w:color w:val="2C3A4F"/>
          <w:sz w:val="21"/>
        </w:rPr>
        <w:t>The file is static — it is not auto-updated when S&amp;P 500 composition changes. Manual update required when index reconstitution occurs.</w:t>
      </w:r>
    </w:p>
    <w:p>
      <w:pPr>
        <w:spacing w:before="280" w:after="60"/>
      </w:pPr>
      <w:r>
        <w:rPr>
          <w:rFonts w:ascii="Calibri" w:hAnsi="Calibri"/>
          <w:b/>
          <w:color w:val="3B6EA5"/>
          <w:sz w:val="25"/>
        </w:rPr>
        <w:t>Minimum Data Requirement: 60 Bars</w:t>
      </w:r>
    </w:p>
    <w:p>
      <w:pPr>
        <w:spacing w:after="80"/>
        <w:ind w:left="0"/>
      </w:pPr>
      <w:r>
        <w:rPr>
          <w:color w:val="2C3A4F"/>
          <w:sz w:val="21"/>
        </w:rPr>
        <w:t>After fetching 300 days of Yahoo Finance data, each ticker is checked for minimum viable history. Tickers with fewer than 60 bars are silently excluded.</w:t>
      </w:r>
    </w:p>
    <w:p>
      <w:pPr>
        <w:spacing w:before="60" w:after="120"/>
        <w:shd w:val="clear" w:color="auto" w:fill="0B1D35"/>
      </w:pPr>
      <w:r>
        <w:rPr>
          <w:rFonts w:ascii="Courier New" w:hAnsi="Courier New"/>
          <w:color w:val="C8D8EE"/>
          <w:sz w:val="18"/>
        </w:rPr>
        <w:t># Data fetch: 300 calendar days (~210 trading days)</w:t>
        <w:br/>
        <w:t>data_dict = fetch_many(all_tickers, days=300, threads=8)</w:t>
        <w:br/>
        <w:br/>
        <w:t># Min bars check inside compute_signals()</w:t>
        <w:br/>
        <w:t>if len(px) &lt; 60:</w:t>
        <w:br/>
        <w:t xml:space="preserve">    continue  # skip this ticker</w:t>
        <w:br/>
        <w:br/>
        <w:t># After alignment to SPY calendar:</w:t>
        <w:br/>
        <w:t>aligned_px = px.reindex(spy_close.index, method='ffill').dropna()</w:t>
        <w:br/>
        <w:t>if len(aligned_px) &lt; 60:</w:t>
        <w:br/>
        <w:t xml:space="preserve">    continue  # skip if alignment reduces below minimum</w:t>
      </w:r>
    </w:p>
    <w:tbl>
      <w:tblPr>
        <w:tblW w:type="auto" w:w="0"/>
        <w:jc w:val="left"/>
        <w:tblLook w:firstColumn="1" w:firstRow="1" w:lastColumn="0" w:lastRow="0" w:noHBand="0" w:noVBand="1" w:val="04A0"/>
      </w:tblPr>
      <w:tblGrid>
        <w:gridCol w:w="9406"/>
      </w:tblGrid>
      <w:tr>
        <w:tc>
          <w:tcPr>
            <w:tcW w:type="dxa" w:w="9406"/>
            <w:shd w:val="clear" w:color="auto" w:fill="E8F0FB"/>
            <w:tcBorders>
              <w:top w:val="single" w:sz="4" w:space="0" w:color="3B6EA5"/>
              <w:left w:val="single" w:sz="4" w:space="0" w:color="3B6EA5"/>
              <w:bottom w:val="single" w:sz="4" w:space="0" w:color="3B6EA5"/>
              <w:right w:val="single" w:sz="4" w:space="0" w:color="3B6EA5"/>
            </w:tcBorders>
          </w:tcPr>
          <w:p>
            <w:r>
              <w:rPr>
                <w:rFonts w:ascii="Courier New" w:hAnsi="Courier New"/>
                <w:b/>
                <w:i w:val="0"/>
                <w:color w:val="C8973A"/>
                <w:sz w:val="16"/>
              </w:rPr>
              <w:t xml:space="preserve">IMPLEMENTATION NOTE  </w:t>
            </w:r>
            <w:r>
              <w:rPr>
                <w:b w:val="0"/>
                <w:i w:val="0"/>
                <w:color w:val="1C2533"/>
                <w:sz w:val="20"/>
              </w:rPr>
              <w:t>Alignment to SPY calendar is critical. A ticker may have 200 bars in isolation but only 55 bars that overlap with SPY trading days (e.g., dual-listed stocks or stocks with exchange-specific holidays). The 60-bar check runs AFTER alignment, not before.</w:t>
            </w:r>
          </w:p>
        </w:tc>
      </w:tr>
    </w:tbl>
    <w:p/>
    <w:p>
      <w:pPr>
        <w:spacing w:before="280" w:after="60"/>
      </w:pPr>
      <w:r>
        <w:rPr>
          <w:rFonts w:ascii="Calibri" w:hAnsi="Calibri"/>
          <w:b/>
          <w:color w:val="3B6EA5"/>
          <w:sz w:val="25"/>
        </w:rPr>
        <w:t>Reference Data: SPY and IWM</w:t>
      </w:r>
    </w:p>
    <w:p>
      <w:pPr>
        <w:spacing w:after="80"/>
        <w:ind w:left="0"/>
      </w:pPr>
      <w:r>
        <w:rPr>
          <w:color w:val="2C3A4F"/>
          <w:sz w:val="21"/>
        </w:rPr>
        <w:t>Three reference tickers are fetched alongside the universe:</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Ticker</w:t>
            </w:r>
          </w:p>
        </w:tc>
        <w:tc>
          <w:tcPr>
            <w:tcW w:type="dxa" w:w="3135"/>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Role</w:t>
            </w:r>
          </w:p>
        </w:tc>
        <w:tc>
          <w:tcPr>
            <w:tcW w:type="dxa" w:w="3135"/>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Used For</w:t>
            </w:r>
          </w:p>
        </w:tc>
      </w:tr>
      <w:tr>
        <w:tc>
          <w:tcPr>
            <w:tcW w:type="dxa" w:w="3135"/>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SPY</w:t>
            </w:r>
          </w:p>
        </w:tc>
        <w:tc>
          <w:tcPr>
            <w:tcW w:type="dxa" w:w="3135"/>
            <w:tcBorders>
              <w:top w:val="single" w:sz="4" w:space="0" w:color="C8D8E4"/>
              <w:left w:val="single" w:sz="4" w:space="0" w:color="C8D8E4"/>
              <w:bottom w:val="single" w:sz="4" w:space="0" w:color="C8D8E4"/>
              <w:right w:val="single" w:sz="4" w:space="0" w:color="C8D8E4"/>
            </w:tcBorders>
          </w:tcPr>
          <w:p>
            <w:r>
              <w:rPr>
                <w:sz w:val="20"/>
              </w:rPr>
              <w:t>Benchmark for RS calculation</w:t>
            </w:r>
          </w:p>
        </w:tc>
        <w:tc>
          <w:tcPr>
            <w:tcW w:type="dxa" w:w="3135"/>
            <w:tcBorders>
              <w:top w:val="single" w:sz="4" w:space="0" w:color="C8D8E4"/>
              <w:left w:val="single" w:sz="4" w:space="0" w:color="C8D8E4"/>
              <w:bottom w:val="single" w:sz="4" w:space="0" w:color="C8D8E4"/>
              <w:right w:val="single" w:sz="4" w:space="0" w:color="C8D8E4"/>
            </w:tcBorders>
          </w:tcPr>
          <w:p>
            <w:r>
              <w:rPr>
                <w:sz w:val="20"/>
              </w:rPr>
              <w:t>Excess return computation for all 4 lookbacks</w:t>
            </w:r>
          </w:p>
        </w:tc>
      </w:tr>
      <w:tr>
        <w:tc>
          <w:tcPr>
            <w:tcW w:type="dxa" w:w="3135"/>
            <w:shd w:val="clear" w:color="auto" w:fill="EEF3F8"/>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IWM</w:t>
            </w:r>
          </w:p>
        </w:tc>
        <w:tc>
          <w:tcPr>
            <w:tcW w:type="dxa" w:w="3135"/>
            <w:shd w:val="clear" w:color="auto" w:fill="EEF3F8"/>
            <w:tcBorders>
              <w:top w:val="single" w:sz="4" w:space="0" w:color="C8D8E4"/>
              <w:left w:val="single" w:sz="4" w:space="0" w:color="C8D8E4"/>
              <w:bottom w:val="single" w:sz="4" w:space="0" w:color="C8D8E4"/>
              <w:right w:val="single" w:sz="4" w:space="0" w:color="C8D8E4"/>
            </w:tcBorders>
          </w:tcPr>
          <w:p>
            <w:r>
              <w:rPr>
                <w:sz w:val="20"/>
              </w:rPr>
              <w:t>Regime signal</w:t>
            </w:r>
          </w:p>
        </w:tc>
        <w:tc>
          <w:tcPr>
            <w:tcW w:type="dxa" w:w="3135"/>
            <w:shd w:val="clear" w:color="auto" w:fill="EEF3F8"/>
            <w:tcBorders>
              <w:top w:val="single" w:sz="4" w:space="0" w:color="C8D8E4"/>
              <w:left w:val="single" w:sz="4" w:space="0" w:color="C8D8E4"/>
              <w:bottom w:val="single" w:sz="4" w:space="0" w:color="C8D8E4"/>
              <w:right w:val="single" w:sz="4" w:space="0" w:color="C8D8E4"/>
            </w:tcBorders>
          </w:tcPr>
          <w:p>
            <w:r>
              <w:rPr>
                <w:sz w:val="20"/>
              </w:rPr>
              <w:t>IWM vs MA200 determines BULL/BEAR regime</w:t>
            </w:r>
          </w:p>
        </w:tc>
      </w:tr>
      <w:tr>
        <w:tc>
          <w:tcPr>
            <w:tcW w:type="dxa" w:w="3135"/>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QQQ</w:t>
            </w:r>
          </w:p>
        </w:tc>
        <w:tc>
          <w:tcPr>
            <w:tcW w:type="dxa" w:w="3135"/>
            <w:tcBorders>
              <w:top w:val="single" w:sz="4" w:space="0" w:color="C8D8E4"/>
              <w:left w:val="single" w:sz="4" w:space="0" w:color="C8D8E4"/>
              <w:bottom w:val="single" w:sz="4" w:space="0" w:color="C8D8E4"/>
              <w:right w:val="single" w:sz="4" w:space="0" w:color="C8D8E4"/>
            </w:tcBorders>
          </w:tcPr>
          <w:p>
            <w:r>
              <w:rPr>
                <w:sz w:val="20"/>
              </w:rPr>
              <w:t>Performance benchmark</w:t>
            </w:r>
          </w:p>
        </w:tc>
        <w:tc>
          <w:tcPr>
            <w:tcW w:type="dxa" w:w="3135"/>
            <w:tcBorders>
              <w:top w:val="single" w:sz="4" w:space="0" w:color="C8D8E4"/>
              <w:left w:val="single" w:sz="4" w:space="0" w:color="C8D8E4"/>
              <w:bottom w:val="single" w:sz="4" w:space="0" w:color="C8D8E4"/>
              <w:right w:val="single" w:sz="4" w:space="0" w:color="C8D8E4"/>
            </w:tcBorders>
          </w:tcPr>
          <w:p>
            <w:r>
              <w:rPr>
                <w:sz w:val="20"/>
              </w:rPr>
              <w:t>NAV vs QQQ tracking — NOT used in screening</w:t>
            </w:r>
          </w:p>
        </w:tc>
      </w:tr>
    </w:tbl>
    <w:p/>
    <w:tbl>
      <w:tblPr>
        <w:tblW w:type="auto" w:w="0"/>
        <w:jc w:val="left"/>
        <w:tblLook w:firstColumn="1" w:firstRow="1" w:lastColumn="0" w:lastRow="0" w:noHBand="0" w:noVBand="1" w:val="04A0"/>
      </w:tblPr>
      <w:tblGrid>
        <w:gridCol w:w="9406"/>
      </w:tblGrid>
      <w:tr>
        <w:tc>
          <w:tcPr>
            <w:tcW w:type="dxa" w:w="9406"/>
            <w:shd w:val="clear" w:color="auto" w:fill="FFF3CD"/>
            <w:tcBorders>
              <w:top w:val="single" w:sz="4" w:space="0" w:color="C8973A"/>
              <w:left w:val="single" w:sz="4" w:space="0" w:color="C8973A"/>
              <w:bottom w:val="single" w:sz="4" w:space="0" w:color="C8973A"/>
              <w:right w:val="single" w:sz="4" w:space="0" w:color="C8973A"/>
            </w:tcBorders>
          </w:tcPr>
          <w:p>
            <w:r>
              <w:rPr>
                <w:rFonts w:ascii="Courier New" w:hAnsi="Courier New"/>
                <w:b/>
                <w:i w:val="0"/>
                <w:color w:val="C8973A"/>
                <w:sz w:val="16"/>
              </w:rPr>
              <w:t xml:space="preserve">⚠ IMPORTANT  </w:t>
            </w:r>
            <w:r>
              <w:rPr>
                <w:b w:val="0"/>
                <w:i w:val="0"/>
                <w:color w:val="1C2533"/>
                <w:sz w:val="20"/>
              </w:rPr>
              <w:t>If SPY or IWM fetch fails, the entire pipeline aborts. QQQ failure is non-fatal — performance tracking is skipped but screening continues.</w:t>
            </w:r>
          </w:p>
        </w:tc>
      </w:tr>
    </w:tbl>
    <w:p/>
    <w:p>
      <w:r>
        <w:br w:type="page"/>
      </w:r>
    </w:p>
    <w:p>
      <w:pPr>
        <w:spacing w:before="400" w:after="120"/>
        <w:pBdr>
          <w:bottom w:val="single" w:sz="8" w:space="1" w:color="0B1D35"/>
        </w:pBdr>
      </w:pPr>
      <w:r>
        <w:rPr>
          <w:rFonts w:ascii="Calibri" w:hAnsi="Calibri"/>
          <w:b/>
          <w:color w:val="0B1D35"/>
          <w:sz w:val="34"/>
        </w:rPr>
        <w:t>Step 1 — Relative Strength Score &amp; Percentile Ranking</w:t>
      </w:r>
    </w:p>
    <w:p>
      <w:pPr>
        <w:spacing w:before="280" w:after="60"/>
      </w:pPr>
      <w:r>
        <w:rPr>
          <w:rFonts w:ascii="Calibri" w:hAnsi="Calibri"/>
          <w:b/>
          <w:color w:val="3B6EA5"/>
          <w:sz w:val="25"/>
        </w:rPr>
        <w:t>1A. Excess Return Computation</w:t>
      </w:r>
    </w:p>
    <w:p>
      <w:pPr>
        <w:spacing w:after="80"/>
        <w:ind w:left="0"/>
      </w:pPr>
      <w:r>
        <w:rPr>
          <w:color w:val="2C3A4F"/>
          <w:sz w:val="21"/>
        </w:rPr>
        <w:t>For each stock and each lookback period, the excess return is calculated as the stock's cumulative return minus SPY's cumulative return over the same period.</w:t>
      </w:r>
    </w:p>
    <w:p>
      <w:pPr>
        <w:spacing w:before="60" w:after="120"/>
        <w:shd w:val="clear" w:color="auto" w:fill="0B1D35"/>
      </w:pPr>
      <w:r>
        <w:rPr>
          <w:rFonts w:ascii="Courier New" w:hAnsi="Courier New"/>
          <w:color w:val="C8D8EE"/>
          <w:sz w:val="18"/>
        </w:rPr>
        <w:t>spy_ret = spy_close.pct_change()  # daily returns of SPY</w:t>
        <w:br/>
        <w:br/>
        <w:t>def excess_return(stock_ret, spy_ret, lookback, weight):</w:t>
        <w:br/>
        <w:t xml:space="preserve">    stock_cum = stock_ret.rolling(lookback, min_periods=int(lookback*0.6)).sum()</w:t>
        <w:br/>
        <w:t xml:space="preserve">    spy_cum   = spy_ret.rolling(lookback,   min_periods=int(lookback*0.6)).sum()</w:t>
        <w:br/>
        <w:t xml:space="preserve">    excess    = stock_cum - spy_cum</w:t>
        <w:br/>
        <w:t xml:space="preserve">    return float(excess.iloc[-1]) * weight</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Lookback</w:t>
            </w:r>
          </w:p>
        </w:tc>
        <w:tc>
          <w:tcPr>
            <w:tcW w:type="dxa" w:w="2351"/>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Period</w:t>
            </w:r>
          </w:p>
        </w:tc>
        <w:tc>
          <w:tcPr>
            <w:tcW w:type="dxa" w:w="2351"/>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Weight</w:t>
            </w:r>
          </w:p>
        </w:tc>
        <w:tc>
          <w:tcPr>
            <w:tcW w:type="dxa" w:w="2351"/>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Rationale</w:t>
            </w:r>
          </w:p>
        </w:tc>
      </w:tr>
      <w:tr>
        <w:tc>
          <w:tcPr>
            <w:tcW w:type="dxa" w:w="2351"/>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20d</w:t>
            </w:r>
          </w:p>
        </w:tc>
        <w:tc>
          <w:tcPr>
            <w:tcW w:type="dxa" w:w="2351"/>
            <w:tcBorders>
              <w:top w:val="single" w:sz="4" w:space="0" w:color="C8D8E4"/>
              <w:left w:val="single" w:sz="4" w:space="0" w:color="C8D8E4"/>
              <w:bottom w:val="single" w:sz="4" w:space="0" w:color="C8D8E4"/>
              <w:right w:val="single" w:sz="4" w:space="0" w:color="C8D8E4"/>
            </w:tcBorders>
          </w:tcPr>
          <w:p>
            <w:r>
              <w:rPr>
                <w:sz w:val="20"/>
              </w:rPr>
              <w:t>~1 month</w:t>
            </w:r>
          </w:p>
        </w:tc>
        <w:tc>
          <w:tcPr>
            <w:tcW w:type="dxa" w:w="2351"/>
            <w:tcBorders>
              <w:top w:val="single" w:sz="4" w:space="0" w:color="C8D8E4"/>
              <w:left w:val="single" w:sz="4" w:space="0" w:color="C8D8E4"/>
              <w:bottom w:val="single" w:sz="4" w:space="0" w:color="C8D8E4"/>
              <w:right w:val="single" w:sz="4" w:space="0" w:color="C8D8E4"/>
            </w:tcBorders>
          </w:tcPr>
          <w:p>
            <w:r>
              <w:rPr>
                <w:sz w:val="20"/>
              </w:rPr>
              <w:t>10%</w:t>
            </w:r>
          </w:p>
        </w:tc>
        <w:tc>
          <w:tcPr>
            <w:tcW w:type="dxa" w:w="2351"/>
            <w:tcBorders>
              <w:top w:val="single" w:sz="4" w:space="0" w:color="C8D8E4"/>
              <w:left w:val="single" w:sz="4" w:space="0" w:color="C8D8E4"/>
              <w:bottom w:val="single" w:sz="4" w:space="0" w:color="C8D8E4"/>
              <w:right w:val="single" w:sz="4" w:space="0" w:color="C8D8E4"/>
            </w:tcBorders>
          </w:tcPr>
          <w:p>
            <w:r>
              <w:rPr>
                <w:sz w:val="20"/>
              </w:rPr>
              <w:t>Recent momentum — lowest weight, most noisy</w:t>
            </w:r>
          </w:p>
        </w:tc>
      </w:tr>
      <w:tr>
        <w:tc>
          <w:tcPr>
            <w:tcW w:type="dxa" w:w="2351"/>
            <w:shd w:val="clear" w:color="auto" w:fill="EEF3F8"/>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60d</w:t>
            </w:r>
          </w:p>
        </w:tc>
        <w:tc>
          <w:tcPr>
            <w:tcW w:type="dxa" w:w="2351"/>
            <w:shd w:val="clear" w:color="auto" w:fill="EEF3F8"/>
            <w:tcBorders>
              <w:top w:val="single" w:sz="4" w:space="0" w:color="C8D8E4"/>
              <w:left w:val="single" w:sz="4" w:space="0" w:color="C8D8E4"/>
              <w:bottom w:val="single" w:sz="4" w:space="0" w:color="C8D8E4"/>
              <w:right w:val="single" w:sz="4" w:space="0" w:color="C8D8E4"/>
            </w:tcBorders>
          </w:tcPr>
          <w:p>
            <w:r>
              <w:rPr>
                <w:sz w:val="20"/>
              </w:rPr>
              <w:t>~3 months</w:t>
            </w:r>
          </w:p>
        </w:tc>
        <w:tc>
          <w:tcPr>
            <w:tcW w:type="dxa" w:w="2351"/>
            <w:shd w:val="clear" w:color="auto" w:fill="EEF3F8"/>
            <w:tcBorders>
              <w:top w:val="single" w:sz="4" w:space="0" w:color="C8D8E4"/>
              <w:left w:val="single" w:sz="4" w:space="0" w:color="C8D8E4"/>
              <w:bottom w:val="single" w:sz="4" w:space="0" w:color="C8D8E4"/>
              <w:right w:val="single" w:sz="4" w:space="0" w:color="C8D8E4"/>
            </w:tcBorders>
          </w:tcPr>
          <w:p>
            <w:r>
              <w:rPr>
                <w:sz w:val="20"/>
              </w:rPr>
              <w:t>20%</w:t>
            </w:r>
          </w:p>
        </w:tc>
        <w:tc>
          <w:tcPr>
            <w:tcW w:type="dxa" w:w="2351"/>
            <w:shd w:val="clear" w:color="auto" w:fill="EEF3F8"/>
            <w:tcBorders>
              <w:top w:val="single" w:sz="4" w:space="0" w:color="C8D8E4"/>
              <w:left w:val="single" w:sz="4" w:space="0" w:color="C8D8E4"/>
              <w:bottom w:val="single" w:sz="4" w:space="0" w:color="C8D8E4"/>
              <w:right w:val="single" w:sz="4" w:space="0" w:color="C8D8E4"/>
            </w:tcBorders>
          </w:tcPr>
          <w:p>
            <w:r>
              <w:rPr>
                <w:sz w:val="20"/>
              </w:rPr>
              <w:t>Short-term trend confirmation</w:t>
            </w:r>
          </w:p>
        </w:tc>
      </w:tr>
      <w:tr>
        <w:tc>
          <w:tcPr>
            <w:tcW w:type="dxa" w:w="2351"/>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126d</w:t>
            </w:r>
          </w:p>
        </w:tc>
        <w:tc>
          <w:tcPr>
            <w:tcW w:type="dxa" w:w="2351"/>
            <w:tcBorders>
              <w:top w:val="single" w:sz="4" w:space="0" w:color="C8D8E4"/>
              <w:left w:val="single" w:sz="4" w:space="0" w:color="C8D8E4"/>
              <w:bottom w:val="single" w:sz="4" w:space="0" w:color="C8D8E4"/>
              <w:right w:val="single" w:sz="4" w:space="0" w:color="C8D8E4"/>
            </w:tcBorders>
          </w:tcPr>
          <w:p>
            <w:r>
              <w:rPr>
                <w:sz w:val="20"/>
              </w:rPr>
              <w:t>~6 months</w:t>
            </w:r>
          </w:p>
        </w:tc>
        <w:tc>
          <w:tcPr>
            <w:tcW w:type="dxa" w:w="2351"/>
            <w:tcBorders>
              <w:top w:val="single" w:sz="4" w:space="0" w:color="C8D8E4"/>
              <w:left w:val="single" w:sz="4" w:space="0" w:color="C8D8E4"/>
              <w:bottom w:val="single" w:sz="4" w:space="0" w:color="C8D8E4"/>
              <w:right w:val="single" w:sz="4" w:space="0" w:color="C8D8E4"/>
            </w:tcBorders>
          </w:tcPr>
          <w:p>
            <w:r>
              <w:rPr>
                <w:sz w:val="20"/>
              </w:rPr>
              <w:t>30%</w:t>
            </w:r>
          </w:p>
        </w:tc>
        <w:tc>
          <w:tcPr>
            <w:tcW w:type="dxa" w:w="2351"/>
            <w:tcBorders>
              <w:top w:val="single" w:sz="4" w:space="0" w:color="C8D8E4"/>
              <w:left w:val="single" w:sz="4" w:space="0" w:color="C8D8E4"/>
              <w:bottom w:val="single" w:sz="4" w:space="0" w:color="C8D8E4"/>
              <w:right w:val="single" w:sz="4" w:space="0" w:color="C8D8E4"/>
            </w:tcBorders>
          </w:tcPr>
          <w:p>
            <w:r>
              <w:rPr>
                <w:sz w:val="20"/>
              </w:rPr>
              <w:t>Medium-term leadership — primary signal</w:t>
            </w:r>
          </w:p>
        </w:tc>
      </w:tr>
      <w:tr>
        <w:tc>
          <w:tcPr>
            <w:tcW w:type="dxa" w:w="2351"/>
            <w:shd w:val="clear" w:color="auto" w:fill="EEF3F8"/>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252d</w:t>
            </w:r>
          </w:p>
        </w:tc>
        <w:tc>
          <w:tcPr>
            <w:tcW w:type="dxa" w:w="2351"/>
            <w:shd w:val="clear" w:color="auto" w:fill="EEF3F8"/>
            <w:tcBorders>
              <w:top w:val="single" w:sz="4" w:space="0" w:color="C8D8E4"/>
              <w:left w:val="single" w:sz="4" w:space="0" w:color="C8D8E4"/>
              <w:bottom w:val="single" w:sz="4" w:space="0" w:color="C8D8E4"/>
              <w:right w:val="single" w:sz="4" w:space="0" w:color="C8D8E4"/>
            </w:tcBorders>
          </w:tcPr>
          <w:p>
            <w:r>
              <w:rPr>
                <w:sz w:val="20"/>
              </w:rPr>
              <w:t>~12 months</w:t>
            </w:r>
          </w:p>
        </w:tc>
        <w:tc>
          <w:tcPr>
            <w:tcW w:type="dxa" w:w="2351"/>
            <w:shd w:val="clear" w:color="auto" w:fill="EEF3F8"/>
            <w:tcBorders>
              <w:top w:val="single" w:sz="4" w:space="0" w:color="C8D8E4"/>
              <w:left w:val="single" w:sz="4" w:space="0" w:color="C8D8E4"/>
              <w:bottom w:val="single" w:sz="4" w:space="0" w:color="C8D8E4"/>
              <w:right w:val="single" w:sz="4" w:space="0" w:color="C8D8E4"/>
            </w:tcBorders>
          </w:tcPr>
          <w:p>
            <w:r>
              <w:rPr>
                <w:sz w:val="20"/>
              </w:rPr>
              <w:t>40%</w:t>
            </w:r>
          </w:p>
        </w:tc>
        <w:tc>
          <w:tcPr>
            <w:tcW w:type="dxa" w:w="2351"/>
            <w:shd w:val="clear" w:color="auto" w:fill="EEF3F8"/>
            <w:tcBorders>
              <w:top w:val="single" w:sz="4" w:space="0" w:color="C8D8E4"/>
              <w:left w:val="single" w:sz="4" w:space="0" w:color="C8D8E4"/>
              <w:bottom w:val="single" w:sz="4" w:space="0" w:color="C8D8E4"/>
              <w:right w:val="single" w:sz="4" w:space="0" w:color="C8D8E4"/>
            </w:tcBorders>
          </w:tcPr>
          <w:p>
            <w:r>
              <w:rPr>
                <w:sz w:val="20"/>
              </w:rPr>
              <w:t>Long-term leadership — highest weight, most reliable</w:t>
            </w:r>
          </w:p>
        </w:tc>
      </w:tr>
    </w:tbl>
    <w:p/>
    <w:tbl>
      <w:tblPr>
        <w:tblW w:type="auto" w:w="0"/>
        <w:jc w:val="left"/>
        <w:tblLook w:firstColumn="1" w:firstRow="1" w:lastColumn="0" w:lastRow="0" w:noHBand="0" w:noVBand="1" w:val="04A0"/>
      </w:tblPr>
      <w:tblGrid>
        <w:gridCol w:w="9406"/>
      </w:tblGrid>
      <w:tr>
        <w:tc>
          <w:tcPr>
            <w:tcW w:type="dxa" w:w="9406"/>
            <w:shd w:val="clear" w:color="auto" w:fill="FFF3CD"/>
            <w:tcBorders>
              <w:top w:val="single" w:sz="4" w:space="0" w:color="C8973A"/>
              <w:left w:val="single" w:sz="4" w:space="0" w:color="C8973A"/>
              <w:bottom w:val="single" w:sz="4" w:space="0" w:color="C8973A"/>
              <w:right w:val="single" w:sz="4" w:space="0" w:color="C8973A"/>
            </w:tcBorders>
          </w:tcPr>
          <w:p>
            <w:r>
              <w:rPr>
                <w:rFonts w:ascii="Courier New" w:hAnsi="Courier New"/>
                <w:b/>
                <w:i w:val="0"/>
                <w:color w:val="C8973A"/>
                <w:sz w:val="16"/>
              </w:rPr>
              <w:t xml:space="preserve">⚠ IMPORTANT  </w:t>
            </w:r>
            <w:r>
              <w:rPr>
                <w:b w:val="0"/>
                <w:i w:val="0"/>
                <w:color w:val="1C2533"/>
                <w:sz w:val="20"/>
              </w:rPr>
              <w:t>The 4 lookbacks use .sum() of daily pct_change(), NOT compounded returns. This is an approximation of total return. For small returns (&lt;30%) it is nearly identical to log-return, but for large moves (&gt;50%) there is a meaningful difference. The system uses this consistently for all tickers, so rankings are still valid.</w:t>
            </w:r>
          </w:p>
        </w:tc>
      </w:tr>
    </w:tbl>
    <w:p/>
    <w:p>
      <w:pPr>
        <w:spacing w:before="280" w:after="60"/>
      </w:pPr>
      <w:r>
        <w:rPr>
          <w:rFonts w:ascii="Calibri" w:hAnsi="Calibri"/>
          <w:b/>
          <w:color w:val="3B6EA5"/>
          <w:sz w:val="25"/>
        </w:rPr>
        <w:t>1B. min_periods Rule</w:t>
      </w:r>
    </w:p>
    <w:p>
      <w:pPr>
        <w:spacing w:after="80"/>
        <w:ind w:left="0"/>
      </w:pPr>
      <w:r>
        <w:rPr>
          <w:color w:val="2C3A4F"/>
          <w:sz w:val="21"/>
        </w:rPr>
        <w:t>Each rolling calculation uses min_periods = int(lookback × 0.6):</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Lookback</w:t>
            </w:r>
          </w:p>
        </w:tc>
        <w:tc>
          <w:tcPr>
            <w:tcW w:type="dxa" w:w="3135"/>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min_periods</w:t>
            </w:r>
          </w:p>
        </w:tc>
        <w:tc>
          <w:tcPr>
            <w:tcW w:type="dxa" w:w="3135"/>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Meaning</w:t>
            </w:r>
          </w:p>
        </w:tc>
      </w:tr>
      <w:tr>
        <w:tc>
          <w:tcPr>
            <w:tcW w:type="dxa" w:w="3135"/>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20d</w:t>
            </w:r>
          </w:p>
        </w:tc>
        <w:tc>
          <w:tcPr>
            <w:tcW w:type="dxa" w:w="3135"/>
            <w:tcBorders>
              <w:top w:val="single" w:sz="4" w:space="0" w:color="C8D8E4"/>
              <w:left w:val="single" w:sz="4" w:space="0" w:color="C8D8E4"/>
              <w:bottom w:val="single" w:sz="4" w:space="0" w:color="C8D8E4"/>
              <w:right w:val="single" w:sz="4" w:space="0" w:color="C8D8E4"/>
            </w:tcBorders>
          </w:tcPr>
          <w:p>
            <w:r>
              <w:rPr>
                <w:sz w:val="20"/>
              </w:rPr>
              <w:t>12 bars</w:t>
            </w:r>
          </w:p>
        </w:tc>
        <w:tc>
          <w:tcPr>
            <w:tcW w:type="dxa" w:w="3135"/>
            <w:tcBorders>
              <w:top w:val="single" w:sz="4" w:space="0" w:color="C8D8E4"/>
              <w:left w:val="single" w:sz="4" w:space="0" w:color="C8D8E4"/>
              <w:bottom w:val="single" w:sz="4" w:space="0" w:color="C8D8E4"/>
              <w:right w:val="single" w:sz="4" w:space="0" w:color="C8D8E4"/>
            </w:tcBorders>
          </w:tcPr>
          <w:p>
            <w:r>
              <w:rPr>
                <w:sz w:val="20"/>
              </w:rPr>
              <w:t>Ticker needs at least 12 of the last 20 trading days to compute</w:t>
            </w:r>
          </w:p>
        </w:tc>
      </w:tr>
      <w:tr>
        <w:tc>
          <w:tcPr>
            <w:tcW w:type="dxa" w:w="3135"/>
            <w:shd w:val="clear" w:color="auto" w:fill="EEF3F8"/>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60d</w:t>
            </w:r>
          </w:p>
        </w:tc>
        <w:tc>
          <w:tcPr>
            <w:tcW w:type="dxa" w:w="3135"/>
            <w:shd w:val="clear" w:color="auto" w:fill="EEF3F8"/>
            <w:tcBorders>
              <w:top w:val="single" w:sz="4" w:space="0" w:color="C8D8E4"/>
              <w:left w:val="single" w:sz="4" w:space="0" w:color="C8D8E4"/>
              <w:bottom w:val="single" w:sz="4" w:space="0" w:color="C8D8E4"/>
              <w:right w:val="single" w:sz="4" w:space="0" w:color="C8D8E4"/>
            </w:tcBorders>
          </w:tcPr>
          <w:p>
            <w:r>
              <w:rPr>
                <w:sz w:val="20"/>
              </w:rPr>
              <w:t>36 bars</w:t>
            </w:r>
          </w:p>
        </w:tc>
        <w:tc>
          <w:tcPr>
            <w:tcW w:type="dxa" w:w="3135"/>
            <w:shd w:val="clear" w:color="auto" w:fill="EEF3F8"/>
            <w:tcBorders>
              <w:top w:val="single" w:sz="4" w:space="0" w:color="C8D8E4"/>
              <w:left w:val="single" w:sz="4" w:space="0" w:color="C8D8E4"/>
              <w:bottom w:val="single" w:sz="4" w:space="0" w:color="C8D8E4"/>
              <w:right w:val="single" w:sz="4" w:space="0" w:color="C8D8E4"/>
            </w:tcBorders>
          </w:tcPr>
          <w:p>
            <w:r>
              <w:rPr>
                <w:sz w:val="20"/>
              </w:rPr>
              <w:t>At least 36 of last 60 days</w:t>
            </w:r>
          </w:p>
        </w:tc>
      </w:tr>
      <w:tr>
        <w:tc>
          <w:tcPr>
            <w:tcW w:type="dxa" w:w="3135"/>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126d</w:t>
            </w:r>
          </w:p>
        </w:tc>
        <w:tc>
          <w:tcPr>
            <w:tcW w:type="dxa" w:w="3135"/>
            <w:tcBorders>
              <w:top w:val="single" w:sz="4" w:space="0" w:color="C8D8E4"/>
              <w:left w:val="single" w:sz="4" w:space="0" w:color="C8D8E4"/>
              <w:bottom w:val="single" w:sz="4" w:space="0" w:color="C8D8E4"/>
              <w:right w:val="single" w:sz="4" w:space="0" w:color="C8D8E4"/>
            </w:tcBorders>
          </w:tcPr>
          <w:p>
            <w:r>
              <w:rPr>
                <w:sz w:val="20"/>
              </w:rPr>
              <w:t>75 bars</w:t>
            </w:r>
          </w:p>
        </w:tc>
        <w:tc>
          <w:tcPr>
            <w:tcW w:type="dxa" w:w="3135"/>
            <w:tcBorders>
              <w:top w:val="single" w:sz="4" w:space="0" w:color="C8D8E4"/>
              <w:left w:val="single" w:sz="4" w:space="0" w:color="C8D8E4"/>
              <w:bottom w:val="single" w:sz="4" w:space="0" w:color="C8D8E4"/>
              <w:right w:val="single" w:sz="4" w:space="0" w:color="C8D8E4"/>
            </w:tcBorders>
          </w:tcPr>
          <w:p>
            <w:r>
              <w:rPr>
                <w:sz w:val="20"/>
              </w:rPr>
              <w:t>At least 75 of last 126 days</w:t>
            </w:r>
          </w:p>
        </w:tc>
      </w:tr>
      <w:tr>
        <w:tc>
          <w:tcPr>
            <w:tcW w:type="dxa" w:w="3135"/>
            <w:shd w:val="clear" w:color="auto" w:fill="EEF3F8"/>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252d</w:t>
            </w:r>
          </w:p>
        </w:tc>
        <w:tc>
          <w:tcPr>
            <w:tcW w:type="dxa" w:w="3135"/>
            <w:shd w:val="clear" w:color="auto" w:fill="EEF3F8"/>
            <w:tcBorders>
              <w:top w:val="single" w:sz="4" w:space="0" w:color="C8D8E4"/>
              <w:left w:val="single" w:sz="4" w:space="0" w:color="C8D8E4"/>
              <w:bottom w:val="single" w:sz="4" w:space="0" w:color="C8D8E4"/>
              <w:right w:val="single" w:sz="4" w:space="0" w:color="C8D8E4"/>
            </w:tcBorders>
          </w:tcPr>
          <w:p>
            <w:r>
              <w:rPr>
                <w:sz w:val="20"/>
              </w:rPr>
              <w:t>151 bars</w:t>
            </w:r>
          </w:p>
        </w:tc>
        <w:tc>
          <w:tcPr>
            <w:tcW w:type="dxa" w:w="3135"/>
            <w:shd w:val="clear" w:color="auto" w:fill="EEF3F8"/>
            <w:tcBorders>
              <w:top w:val="single" w:sz="4" w:space="0" w:color="C8D8E4"/>
              <w:left w:val="single" w:sz="4" w:space="0" w:color="C8D8E4"/>
              <w:bottom w:val="single" w:sz="4" w:space="0" w:color="C8D8E4"/>
              <w:right w:val="single" w:sz="4" w:space="0" w:color="C8D8E4"/>
            </w:tcBorders>
          </w:tcPr>
          <w:p>
            <w:r>
              <w:rPr>
                <w:sz w:val="20"/>
              </w:rPr>
              <w:t>At least 151 of last 252 days — most restrictive in practice</w:t>
            </w:r>
          </w:p>
        </w:tc>
      </w:tr>
    </w:tbl>
    <w:p/>
    <w:tbl>
      <w:tblPr>
        <w:tblW w:type="auto" w:w="0"/>
        <w:jc w:val="left"/>
        <w:tblLook w:firstColumn="1" w:firstRow="1" w:lastColumn="0" w:lastRow="0" w:noHBand="0" w:noVBand="1" w:val="04A0"/>
      </w:tblPr>
      <w:tblGrid>
        <w:gridCol w:w="9406"/>
      </w:tblGrid>
      <w:tr>
        <w:tc>
          <w:tcPr>
            <w:tcW w:type="dxa" w:w="9406"/>
            <w:shd w:val="clear" w:color="auto" w:fill="E8F0FB"/>
            <w:tcBorders>
              <w:top w:val="single" w:sz="4" w:space="0" w:color="3B6EA5"/>
              <w:left w:val="single" w:sz="4" w:space="0" w:color="3B6EA5"/>
              <w:bottom w:val="single" w:sz="4" w:space="0" w:color="3B6EA5"/>
              <w:right w:val="single" w:sz="4" w:space="0" w:color="3B6EA5"/>
            </w:tcBorders>
          </w:tcPr>
          <w:p>
            <w:r>
              <w:rPr>
                <w:rFonts w:ascii="Courier New" w:hAnsi="Courier New"/>
                <w:b/>
                <w:i w:val="0"/>
                <w:color w:val="C8973A"/>
                <w:sz w:val="16"/>
              </w:rPr>
              <w:t xml:space="preserve">IMPLEMENTATION NOTE  </w:t>
            </w:r>
            <w:r>
              <w:rPr>
                <w:b w:val="0"/>
                <w:i w:val="0"/>
                <w:color w:val="1C2533"/>
                <w:sz w:val="20"/>
              </w:rPr>
              <w:t>If ANY of the 4 lookbacks returns NaN (not enough data), rs_raw is not computed and the ticker is excluded. The 252d lookback with min_periods=151 is the binding constraint for most recently-listed stocks.</w:t>
            </w:r>
          </w:p>
        </w:tc>
      </w:tr>
    </w:tbl>
    <w:p/>
    <w:p>
      <w:pPr>
        <w:spacing w:before="280" w:after="60"/>
      </w:pPr>
      <w:r>
        <w:rPr>
          <w:rFonts w:ascii="Calibri" w:hAnsi="Calibri"/>
          <w:b/>
          <w:color w:val="3B6EA5"/>
          <w:sz w:val="25"/>
        </w:rPr>
        <w:t>1C. RS Score Assembly</w:t>
      </w:r>
    </w:p>
    <w:p>
      <w:pPr>
        <w:spacing w:before="60" w:after="120"/>
        <w:shd w:val="clear" w:color="auto" w:fill="0B1D35"/>
      </w:pPr>
      <w:r>
        <w:rPr>
          <w:rFonts w:ascii="Courier New" w:hAnsi="Courier New"/>
          <w:color w:val="C8D8EE"/>
          <w:sz w:val="18"/>
        </w:rPr>
        <w:t>parts = [er(20,0.1), er(60,0.2), er(126,0.3), er(252,0.4)]</w:t>
        <w:br/>
        <w:t>if any(p is None for p in parts):</w:t>
        <w:br/>
        <w:t xml:space="preserve">    continue  # exclude ticker — one lookback returned NaN</w:t>
        <w:br/>
        <w:br/>
        <w:t>rs_raw = sum(parts)  # weighted sum of 4 excess returns</w:t>
        <w:br/>
        <w:t># rs_raw is unbounded — can range from approx -1.0 to +1.0</w:t>
        <w:br/>
        <w:t># (e.g., +0.5 means 50% cumulative excess return over SPY when equally-weighted)</w:t>
      </w:r>
    </w:p>
    <w:p>
      <w:pPr>
        <w:spacing w:before="280" w:after="60"/>
      </w:pPr>
      <w:r>
        <w:rPr>
          <w:rFonts w:ascii="Calibri" w:hAnsi="Calibri"/>
          <w:b/>
          <w:color w:val="3B6EA5"/>
          <w:sz w:val="25"/>
        </w:rPr>
        <w:t>1D. Percentile Ranking</w:t>
      </w:r>
    </w:p>
    <w:p>
      <w:pPr>
        <w:spacing w:after="80"/>
        <w:ind w:left="0"/>
      </w:pPr>
      <w:r>
        <w:rPr>
          <w:color w:val="2C3A4F"/>
          <w:sz w:val="21"/>
        </w:rPr>
        <w:t>After all tickers are scored, rs_raw values are ranked within the universe to produce a percentile score:</w:t>
      </w:r>
    </w:p>
    <w:p>
      <w:pPr>
        <w:spacing w:before="60" w:after="120"/>
        <w:shd w:val="clear" w:color="auto" w:fill="0B1D35"/>
      </w:pPr>
      <w:r>
        <w:rPr>
          <w:rFonts w:ascii="Courier New" w:hAnsi="Courier New"/>
          <w:color w:val="C8D8EE"/>
          <w:sz w:val="18"/>
        </w:rPr>
        <w:t>df['rs_pct'] = df['rs_raw'].rank(pct=True) * 100</w:t>
        <w:br/>
        <w:t># rs_pct range: 0.0 (worst) to 100.0 (best)</w:t>
        <w:br/>
        <w:t># 50th percentile = median RS in universe</w:t>
        <w:br/>
        <w:t># 80th percentile = top 20% — Gate 1 threshold</w:t>
      </w:r>
    </w:p>
    <w:tbl>
      <w:tblPr>
        <w:tblW w:type="auto" w:w="0"/>
        <w:jc w:val="left"/>
        <w:tblLook w:firstColumn="1" w:firstRow="1" w:lastColumn="0" w:lastRow="0" w:noHBand="0" w:noVBand="1" w:val="04A0"/>
      </w:tblPr>
      <w:tblGrid>
        <w:gridCol w:w="9406"/>
      </w:tblGrid>
      <w:tr>
        <w:tc>
          <w:tcPr>
            <w:tcW w:type="dxa" w:w="9406"/>
            <w:shd w:val="clear" w:color="auto" w:fill="FFF3CD"/>
            <w:tcBorders>
              <w:top w:val="single" w:sz="4" w:space="0" w:color="C8973A"/>
              <w:left w:val="single" w:sz="4" w:space="0" w:color="C8973A"/>
              <w:bottom w:val="single" w:sz="4" w:space="0" w:color="C8973A"/>
              <w:right w:val="single" w:sz="4" w:space="0" w:color="C8973A"/>
            </w:tcBorders>
          </w:tcPr>
          <w:p>
            <w:r>
              <w:rPr>
                <w:rFonts w:ascii="Courier New" w:hAnsi="Courier New"/>
                <w:b/>
                <w:i w:val="0"/>
                <w:color w:val="C8973A"/>
                <w:sz w:val="16"/>
              </w:rPr>
              <w:t xml:space="preserve">⚠ IMPORTANT  </w:t>
            </w:r>
            <w:r>
              <w:rPr>
                <w:b w:val="0"/>
                <w:i w:val="0"/>
                <w:color w:val="1C2533"/>
                <w:sz w:val="20"/>
              </w:rPr>
              <w:t>rs_pct is relative to the stocks that PASSED data quality (≥60 bars, all 4 lookbacks computable). If 450 tickers pass, rs_pct=80 means the top 90 stocks by RS. If only 300 tickers pass (e.g., market-wide data issue), the pool is smaller. The threshold is always percentile-based, never an absolute RS value.</w:t>
            </w:r>
          </w:p>
        </w:tc>
      </w:tr>
    </w:tbl>
    <w:p/>
    <w:p>
      <w:pPr>
        <w:spacing w:before="280" w:after="60"/>
      </w:pPr>
      <w:r>
        <w:rPr>
          <w:rFonts w:ascii="Calibri" w:hAnsi="Calibri"/>
          <w:b/>
          <w:color w:val="3B6EA5"/>
          <w:sz w:val="25"/>
        </w:rPr>
        <w:t>1E. Gate 1 — RS Threshold</w:t>
      </w:r>
    </w:p>
    <w:p>
      <w:pPr>
        <w:spacing w:before="60" w:after="120"/>
        <w:shd w:val="clear" w:color="auto" w:fill="0B1D35"/>
      </w:pPr>
      <w:r>
        <w:rPr>
          <w:rFonts w:ascii="Courier New" w:hAnsi="Courier New"/>
          <w:color w:val="C8D8EE"/>
          <w:sz w:val="18"/>
        </w:rPr>
        <w:t>RS_THRESH = 80  # 80th percentile = top 20%</w:t>
        <w:br/>
        <w:br/>
        <w:t>mask_rs = (sig['rs_pct'] &gt;= RS_THRESH)</w:t>
      </w:r>
    </w:p>
    <w:p>
      <w:pPr>
        <w:spacing w:after="80"/>
        <w:ind w:left="0"/>
      </w:pPr>
      <w:r>
        <w:rPr>
          <w:color w:val="2C3A4F"/>
          <w:sz w:val="21"/>
        </w:rPr>
        <w:t>Tickers with rs_pct &lt; 80 are eliminated. Approximately 80–85% of the universe is eliminated at this stage.</w:t>
      </w:r>
    </w:p>
    <w:p>
      <w:pPr>
        <w:spacing w:before="80" w:after="80"/>
        <w:pBdr>
          <w:bottom w:val="single" w:sz="4" w:space="1" w:color="D0D8E8"/>
        </w:pBdr>
      </w:pPr>
    </w:p>
    <w:p>
      <w:pPr>
        <w:spacing w:before="400" w:after="120"/>
        <w:pBdr>
          <w:bottom w:val="single" w:sz="8" w:space="1" w:color="0B1D35"/>
        </w:pBdr>
      </w:pPr>
      <w:r>
        <w:rPr>
          <w:rFonts w:ascii="Calibri" w:hAnsi="Calibri"/>
          <w:b/>
          <w:color w:val="0B1D35"/>
          <w:sz w:val="34"/>
        </w:rPr>
        <w:t>Step 2 — MA200 Stage Filter (Gate 2)</w:t>
      </w:r>
    </w:p>
    <w:p>
      <w:pPr>
        <w:spacing w:before="280" w:after="60"/>
      </w:pPr>
      <w:r>
        <w:rPr>
          <w:rFonts w:ascii="Calibri" w:hAnsi="Calibri"/>
          <w:b/>
          <w:color w:val="3B6EA5"/>
          <w:sz w:val="25"/>
        </w:rPr>
        <w:t>2A. Calculation</w:t>
      </w:r>
    </w:p>
    <w:p>
      <w:pPr>
        <w:spacing w:before="60" w:after="120"/>
        <w:shd w:val="clear" w:color="auto" w:fill="0B1D35"/>
      </w:pPr>
      <w:r>
        <w:rPr>
          <w:rFonts w:ascii="Courier New" w:hAnsi="Courier New"/>
          <w:color w:val="C8D8EE"/>
          <w:sz w:val="18"/>
        </w:rPr>
        <w:t># 200-day simple moving average</w:t>
        <w:br/>
        <w:t>ma200 = aligned_px.rolling(200, min_periods=150).mean()</w:t>
        <w:br/>
        <w:t>ma200_today = float(ma200.iloc[-1])</w:t>
        <w:br/>
        <w:br/>
        <w:t>if pd.isna(ma200_today):</w:t>
        <w:br/>
        <w:t xml:space="preserve">    continue  # exclude — not enough history for MA200</w:t>
        <w:br/>
        <w:br/>
        <w:t>vs_ma200 = (close / ma200_today - 1) * 100  # % above/below MA200</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Parameter</w:t>
            </w:r>
          </w:p>
        </w:tc>
        <w:tc>
          <w:tcPr>
            <w:tcW w:type="dxa" w:w="3135"/>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Value</w:t>
            </w:r>
          </w:p>
        </w:tc>
        <w:tc>
          <w:tcPr>
            <w:tcW w:type="dxa" w:w="3135"/>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Rationale</w:t>
            </w:r>
          </w:p>
        </w:tc>
      </w:tr>
      <w:tr>
        <w:tc>
          <w:tcPr>
            <w:tcW w:type="dxa" w:w="3135"/>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Window</w:t>
            </w:r>
          </w:p>
        </w:tc>
        <w:tc>
          <w:tcPr>
            <w:tcW w:type="dxa" w:w="3135"/>
            <w:tcBorders>
              <w:top w:val="single" w:sz="4" w:space="0" w:color="C8D8E4"/>
              <w:left w:val="single" w:sz="4" w:space="0" w:color="C8D8E4"/>
              <w:bottom w:val="single" w:sz="4" w:space="0" w:color="C8D8E4"/>
              <w:right w:val="single" w:sz="4" w:space="0" w:color="C8D8E4"/>
            </w:tcBorders>
          </w:tcPr>
          <w:p>
            <w:r>
              <w:rPr>
                <w:sz w:val="20"/>
              </w:rPr>
              <w:t>200 days (200d SMA)</w:t>
            </w:r>
          </w:p>
        </w:tc>
        <w:tc>
          <w:tcPr>
            <w:tcW w:type="dxa" w:w="3135"/>
            <w:tcBorders>
              <w:top w:val="single" w:sz="4" w:space="0" w:color="C8D8E4"/>
              <w:left w:val="single" w:sz="4" w:space="0" w:color="C8D8E4"/>
              <w:bottom w:val="single" w:sz="4" w:space="0" w:color="C8D8E4"/>
              <w:right w:val="single" w:sz="4" w:space="0" w:color="C8D8E4"/>
            </w:tcBorders>
          </w:tcPr>
          <w:p>
            <w:r>
              <w:rPr>
                <w:sz w:val="20"/>
              </w:rPr>
              <w:t>Standard institutional benchmark for long-term trend</w:t>
            </w:r>
          </w:p>
        </w:tc>
      </w:tr>
      <w:tr>
        <w:tc>
          <w:tcPr>
            <w:tcW w:type="dxa" w:w="3135"/>
            <w:shd w:val="clear" w:color="auto" w:fill="EEF3F8"/>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min_periods</w:t>
            </w:r>
          </w:p>
        </w:tc>
        <w:tc>
          <w:tcPr>
            <w:tcW w:type="dxa" w:w="3135"/>
            <w:shd w:val="clear" w:color="auto" w:fill="EEF3F8"/>
            <w:tcBorders>
              <w:top w:val="single" w:sz="4" w:space="0" w:color="C8D8E4"/>
              <w:left w:val="single" w:sz="4" w:space="0" w:color="C8D8E4"/>
              <w:bottom w:val="single" w:sz="4" w:space="0" w:color="C8D8E4"/>
              <w:right w:val="single" w:sz="4" w:space="0" w:color="C8D8E4"/>
            </w:tcBorders>
          </w:tcPr>
          <w:p>
            <w:r>
              <w:rPr>
                <w:sz w:val="20"/>
              </w:rPr>
              <w:t>150 bars</w:t>
            </w:r>
          </w:p>
        </w:tc>
        <w:tc>
          <w:tcPr>
            <w:tcW w:type="dxa" w:w="3135"/>
            <w:shd w:val="clear" w:color="auto" w:fill="EEF3F8"/>
            <w:tcBorders>
              <w:top w:val="single" w:sz="4" w:space="0" w:color="C8D8E4"/>
              <w:left w:val="single" w:sz="4" w:space="0" w:color="C8D8E4"/>
              <w:bottom w:val="single" w:sz="4" w:space="0" w:color="C8D8E4"/>
              <w:right w:val="single" w:sz="4" w:space="0" w:color="C8D8E4"/>
            </w:tcBorders>
          </w:tcPr>
          <w:p>
            <w:r>
              <w:rPr>
                <w:sz w:val="20"/>
              </w:rPr>
              <w:t>Allows entry 50 days before full MA200 is established</w:t>
            </w:r>
          </w:p>
        </w:tc>
      </w:tr>
      <w:tr>
        <w:tc>
          <w:tcPr>
            <w:tcW w:type="dxa" w:w="3135"/>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Gate condition</w:t>
            </w:r>
          </w:p>
        </w:tc>
        <w:tc>
          <w:tcPr>
            <w:tcW w:type="dxa" w:w="3135"/>
            <w:tcBorders>
              <w:top w:val="single" w:sz="4" w:space="0" w:color="C8D8E4"/>
              <w:left w:val="single" w:sz="4" w:space="0" w:color="C8D8E4"/>
              <w:bottom w:val="single" w:sz="4" w:space="0" w:color="C8D8E4"/>
              <w:right w:val="single" w:sz="4" w:space="0" w:color="C8D8E4"/>
            </w:tcBorders>
          </w:tcPr>
          <w:p>
            <w:r>
              <w:rPr>
                <w:sz w:val="20"/>
              </w:rPr>
              <w:t>close &gt; MA200 (vs_ma200_pct ≥ 0)</w:t>
            </w:r>
          </w:p>
        </w:tc>
        <w:tc>
          <w:tcPr>
            <w:tcW w:type="dxa" w:w="3135"/>
            <w:tcBorders>
              <w:top w:val="single" w:sz="4" w:space="0" w:color="C8D8E4"/>
              <w:left w:val="single" w:sz="4" w:space="0" w:color="C8D8E4"/>
              <w:bottom w:val="single" w:sz="4" w:space="0" w:color="C8D8E4"/>
              <w:right w:val="single" w:sz="4" w:space="0" w:color="C8D8E4"/>
            </w:tcBorders>
          </w:tcPr>
          <w:p>
            <w:r>
              <w:rPr>
                <w:sz w:val="20"/>
              </w:rPr>
              <w:t>Strictly above — equals fails the gate</w:t>
            </w:r>
          </w:p>
        </w:tc>
      </w:tr>
    </w:tbl>
    <w:p/>
    <w:p>
      <w:pPr>
        <w:spacing w:before="280" w:after="60"/>
      </w:pPr>
      <w:r>
        <w:rPr>
          <w:rFonts w:ascii="Calibri" w:hAnsi="Calibri"/>
          <w:b/>
          <w:color w:val="3B6EA5"/>
          <w:sz w:val="25"/>
        </w:rPr>
        <w:t>2B. What This Gate Eliminates</w:t>
      </w:r>
    </w:p>
    <w:p>
      <w:pPr>
        <w:spacing w:after="80"/>
        <w:ind w:left="0"/>
      </w:pPr>
      <w:r>
        <w:rPr>
          <w:color w:val="2C3A4F"/>
          <w:sz w:val="21"/>
        </w:rPr>
        <w:t>The MA200 filter identifies stocks in Stage 2 (markup) vs Stages 1/3/4:</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Stage</w:t>
            </w:r>
          </w:p>
        </w:tc>
        <w:tc>
          <w:tcPr>
            <w:tcW w:type="dxa" w:w="2351"/>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Description</w:t>
            </w:r>
          </w:p>
        </w:tc>
        <w:tc>
          <w:tcPr>
            <w:tcW w:type="dxa" w:w="2351"/>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MA200 Status</w:t>
            </w:r>
          </w:p>
        </w:tc>
        <w:tc>
          <w:tcPr>
            <w:tcW w:type="dxa" w:w="2351"/>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Gate 2 Result</w:t>
            </w:r>
          </w:p>
        </w:tc>
      </w:tr>
      <w:tr>
        <w:tc>
          <w:tcPr>
            <w:tcW w:type="dxa" w:w="2351"/>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Stage 1</w:t>
            </w:r>
          </w:p>
        </w:tc>
        <w:tc>
          <w:tcPr>
            <w:tcW w:type="dxa" w:w="2351"/>
            <w:tcBorders>
              <w:top w:val="single" w:sz="4" w:space="0" w:color="C8D8E4"/>
              <w:left w:val="single" w:sz="4" w:space="0" w:color="C8D8E4"/>
              <w:bottom w:val="single" w:sz="4" w:space="0" w:color="C8D8E4"/>
              <w:right w:val="single" w:sz="4" w:space="0" w:color="C8D8E4"/>
            </w:tcBorders>
          </w:tcPr>
          <w:p>
            <w:r>
              <w:rPr>
                <w:sz w:val="20"/>
              </w:rPr>
              <w:t>Accumulation — ranging below MA200</w:t>
            </w:r>
          </w:p>
        </w:tc>
        <w:tc>
          <w:tcPr>
            <w:tcW w:type="dxa" w:w="2351"/>
            <w:tcBorders>
              <w:top w:val="single" w:sz="4" w:space="0" w:color="C8D8E4"/>
              <w:left w:val="single" w:sz="4" w:space="0" w:color="C8D8E4"/>
              <w:bottom w:val="single" w:sz="4" w:space="0" w:color="C8D8E4"/>
              <w:right w:val="single" w:sz="4" w:space="0" w:color="C8D8E4"/>
            </w:tcBorders>
          </w:tcPr>
          <w:p>
            <w:r>
              <w:rPr>
                <w:sz w:val="20"/>
              </w:rPr>
              <w:t>Price &lt; MA200</w:t>
            </w:r>
          </w:p>
        </w:tc>
        <w:tc>
          <w:tcPr>
            <w:tcW w:type="dxa" w:w="2351"/>
            <w:tcBorders>
              <w:top w:val="single" w:sz="4" w:space="0" w:color="C8D8E4"/>
              <w:left w:val="single" w:sz="4" w:space="0" w:color="C8D8E4"/>
              <w:bottom w:val="single" w:sz="4" w:space="0" w:color="C8D8E4"/>
              <w:right w:val="single" w:sz="4" w:space="0" w:color="C8D8E4"/>
            </w:tcBorders>
          </w:tcPr>
          <w:p>
            <w:r>
              <w:rPr>
                <w:sz w:val="20"/>
              </w:rPr>
              <w:t>FAIL — excluded</w:t>
            </w:r>
          </w:p>
        </w:tc>
      </w:tr>
      <w:tr>
        <w:tc>
          <w:tcPr>
            <w:tcW w:type="dxa" w:w="2351"/>
            <w:shd w:val="clear" w:color="auto" w:fill="EEF3F8"/>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Stage 2</w:t>
            </w:r>
          </w:p>
        </w:tc>
        <w:tc>
          <w:tcPr>
            <w:tcW w:type="dxa" w:w="2351"/>
            <w:shd w:val="clear" w:color="auto" w:fill="EEF3F8"/>
            <w:tcBorders>
              <w:top w:val="single" w:sz="4" w:space="0" w:color="C8D8E4"/>
              <w:left w:val="single" w:sz="4" w:space="0" w:color="C8D8E4"/>
              <w:bottom w:val="single" w:sz="4" w:space="0" w:color="C8D8E4"/>
              <w:right w:val="single" w:sz="4" w:space="0" w:color="C8D8E4"/>
            </w:tcBorders>
          </w:tcPr>
          <w:p>
            <w:r>
              <w:rPr>
                <w:sz w:val="20"/>
              </w:rPr>
              <w:t>Markup — uptrend, price above MA200</w:t>
            </w:r>
          </w:p>
        </w:tc>
        <w:tc>
          <w:tcPr>
            <w:tcW w:type="dxa" w:w="2351"/>
            <w:shd w:val="clear" w:color="auto" w:fill="EEF3F8"/>
            <w:tcBorders>
              <w:top w:val="single" w:sz="4" w:space="0" w:color="C8D8E4"/>
              <w:left w:val="single" w:sz="4" w:space="0" w:color="C8D8E4"/>
              <w:bottom w:val="single" w:sz="4" w:space="0" w:color="C8D8E4"/>
              <w:right w:val="single" w:sz="4" w:space="0" w:color="C8D8E4"/>
            </w:tcBorders>
          </w:tcPr>
          <w:p>
            <w:r>
              <w:rPr>
                <w:sz w:val="20"/>
              </w:rPr>
              <w:t>Price &gt; MA200</w:t>
            </w:r>
          </w:p>
        </w:tc>
        <w:tc>
          <w:tcPr>
            <w:tcW w:type="dxa" w:w="2351"/>
            <w:shd w:val="clear" w:color="auto" w:fill="EEF3F8"/>
            <w:tcBorders>
              <w:top w:val="single" w:sz="4" w:space="0" w:color="C8D8E4"/>
              <w:left w:val="single" w:sz="4" w:space="0" w:color="C8D8E4"/>
              <w:bottom w:val="single" w:sz="4" w:space="0" w:color="C8D8E4"/>
              <w:right w:val="single" w:sz="4" w:space="0" w:color="C8D8E4"/>
            </w:tcBorders>
          </w:tcPr>
          <w:p>
            <w:r>
              <w:rPr>
                <w:sz w:val="20"/>
              </w:rPr>
              <w:t>PASS ✓</w:t>
            </w:r>
          </w:p>
        </w:tc>
      </w:tr>
      <w:tr>
        <w:tc>
          <w:tcPr>
            <w:tcW w:type="dxa" w:w="2351"/>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Stage 3</w:t>
            </w:r>
          </w:p>
        </w:tc>
        <w:tc>
          <w:tcPr>
            <w:tcW w:type="dxa" w:w="2351"/>
            <w:tcBorders>
              <w:top w:val="single" w:sz="4" w:space="0" w:color="C8D8E4"/>
              <w:left w:val="single" w:sz="4" w:space="0" w:color="C8D8E4"/>
              <w:bottom w:val="single" w:sz="4" w:space="0" w:color="C8D8E4"/>
              <w:right w:val="single" w:sz="4" w:space="0" w:color="C8D8E4"/>
            </w:tcBorders>
          </w:tcPr>
          <w:p>
            <w:r>
              <w:rPr>
                <w:sz w:val="20"/>
              </w:rPr>
              <w:t>Distribution — topping, may cross below</w:t>
            </w:r>
          </w:p>
        </w:tc>
        <w:tc>
          <w:tcPr>
            <w:tcW w:type="dxa" w:w="2351"/>
            <w:tcBorders>
              <w:top w:val="single" w:sz="4" w:space="0" w:color="C8D8E4"/>
              <w:left w:val="single" w:sz="4" w:space="0" w:color="C8D8E4"/>
              <w:bottom w:val="single" w:sz="4" w:space="0" w:color="C8D8E4"/>
              <w:right w:val="single" w:sz="4" w:space="0" w:color="C8D8E4"/>
            </w:tcBorders>
          </w:tcPr>
          <w:p>
            <w:r>
              <w:rPr>
                <w:sz w:val="20"/>
              </w:rPr>
              <w:t>Price near/below MA200</w:t>
            </w:r>
          </w:p>
        </w:tc>
        <w:tc>
          <w:tcPr>
            <w:tcW w:type="dxa" w:w="2351"/>
            <w:tcBorders>
              <w:top w:val="single" w:sz="4" w:space="0" w:color="C8D8E4"/>
              <w:left w:val="single" w:sz="4" w:space="0" w:color="C8D8E4"/>
              <w:bottom w:val="single" w:sz="4" w:space="0" w:color="C8D8E4"/>
              <w:right w:val="single" w:sz="4" w:space="0" w:color="C8D8E4"/>
            </w:tcBorders>
          </w:tcPr>
          <w:p>
            <w:r>
              <w:rPr>
                <w:sz w:val="20"/>
              </w:rPr>
              <w:t>FAIL — excluded</w:t>
            </w:r>
          </w:p>
        </w:tc>
      </w:tr>
      <w:tr>
        <w:tc>
          <w:tcPr>
            <w:tcW w:type="dxa" w:w="2351"/>
            <w:shd w:val="clear" w:color="auto" w:fill="EEF3F8"/>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Stage 4</w:t>
            </w:r>
          </w:p>
        </w:tc>
        <w:tc>
          <w:tcPr>
            <w:tcW w:type="dxa" w:w="2351"/>
            <w:shd w:val="clear" w:color="auto" w:fill="EEF3F8"/>
            <w:tcBorders>
              <w:top w:val="single" w:sz="4" w:space="0" w:color="C8D8E4"/>
              <w:left w:val="single" w:sz="4" w:space="0" w:color="C8D8E4"/>
              <w:bottom w:val="single" w:sz="4" w:space="0" w:color="C8D8E4"/>
              <w:right w:val="single" w:sz="4" w:space="0" w:color="C8D8E4"/>
            </w:tcBorders>
          </w:tcPr>
          <w:p>
            <w:r>
              <w:rPr>
                <w:sz w:val="20"/>
              </w:rPr>
              <w:t>Markdown — confirmed downtrend</w:t>
            </w:r>
          </w:p>
        </w:tc>
        <w:tc>
          <w:tcPr>
            <w:tcW w:type="dxa" w:w="2351"/>
            <w:shd w:val="clear" w:color="auto" w:fill="EEF3F8"/>
            <w:tcBorders>
              <w:top w:val="single" w:sz="4" w:space="0" w:color="C8D8E4"/>
              <w:left w:val="single" w:sz="4" w:space="0" w:color="C8D8E4"/>
              <w:bottom w:val="single" w:sz="4" w:space="0" w:color="C8D8E4"/>
              <w:right w:val="single" w:sz="4" w:space="0" w:color="C8D8E4"/>
            </w:tcBorders>
          </w:tcPr>
          <w:p>
            <w:r>
              <w:rPr>
                <w:sz w:val="20"/>
              </w:rPr>
              <w:t>Price &lt; MA200</w:t>
            </w:r>
          </w:p>
        </w:tc>
        <w:tc>
          <w:tcPr>
            <w:tcW w:type="dxa" w:w="2351"/>
            <w:shd w:val="clear" w:color="auto" w:fill="EEF3F8"/>
            <w:tcBorders>
              <w:top w:val="single" w:sz="4" w:space="0" w:color="C8D8E4"/>
              <w:left w:val="single" w:sz="4" w:space="0" w:color="C8D8E4"/>
              <w:bottom w:val="single" w:sz="4" w:space="0" w:color="C8D8E4"/>
              <w:right w:val="single" w:sz="4" w:space="0" w:color="C8D8E4"/>
            </w:tcBorders>
          </w:tcPr>
          <w:p>
            <w:r>
              <w:rPr>
                <w:sz w:val="20"/>
              </w:rPr>
              <w:t>FAIL — excluded</w:t>
            </w:r>
          </w:p>
        </w:tc>
      </w:tr>
    </w:tbl>
    <w:p/>
    <w:tbl>
      <w:tblPr>
        <w:tblW w:type="auto" w:w="0"/>
        <w:jc w:val="left"/>
        <w:tblLook w:firstColumn="1" w:firstRow="1" w:lastColumn="0" w:lastRow="0" w:noHBand="0" w:noVBand="1" w:val="04A0"/>
      </w:tblPr>
      <w:tblGrid>
        <w:gridCol w:w="9406"/>
      </w:tblGrid>
      <w:tr>
        <w:tc>
          <w:tcPr>
            <w:tcW w:type="dxa" w:w="9406"/>
            <w:shd w:val="clear" w:color="auto" w:fill="E8F0FB"/>
            <w:tcBorders>
              <w:top w:val="single" w:sz="4" w:space="0" w:color="3B6EA5"/>
              <w:left w:val="single" w:sz="4" w:space="0" w:color="3B6EA5"/>
              <w:bottom w:val="single" w:sz="4" w:space="0" w:color="3B6EA5"/>
              <w:right w:val="single" w:sz="4" w:space="0" w:color="3B6EA5"/>
            </w:tcBorders>
          </w:tcPr>
          <w:p>
            <w:r>
              <w:rPr>
                <w:rFonts w:ascii="Courier New" w:hAnsi="Courier New"/>
                <w:b/>
                <w:i w:val="0"/>
                <w:color w:val="C8973A"/>
                <w:sz w:val="16"/>
              </w:rPr>
              <w:t xml:space="preserve">IMPLEMENTATION NOTE  </w:t>
            </w:r>
            <w:r>
              <w:rPr>
                <w:b w:val="0"/>
                <w:i w:val="0"/>
                <w:color w:val="1C2533"/>
                <w:sz w:val="20"/>
              </w:rPr>
              <w:t>min_periods=150 (not 200) allows the MA200 to be computed for stocks that have 150–199 bars of history. For these stocks, the MA200 is based on whatever history is available, which makes it slightly more responsive than a true 200-day MA. This is intentional — it prevents newly-listed strong performers from being excluded due to insufficient history.</w:t>
            </w:r>
          </w:p>
        </w:tc>
      </w:tr>
    </w:tbl>
    <w:p/>
    <w:tbl>
      <w:tblPr>
        <w:tblW w:type="auto" w:w="0"/>
        <w:jc w:val="left"/>
        <w:tblLook w:firstColumn="1" w:firstRow="1" w:lastColumn="0" w:lastRow="0" w:noHBand="0" w:noVBand="1" w:val="04A0"/>
      </w:tblPr>
      <w:tblGrid>
        <w:gridCol w:w="9406"/>
      </w:tblGrid>
      <w:tr>
        <w:tc>
          <w:tcPr>
            <w:tcW w:type="dxa" w:w="9406"/>
            <w:shd w:val="clear" w:color="auto" w:fill="FFF3CD"/>
            <w:tcBorders>
              <w:top w:val="single" w:sz="4" w:space="0" w:color="C8973A"/>
              <w:left w:val="single" w:sz="4" w:space="0" w:color="C8973A"/>
              <w:bottom w:val="single" w:sz="4" w:space="0" w:color="C8973A"/>
              <w:right w:val="single" w:sz="4" w:space="0" w:color="C8973A"/>
            </w:tcBorders>
          </w:tcPr>
          <w:p>
            <w:r>
              <w:rPr>
                <w:rFonts w:ascii="Courier New" w:hAnsi="Courier New"/>
                <w:b/>
                <w:i w:val="0"/>
                <w:color w:val="C8973A"/>
                <w:sz w:val="16"/>
              </w:rPr>
              <w:t xml:space="preserve">⚠ IMPORTANT  </w:t>
            </w:r>
            <w:r>
              <w:rPr>
                <w:b w:val="0"/>
                <w:i w:val="0"/>
                <w:color w:val="1C2533"/>
                <w:sz w:val="20"/>
              </w:rPr>
              <w:t>vs_ma200_pct is stored as context data but the gate uses close &gt; MA200 (strictly greater). A stock exactly at its MA200 (vs_ma200 = 0.0) FAILS. There is no tolerance band — unlike some systems that use ±1% buffer.</w:t>
            </w:r>
          </w:p>
        </w:tc>
      </w:tr>
    </w:tbl>
    <w:p/>
    <w:p>
      <w:pPr>
        <w:spacing w:before="80" w:after="80"/>
        <w:pBdr>
          <w:bottom w:val="single" w:sz="4" w:space="1" w:color="D0D8E8"/>
        </w:pBdr>
      </w:pPr>
    </w:p>
    <w:p>
      <w:pPr>
        <w:spacing w:before="400" w:after="120"/>
        <w:pBdr>
          <w:bottom w:val="single" w:sz="8" w:space="1" w:color="0B1D35"/>
        </w:pBdr>
      </w:pPr>
      <w:r>
        <w:rPr>
          <w:rFonts w:ascii="Calibri" w:hAnsi="Calibri"/>
          <w:b/>
          <w:color w:val="0B1D35"/>
          <w:sz w:val="34"/>
        </w:rPr>
        <w:t>Step 3 — Volume Trend Gate (Gate 3)</w:t>
      </w:r>
    </w:p>
    <w:p>
      <w:pPr>
        <w:spacing w:before="280" w:after="60"/>
      </w:pPr>
      <w:r>
        <w:rPr>
          <w:rFonts w:ascii="Calibri" w:hAnsi="Calibri"/>
          <w:b/>
          <w:color w:val="3B6EA5"/>
          <w:sz w:val="25"/>
        </w:rPr>
        <w:t>3A. What vol_trend Measures</w:t>
      </w:r>
    </w:p>
    <w:p>
      <w:pPr>
        <w:spacing w:after="80"/>
        <w:ind w:left="0"/>
      </w:pPr>
      <w:r>
        <w:rPr>
          <w:color w:val="2C3A4F"/>
          <w:sz w:val="21"/>
        </w:rPr>
        <w:t>vol_trend = 20-day average daily volume ÷ 60-day average daily volume. It measures whether recent trading activity is ACCELERATING relative to the recent baseline. A ratio &gt; 1.0 means the stock is being traded more actively now than its 60-day average.</w:t>
      </w:r>
    </w:p>
    <w:p>
      <w:pPr>
        <w:spacing w:before="60" w:after="120"/>
        <w:shd w:val="clear" w:color="auto" w:fill="0B1D35"/>
      </w:pPr>
      <w:r>
        <w:rPr>
          <w:rFonts w:ascii="Courier New" w:hAnsi="Courier New"/>
          <w:color w:val="C8D8EE"/>
          <w:sz w:val="18"/>
        </w:rPr>
        <w:t># Volume alignment — must be aligned to same index as price</w:t>
        <w:br/>
        <w:t>vol_aligned = vol.reindex(aligned_px.index, method='ffill').dropna()</w:t>
        <w:br/>
        <w:t>vol_aligned = vol_aligned[vol_aligned &gt; 0]  # exclude zero-volume bars</w:t>
        <w:br/>
        <w:br/>
        <w:t>if len(vol_aligned) &gt;= 60:</w:t>
        <w:br/>
        <w:t xml:space="preserve">    v20 = float(vol_aligned.rolling(20, min_periods=10).mean().iloc[-1])</w:t>
        <w:br/>
        <w:t xml:space="preserve">    v60 = float(vol_aligned.rolling(60, min_periods=30).mean().iloc[-1])</w:t>
        <w:br/>
        <w:t xml:space="preserve">    vol_trend = v20 / v60 if v60 &gt; 0 else 0.0</w:t>
        <w:br/>
        <w:t>else:</w:t>
        <w:br/>
        <w:t xml:space="preserve">    vol_trend = 0.0  # not enough volume data → treated as failing</w:t>
      </w:r>
    </w:p>
    <w:tbl>
      <w:tblPr>
        <w:tblW w:type="auto" w:w="0"/>
        <w:jc w:val="left"/>
        <w:tblLook w:firstColumn="1" w:firstRow="1" w:lastColumn="0" w:lastRow="0" w:noHBand="0" w:noVBand="1" w:val="04A0"/>
      </w:tblPr>
      <w:tblGrid>
        <w:gridCol w:w="9406"/>
      </w:tblGrid>
      <w:tr>
        <w:tc>
          <w:tcPr>
            <w:tcW w:type="dxa" w:w="9406"/>
            <w:shd w:val="clear" w:color="auto" w:fill="FFF3CD"/>
            <w:tcBorders>
              <w:top w:val="single" w:sz="4" w:space="0" w:color="C8973A"/>
              <w:left w:val="single" w:sz="4" w:space="0" w:color="C8973A"/>
              <w:bottom w:val="single" w:sz="4" w:space="0" w:color="C8973A"/>
              <w:right w:val="single" w:sz="4" w:space="0" w:color="C8973A"/>
            </w:tcBorders>
          </w:tcPr>
          <w:p>
            <w:r>
              <w:rPr>
                <w:rFonts w:ascii="Courier New" w:hAnsi="Courier New"/>
                <w:b/>
                <w:i w:val="0"/>
                <w:color w:val="C8973A"/>
                <w:sz w:val="16"/>
              </w:rPr>
              <w:t xml:space="preserve">⚠ IMPORTANT  </w:t>
            </w:r>
            <w:r>
              <w:rPr>
                <w:b w:val="0"/>
                <w:i w:val="0"/>
                <w:color w:val="1C2533"/>
                <w:sz w:val="20"/>
              </w:rPr>
              <w:t>CRITICAL: vol_trend measures VOLUME (shares traded), NOT price volatility. An early version of this system incorrectly used price volatility (std of returns). The correct implementation divides volume averages. v20/v60 &gt; 1.0 = recent volume above average = institutional accumulation signal.</w:t>
            </w:r>
          </w:p>
        </w:tc>
      </w:tr>
    </w:tbl>
    <w:p/>
    <w:p>
      <w:pPr>
        <w:spacing w:before="280" w:after="60"/>
      </w:pPr>
      <w:r>
        <w:rPr>
          <w:rFonts w:ascii="Calibri" w:hAnsi="Calibri"/>
          <w:b/>
          <w:color w:val="3B6EA5"/>
          <w:sz w:val="25"/>
        </w:rPr>
        <w:t>3B. Regime-Dependent Threshold</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Regime</w:t>
            </w:r>
          </w:p>
        </w:tc>
        <w:tc>
          <w:tcPr>
            <w:tcW w:type="dxa" w:w="2351"/>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IWM Condition</w:t>
            </w:r>
          </w:p>
        </w:tc>
        <w:tc>
          <w:tcPr>
            <w:tcW w:type="dxa" w:w="2351"/>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vol_trend Threshold</w:t>
            </w:r>
          </w:p>
        </w:tc>
        <w:tc>
          <w:tcPr>
            <w:tcW w:type="dxa" w:w="2351"/>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Logic</w:t>
            </w:r>
          </w:p>
        </w:tc>
      </w:tr>
      <w:tr>
        <w:tc>
          <w:tcPr>
            <w:tcW w:type="dxa" w:w="2351"/>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BULL</w:t>
            </w:r>
          </w:p>
        </w:tc>
        <w:tc>
          <w:tcPr>
            <w:tcW w:type="dxa" w:w="2351"/>
            <w:tcBorders>
              <w:top w:val="single" w:sz="4" w:space="0" w:color="C8D8E4"/>
              <w:left w:val="single" w:sz="4" w:space="0" w:color="C8D8E4"/>
              <w:bottom w:val="single" w:sz="4" w:space="0" w:color="C8D8E4"/>
              <w:right w:val="single" w:sz="4" w:space="0" w:color="C8D8E4"/>
            </w:tcBorders>
          </w:tcPr>
          <w:p>
            <w:r>
              <w:rPr>
                <w:sz w:val="20"/>
              </w:rPr>
              <w:t>IWM &gt; MA200</w:t>
            </w:r>
          </w:p>
        </w:tc>
        <w:tc>
          <w:tcPr>
            <w:tcW w:type="dxa" w:w="2351"/>
            <w:tcBorders>
              <w:top w:val="single" w:sz="4" w:space="0" w:color="C8D8E4"/>
              <w:left w:val="single" w:sz="4" w:space="0" w:color="C8D8E4"/>
              <w:bottom w:val="single" w:sz="4" w:space="0" w:color="C8D8E4"/>
              <w:right w:val="single" w:sz="4" w:space="0" w:color="C8D8E4"/>
            </w:tcBorders>
          </w:tcPr>
          <w:p>
            <w:r>
              <w:rPr>
                <w:sz w:val="20"/>
              </w:rPr>
              <w:t>≥ 0.75</w:t>
            </w:r>
          </w:p>
        </w:tc>
        <w:tc>
          <w:tcPr>
            <w:tcW w:type="dxa" w:w="2351"/>
            <w:tcBorders>
              <w:top w:val="single" w:sz="4" w:space="0" w:color="C8D8E4"/>
              <w:left w:val="single" w:sz="4" w:space="0" w:color="C8D8E4"/>
              <w:bottom w:val="single" w:sz="4" w:space="0" w:color="C8D8E4"/>
              <w:right w:val="single" w:sz="4" w:space="0" w:color="C8D8E4"/>
            </w:tcBorders>
          </w:tcPr>
          <w:p>
            <w:r>
              <w:rPr>
                <w:sz w:val="20"/>
              </w:rPr>
              <w:t>Relaxed — some deceleration in volume is acceptable in bull markets</w:t>
            </w:r>
          </w:p>
        </w:tc>
      </w:tr>
      <w:tr>
        <w:tc>
          <w:tcPr>
            <w:tcW w:type="dxa" w:w="2351"/>
            <w:shd w:val="clear" w:color="auto" w:fill="EEF3F8"/>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BEAR</w:t>
            </w:r>
          </w:p>
        </w:tc>
        <w:tc>
          <w:tcPr>
            <w:tcW w:type="dxa" w:w="2351"/>
            <w:shd w:val="clear" w:color="auto" w:fill="EEF3F8"/>
            <w:tcBorders>
              <w:top w:val="single" w:sz="4" w:space="0" w:color="C8D8E4"/>
              <w:left w:val="single" w:sz="4" w:space="0" w:color="C8D8E4"/>
              <w:bottom w:val="single" w:sz="4" w:space="0" w:color="C8D8E4"/>
              <w:right w:val="single" w:sz="4" w:space="0" w:color="C8D8E4"/>
            </w:tcBorders>
          </w:tcPr>
          <w:p>
            <w:r>
              <w:rPr>
                <w:sz w:val="20"/>
              </w:rPr>
              <w:t>IWM ≤ MA200</w:t>
            </w:r>
          </w:p>
        </w:tc>
        <w:tc>
          <w:tcPr>
            <w:tcW w:type="dxa" w:w="2351"/>
            <w:shd w:val="clear" w:color="auto" w:fill="EEF3F8"/>
            <w:tcBorders>
              <w:top w:val="single" w:sz="4" w:space="0" w:color="C8D8E4"/>
              <w:left w:val="single" w:sz="4" w:space="0" w:color="C8D8E4"/>
              <w:bottom w:val="single" w:sz="4" w:space="0" w:color="C8D8E4"/>
              <w:right w:val="single" w:sz="4" w:space="0" w:color="C8D8E4"/>
            </w:tcBorders>
          </w:tcPr>
          <w:p>
            <w:r>
              <w:rPr>
                <w:sz w:val="20"/>
              </w:rPr>
              <w:t>≥ 0.95</w:t>
            </w:r>
          </w:p>
        </w:tc>
        <w:tc>
          <w:tcPr>
            <w:tcW w:type="dxa" w:w="2351"/>
            <w:shd w:val="clear" w:color="auto" w:fill="EEF3F8"/>
            <w:tcBorders>
              <w:top w:val="single" w:sz="4" w:space="0" w:color="C8D8E4"/>
              <w:left w:val="single" w:sz="4" w:space="0" w:color="C8D8E4"/>
              <w:bottom w:val="single" w:sz="4" w:space="0" w:color="C8D8E4"/>
              <w:right w:val="single" w:sz="4" w:space="0" w:color="C8D8E4"/>
            </w:tcBorders>
          </w:tcPr>
          <w:p>
            <w:r>
              <w:rPr>
                <w:sz w:val="20"/>
              </w:rPr>
              <w:t>Tight — only high-conviction accumulation qualifies in bear markets</w:t>
            </w:r>
          </w:p>
        </w:tc>
      </w:tr>
    </w:tbl>
    <w:p/>
    <w:p>
      <w:pPr>
        <w:spacing w:after="80"/>
        <w:ind w:left="0"/>
      </w:pPr>
      <w:r>
        <w:rPr>
          <w:color w:val="2C3A4F"/>
          <w:sz w:val="21"/>
        </w:rPr>
        <w:t>The threshold gap (0.75 vs 0.95) is significant:</w:t>
      </w:r>
    </w:p>
    <w:p>
      <w:pPr>
        <w:pStyle w:val="ListBullet"/>
        <w:spacing w:after="40"/>
      </w:pPr>
      <w:r>
        <w:rPr>
          <w:color w:val="2C3A4F"/>
          <w:sz w:val="21"/>
        </w:rPr>
        <w:t>In BULL: stocks with vol_trend between 0.75–1.0 PASS. These are stocks with slightly declining but still adequate volume — common during healthy consolidations.</w:t>
      </w:r>
    </w:p>
    <w:p>
      <w:pPr>
        <w:pStyle w:val="ListBullet"/>
        <w:spacing w:after="40"/>
      </w:pPr>
      <w:r>
        <w:rPr>
          <w:color w:val="2C3A4F"/>
          <w:sz w:val="21"/>
        </w:rPr>
        <w:t>In BEAR: stocks need vol_trend ≥ 0.95, meaning volume must be nearly equal to or above the 60-day average. This is a much stricter accumulation requirement.</w:t>
      </w:r>
    </w:p>
    <w:p>
      <w:pPr>
        <w:pStyle w:val="ListBullet"/>
        <w:spacing w:after="40"/>
      </w:pPr>
      <w:r>
        <w:rPr>
          <w:color w:val="2C3A4F"/>
          <w:sz w:val="21"/>
        </w:rPr>
        <w:t>In practice, the BEAR threshold reduces the eligible pool substantially, which naturally limits how much capital is deployed (even before the 50% exposure cap).</w:t>
      </w:r>
    </w:p>
    <w:p>
      <w:pPr>
        <w:spacing w:before="280" w:after="60"/>
      </w:pPr>
      <w:r>
        <w:rPr>
          <w:rFonts w:ascii="Calibri" w:hAnsi="Calibri"/>
          <w:b/>
          <w:color w:val="3B6EA5"/>
          <w:sz w:val="25"/>
        </w:rPr>
        <w:t>3C. Edge Cases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Scenario</w:t>
            </w:r>
          </w:p>
        </w:tc>
        <w:tc>
          <w:tcPr>
            <w:tcW w:type="dxa" w:w="2351"/>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vol_trend Value</w:t>
            </w:r>
          </w:p>
        </w:tc>
        <w:tc>
          <w:tcPr>
            <w:tcW w:type="dxa" w:w="2351"/>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Result</w:t>
            </w:r>
          </w:p>
        </w:tc>
        <w:tc>
          <w:tcPr>
            <w:tcW w:type="dxa" w:w="2351"/>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Reason</w:t>
            </w:r>
          </w:p>
        </w:tc>
      </w:tr>
      <w:tr>
        <w:tc>
          <w:tcPr>
            <w:tcW w:type="dxa" w:w="2351"/>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&lt; 60 volume bars available</w:t>
            </w:r>
          </w:p>
        </w:tc>
        <w:tc>
          <w:tcPr>
            <w:tcW w:type="dxa" w:w="2351"/>
            <w:tcBorders>
              <w:top w:val="single" w:sz="4" w:space="0" w:color="C8D8E4"/>
              <w:left w:val="single" w:sz="4" w:space="0" w:color="C8D8E4"/>
              <w:bottom w:val="single" w:sz="4" w:space="0" w:color="C8D8E4"/>
              <w:right w:val="single" w:sz="4" w:space="0" w:color="C8D8E4"/>
            </w:tcBorders>
          </w:tcPr>
          <w:p>
            <w:r>
              <w:rPr>
                <w:sz w:val="20"/>
              </w:rPr>
              <w:t>0.0 (forced)</w:t>
            </w:r>
          </w:p>
        </w:tc>
        <w:tc>
          <w:tcPr>
            <w:tcW w:type="dxa" w:w="2351"/>
            <w:tcBorders>
              <w:top w:val="single" w:sz="4" w:space="0" w:color="C8D8E4"/>
              <w:left w:val="single" w:sz="4" w:space="0" w:color="C8D8E4"/>
              <w:bottom w:val="single" w:sz="4" w:space="0" w:color="C8D8E4"/>
              <w:right w:val="single" w:sz="4" w:space="0" w:color="C8D8E4"/>
            </w:tcBorders>
          </w:tcPr>
          <w:p>
            <w:r>
              <w:rPr>
                <w:sz w:val="20"/>
              </w:rPr>
              <w:t>FAIL both regimes</w:t>
            </w:r>
          </w:p>
        </w:tc>
        <w:tc>
          <w:tcPr>
            <w:tcW w:type="dxa" w:w="2351"/>
            <w:tcBorders>
              <w:top w:val="single" w:sz="4" w:space="0" w:color="C8D8E4"/>
              <w:left w:val="single" w:sz="4" w:space="0" w:color="C8D8E4"/>
              <w:bottom w:val="single" w:sz="4" w:space="0" w:color="C8D8E4"/>
              <w:right w:val="single" w:sz="4" w:space="0" w:color="C8D8E4"/>
            </w:tcBorders>
          </w:tcPr>
          <w:p>
            <w:r>
              <w:rPr>
                <w:sz w:val="20"/>
              </w:rPr>
              <w:t>Not enough history — treated as no-signal</w:t>
            </w:r>
          </w:p>
        </w:tc>
      </w:tr>
      <w:tr>
        <w:tc>
          <w:tcPr>
            <w:tcW w:type="dxa" w:w="2351"/>
            <w:shd w:val="clear" w:color="auto" w:fill="EEF3F8"/>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All volume = 0 for 20d period</w:t>
            </w:r>
          </w:p>
        </w:tc>
        <w:tc>
          <w:tcPr>
            <w:tcW w:type="dxa" w:w="2351"/>
            <w:shd w:val="clear" w:color="auto" w:fill="EEF3F8"/>
            <w:tcBorders>
              <w:top w:val="single" w:sz="4" w:space="0" w:color="C8D8E4"/>
              <w:left w:val="single" w:sz="4" w:space="0" w:color="C8D8E4"/>
              <w:bottom w:val="single" w:sz="4" w:space="0" w:color="C8D8E4"/>
              <w:right w:val="single" w:sz="4" w:space="0" w:color="C8D8E4"/>
            </w:tcBorders>
          </w:tcPr>
          <w:p>
            <w:r>
              <w:rPr>
                <w:sz w:val="20"/>
              </w:rPr>
              <w:t>NaN → 0.0</w:t>
            </w:r>
          </w:p>
        </w:tc>
        <w:tc>
          <w:tcPr>
            <w:tcW w:type="dxa" w:w="2351"/>
            <w:shd w:val="clear" w:color="auto" w:fill="EEF3F8"/>
            <w:tcBorders>
              <w:top w:val="single" w:sz="4" w:space="0" w:color="C8D8E4"/>
              <w:left w:val="single" w:sz="4" w:space="0" w:color="C8D8E4"/>
              <w:bottom w:val="single" w:sz="4" w:space="0" w:color="C8D8E4"/>
              <w:right w:val="single" w:sz="4" w:space="0" w:color="C8D8E4"/>
            </w:tcBorders>
          </w:tcPr>
          <w:p>
            <w:r>
              <w:rPr>
                <w:sz w:val="20"/>
              </w:rPr>
              <w:t>FAIL</w:t>
            </w:r>
          </w:p>
        </w:tc>
        <w:tc>
          <w:tcPr>
            <w:tcW w:type="dxa" w:w="2351"/>
            <w:shd w:val="clear" w:color="auto" w:fill="EEF3F8"/>
            <w:tcBorders>
              <w:top w:val="single" w:sz="4" w:space="0" w:color="C8D8E4"/>
              <w:left w:val="single" w:sz="4" w:space="0" w:color="C8D8E4"/>
              <w:bottom w:val="single" w:sz="4" w:space="0" w:color="C8D8E4"/>
              <w:right w:val="single" w:sz="4" w:space="0" w:color="C8D8E4"/>
            </w:tcBorders>
          </w:tcPr>
          <w:p>
            <w:r>
              <w:rPr>
                <w:sz w:val="20"/>
              </w:rPr>
              <w:t>Zero-volume bars excluded; if all excluded, vol_trend = 0</w:t>
            </w:r>
          </w:p>
        </w:tc>
      </w:tr>
      <w:tr>
        <w:tc>
          <w:tcPr>
            <w:tcW w:type="dxa" w:w="2351"/>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Stock just IPO'd (60-150 bars)</w:t>
            </w:r>
          </w:p>
        </w:tc>
        <w:tc>
          <w:tcPr>
            <w:tcW w:type="dxa" w:w="2351"/>
            <w:tcBorders>
              <w:top w:val="single" w:sz="4" w:space="0" w:color="C8D8E4"/>
              <w:left w:val="single" w:sz="4" w:space="0" w:color="C8D8E4"/>
              <w:bottom w:val="single" w:sz="4" w:space="0" w:color="C8D8E4"/>
              <w:right w:val="single" w:sz="4" w:space="0" w:color="C8D8E4"/>
            </w:tcBorders>
          </w:tcPr>
          <w:p>
            <w:r>
              <w:rPr>
                <w:sz w:val="20"/>
              </w:rPr>
              <w:t>Computable</w:t>
            </w:r>
          </w:p>
        </w:tc>
        <w:tc>
          <w:tcPr>
            <w:tcW w:type="dxa" w:w="2351"/>
            <w:tcBorders>
              <w:top w:val="single" w:sz="4" w:space="0" w:color="C8D8E4"/>
              <w:left w:val="single" w:sz="4" w:space="0" w:color="C8D8E4"/>
              <w:bottom w:val="single" w:sz="4" w:space="0" w:color="C8D8E4"/>
              <w:right w:val="single" w:sz="4" w:space="0" w:color="C8D8E4"/>
            </w:tcBorders>
          </w:tcPr>
          <w:p>
            <w:r>
              <w:rPr>
                <w:sz w:val="20"/>
              </w:rPr>
              <w:t>Evaluated normally</w:t>
            </w:r>
          </w:p>
        </w:tc>
        <w:tc>
          <w:tcPr>
            <w:tcW w:type="dxa" w:w="2351"/>
            <w:tcBorders>
              <w:top w:val="single" w:sz="4" w:space="0" w:color="C8D8E4"/>
              <w:left w:val="single" w:sz="4" w:space="0" w:color="C8D8E4"/>
              <w:bottom w:val="single" w:sz="4" w:space="0" w:color="C8D8E4"/>
              <w:right w:val="single" w:sz="4" w:space="0" w:color="C8D8E4"/>
            </w:tcBorders>
          </w:tcPr>
          <w:p>
            <w:r>
              <w:rPr>
                <w:sz w:val="20"/>
              </w:rPr>
              <w:t>min_periods=10 (20d) and 30 (60d) allow partial windows</w:t>
            </w:r>
          </w:p>
        </w:tc>
      </w:tr>
      <w:tr>
        <w:tc>
          <w:tcPr>
            <w:tcW w:type="dxa" w:w="2351"/>
            <w:shd w:val="clear" w:color="auto" w:fill="EEF3F8"/>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Volume data unavailable (None)</w:t>
            </w:r>
          </w:p>
        </w:tc>
        <w:tc>
          <w:tcPr>
            <w:tcW w:type="dxa" w:w="2351"/>
            <w:shd w:val="clear" w:color="auto" w:fill="EEF3F8"/>
            <w:tcBorders>
              <w:top w:val="single" w:sz="4" w:space="0" w:color="C8D8E4"/>
              <w:left w:val="single" w:sz="4" w:space="0" w:color="C8D8E4"/>
              <w:bottom w:val="single" w:sz="4" w:space="0" w:color="C8D8E4"/>
              <w:right w:val="single" w:sz="4" w:space="0" w:color="C8D8E4"/>
            </w:tcBorders>
          </w:tcPr>
          <w:p>
            <w:r>
              <w:rPr>
                <w:sz w:val="20"/>
              </w:rPr>
              <w:t>0.0 (forced)</w:t>
            </w:r>
          </w:p>
        </w:tc>
        <w:tc>
          <w:tcPr>
            <w:tcW w:type="dxa" w:w="2351"/>
            <w:shd w:val="clear" w:color="auto" w:fill="EEF3F8"/>
            <w:tcBorders>
              <w:top w:val="single" w:sz="4" w:space="0" w:color="C8D8E4"/>
              <w:left w:val="single" w:sz="4" w:space="0" w:color="C8D8E4"/>
              <w:bottom w:val="single" w:sz="4" w:space="0" w:color="C8D8E4"/>
              <w:right w:val="single" w:sz="4" w:space="0" w:color="C8D8E4"/>
            </w:tcBorders>
          </w:tcPr>
          <w:p>
            <w:r>
              <w:rPr>
                <w:sz w:val="20"/>
              </w:rPr>
              <w:t>FAIL</w:t>
            </w:r>
          </w:p>
        </w:tc>
        <w:tc>
          <w:tcPr>
            <w:tcW w:type="dxa" w:w="2351"/>
            <w:shd w:val="clear" w:color="auto" w:fill="EEF3F8"/>
            <w:tcBorders>
              <w:top w:val="single" w:sz="4" w:space="0" w:color="C8D8E4"/>
              <w:left w:val="single" w:sz="4" w:space="0" w:color="C8D8E4"/>
              <w:bottom w:val="single" w:sz="4" w:space="0" w:color="C8D8E4"/>
              <w:right w:val="single" w:sz="4" w:space="0" w:color="C8D8E4"/>
            </w:tcBorders>
          </w:tcPr>
          <w:p>
            <w:r>
              <w:rPr>
                <w:sz w:val="20"/>
              </w:rPr>
              <w:t>API returned no volume → excluded</w:t>
            </w:r>
          </w:p>
        </w:tc>
      </w:tr>
    </w:tbl>
    <w:p/>
    <w:p>
      <w:pPr>
        <w:spacing w:before="60" w:after="120"/>
        <w:shd w:val="clear" w:color="auto" w:fill="0B1D35"/>
      </w:pPr>
      <w:r>
        <w:rPr>
          <w:rFonts w:ascii="Courier New" w:hAnsi="Courier New"/>
          <w:color w:val="C8D8EE"/>
          <w:sz w:val="18"/>
        </w:rPr>
        <w:t># Gate 3 check</w:t>
        <w:br/>
        <w:t>mask_vol = (sig['vol_trend'] &gt;= vt)  # vt = 0.75 (BULL) or 0.95 (BEAR)</w:t>
      </w:r>
    </w:p>
    <w:p>
      <w:pPr>
        <w:spacing w:before="80" w:after="80"/>
        <w:pBdr>
          <w:bottom w:val="single" w:sz="4" w:space="1" w:color="D0D8E8"/>
        </w:pBdr>
      </w:pPr>
    </w:p>
    <w:p>
      <w:pPr>
        <w:spacing w:before="400" w:after="120"/>
        <w:pBdr>
          <w:bottom w:val="single" w:sz="8" w:space="1" w:color="0B1D35"/>
        </w:pBdr>
      </w:pPr>
      <w:r>
        <w:rPr>
          <w:rFonts w:ascii="Calibri" w:hAnsi="Calibri"/>
          <w:b/>
          <w:color w:val="0B1D35"/>
          <w:sz w:val="34"/>
        </w:rPr>
        <w:t>Step 4 — Liquidity Gate / ADTV (Gate 4)</w:t>
      </w:r>
    </w:p>
    <w:p>
      <w:pPr>
        <w:spacing w:before="280" w:after="60"/>
      </w:pPr>
      <w:r>
        <w:rPr>
          <w:rFonts w:ascii="Calibri" w:hAnsi="Calibri"/>
          <w:b/>
          <w:color w:val="3B6EA5"/>
          <w:sz w:val="25"/>
        </w:rPr>
        <w:t>4A. What ADTV Measures</w:t>
      </w:r>
    </w:p>
    <w:p>
      <w:pPr>
        <w:spacing w:after="80"/>
        <w:ind w:left="0"/>
      </w:pPr>
      <w:r>
        <w:rPr>
          <w:color w:val="2C3A4F"/>
          <w:sz w:val="21"/>
        </w:rPr>
        <w:t>ADTV = Average Daily Trading Value in USD millions, calculated over 63 trading days (approximately 3 months). It measures how much dollar volume trades on the stock daily.</w:t>
      </w:r>
    </w:p>
    <w:p>
      <w:pPr>
        <w:spacing w:before="60" w:after="120"/>
        <w:shd w:val="clear" w:color="auto" w:fill="0B1D35"/>
      </w:pPr>
      <w:r>
        <w:rPr>
          <w:rFonts w:ascii="Courier New" w:hAnsi="Courier New"/>
          <w:color w:val="C8D8EE"/>
          <w:sz w:val="18"/>
        </w:rPr>
        <w:t># Formula:</w:t>
        <w:br/>
        <w:t>adtv = mean(daily_volume_shares × daily_close_price, last 63 days) / 1,000,000</w:t>
        <w:br/>
        <w:t># Result in $M USD</w:t>
        <w:br/>
        <w:br/>
        <w:t># Example: Stock trades 1M shares/day at $50 → ADTV = $50M</w:t>
        <w:br/>
        <w:t># Threshold: ADTV &gt;= $10M</w:t>
      </w:r>
    </w:p>
    <w:p>
      <w:pPr>
        <w:spacing w:before="280" w:after="60"/>
      </w:pPr>
      <w:r>
        <w:rPr>
          <w:rFonts w:ascii="Calibri" w:hAnsi="Calibri"/>
          <w:b/>
          <w:color w:val="3B6EA5"/>
          <w:sz w:val="25"/>
        </w:rPr>
        <w:t>4B. Why ADTV Is Checked Last (on Top-75 Only)</w:t>
      </w:r>
    </w:p>
    <w:p>
      <w:pPr>
        <w:spacing w:after="80"/>
        <w:ind w:left="0"/>
      </w:pPr>
      <w:r>
        <w:rPr>
          <w:color w:val="2C3A4F"/>
          <w:sz w:val="21"/>
        </w:rPr>
        <w:t>ADTV requires a separate API call per ticker (Yahoo Finance chart endpoint with volume data). Checking all 500 tickers would require 500 API calls per rebalance — slow and rate-limited.</w:t>
      </w:r>
    </w:p>
    <w:p>
      <w:pPr>
        <w:spacing w:after="80"/>
        <w:ind w:left="0"/>
      </w:pPr>
      <w:r>
        <w:rPr>
          <w:color w:val="2C3A4F"/>
          <w:sz w:val="21"/>
        </w:rPr>
        <w:t>Solution: Run Gates 1–3 first (vectorized, cheap). Take the top 75 stocks by RS from those passing all 3 gates. Only then fetch ADTV for those 75.</w:t>
      </w:r>
    </w:p>
    <w:p>
      <w:pPr>
        <w:spacing w:before="60" w:after="120"/>
        <w:shd w:val="clear" w:color="auto" w:fill="0B1D35"/>
      </w:pPr>
      <w:r>
        <w:rPr>
          <w:rFonts w:ascii="Courier New" w:hAnsi="Courier New"/>
          <w:color w:val="C8D8EE"/>
          <w:sz w:val="18"/>
        </w:rPr>
        <w:t>CANDIDATE_POOL = TOP_N * 5  # = 15 × 5 = 75</w:t>
        <w:br/>
        <w:br/>
        <w:t># After Gates 1-3:</w:t>
        <w:br/>
        <w:t>passed = sig[mask_rs &amp; mask_ma200 &amp; mask_vol]</w:t>
        <w:br/>
        <w:t>passed = passed.nlargest(CANDIDATE_POOL, 'rs_pct')  # top 75 by RS</w:t>
        <w:br/>
        <w:br/>
        <w:t># Fetch ADTV for only these 75 tickers:</w:t>
        <w:br/>
        <w:t>adtvs = {}</w:t>
        <w:br/>
        <w:t>for tkr in passed['ticker'].tolist():</w:t>
        <w:br/>
        <w:t xml:space="preserve">    adtvs[tkr] = fetch_adtv(tkr)</w:t>
        <w:br/>
        <w:t xml:space="preserve">    time.sleep(0.08)  # rate limiting — 12.5 tickers/second</w:t>
        <w:br/>
        <w:br/>
        <w:t># Apply ADTV gate:</w:t>
        <w:br/>
        <w:t>ADTV_MIN = 10.0  # $10M USD</w:t>
        <w:br/>
        <w:t>passed = passed[passed['adtv_63m'] &gt;= ADTV_MIN]</w:t>
      </w:r>
    </w:p>
    <w:tbl>
      <w:tblPr>
        <w:tblW w:type="auto" w:w="0"/>
        <w:jc w:val="left"/>
        <w:tblLook w:firstColumn="1" w:firstRow="1" w:lastColumn="0" w:lastRow="0" w:noHBand="0" w:noVBand="1" w:val="04A0"/>
      </w:tblPr>
      <w:tblGrid>
        <w:gridCol w:w="9406"/>
      </w:tblGrid>
      <w:tr>
        <w:tc>
          <w:tcPr>
            <w:tcW w:type="dxa" w:w="9406"/>
            <w:shd w:val="clear" w:color="auto" w:fill="E8F0FB"/>
            <w:tcBorders>
              <w:top w:val="single" w:sz="4" w:space="0" w:color="3B6EA5"/>
              <w:left w:val="single" w:sz="4" w:space="0" w:color="3B6EA5"/>
              <w:bottom w:val="single" w:sz="4" w:space="0" w:color="3B6EA5"/>
              <w:right w:val="single" w:sz="4" w:space="0" w:color="3B6EA5"/>
            </w:tcBorders>
          </w:tcPr>
          <w:p>
            <w:r>
              <w:rPr>
                <w:rFonts w:ascii="Courier New" w:hAnsi="Courier New"/>
                <w:b/>
                <w:i w:val="0"/>
                <w:color w:val="C8973A"/>
                <w:sz w:val="16"/>
              </w:rPr>
              <w:t xml:space="preserve">IMPLEMENTATION NOTE  </w:t>
            </w:r>
            <w:r>
              <w:rPr>
                <w:b w:val="0"/>
                <w:i w:val="0"/>
                <w:color w:val="1C2533"/>
                <w:sz w:val="20"/>
              </w:rPr>
              <w:t>time.sleep(0.08) between ADTV fetches is rate-limit protection for Yahoo Finance. At 12.5 requests/second, 75 tickers take ~6 seconds. This is fast enough for pre-market execution but would be slow if the pool were 500 tickers.</w:t>
            </w:r>
          </w:p>
        </w:tc>
      </w:tr>
    </w:tbl>
    <w:p/>
    <w:p>
      <w:pPr>
        <w:spacing w:before="280" w:after="60"/>
      </w:pPr>
      <w:r>
        <w:rPr>
          <w:rFonts w:ascii="Calibri" w:hAnsi="Calibri"/>
          <w:b/>
          <w:color w:val="3B6EA5"/>
          <w:sz w:val="25"/>
        </w:rPr>
        <w:t>4C. ADTV Calculation Detail</w:t>
      </w:r>
    </w:p>
    <w:p>
      <w:pPr>
        <w:spacing w:before="60" w:after="120"/>
        <w:shd w:val="clear" w:color="auto" w:fill="0B1D35"/>
      </w:pPr>
      <w:r>
        <w:rPr>
          <w:rFonts w:ascii="Courier New" w:hAnsi="Courier New"/>
          <w:color w:val="C8D8EE"/>
          <w:sz w:val="18"/>
        </w:rPr>
        <w:t>def fetch_adtv(ticker, days=63):</w:t>
        <w:br/>
        <w:t xml:space="preserve">    # Fetch 2x days of data to ensure 63 trading days after weekends/holidays</w:t>
        <w:br/>
        <w:t xml:space="preserve">    end   = int(time.time())</w:t>
        <w:br/>
        <w:t xml:space="preserve">    start = end - days * 86400 * 2</w:t>
        <w:br/>
        <w:br/>
        <w:t xml:space="preserve">    # Yahoo Finance v8 chart endpoint</w:t>
        <w:br/>
        <w:t xml:space="preserve">    url = f'https://query2.finance.yahoo.com/v8/finance/chart/{ticker}'</w:t>
        <w:br/>
        <w:t xml:space="preserve">          f'?interval=1d&amp;period1={start}&amp;period2={end}&amp;events=history'</w:t>
        <w:br/>
        <w:br/>
        <w:t xml:space="preserve">    vol   = data['indicators']['quote'][0].get('volume', [])</w:t>
        <w:br/>
        <w:t xml:space="preserve">    adj   = data['indicators']['adjclose'][0]['adjclose']</w:t>
        <w:br/>
        <w:br/>
        <w:t xml:space="preserve">    # Dollar volume per day = shares × adjusted close price</w:t>
        <w:br/>
        <w:t xml:space="preserve">    df = pd.DataFrame({'vol': vol, 'close': adj}).dropna()</w:t>
        <w:br/>
        <w:t xml:space="preserve">    adtv = (df['vol'] * df['close']).tail(days).mean() / 1e6</w:t>
        <w:br/>
        <w:t xml:space="preserve">    return float(adtv) if pd.notna(adtv) else 0.0</w:t>
      </w:r>
    </w:p>
    <w:tbl>
      <w:tblPr>
        <w:tblW w:type="auto" w:w="0"/>
        <w:jc w:val="left"/>
        <w:tblLook w:firstColumn="1" w:firstRow="1" w:lastColumn="0" w:lastRow="0" w:noHBand="0" w:noVBand="1" w:val="04A0"/>
      </w:tblPr>
      <w:tblGrid>
        <w:gridCol w:w="9406"/>
      </w:tblGrid>
      <w:tr>
        <w:tc>
          <w:tcPr>
            <w:tcW w:type="dxa" w:w="9406"/>
            <w:shd w:val="clear" w:color="auto" w:fill="FFF3CD"/>
            <w:tcBorders>
              <w:top w:val="single" w:sz="4" w:space="0" w:color="C8973A"/>
              <w:left w:val="single" w:sz="4" w:space="0" w:color="C8973A"/>
              <w:bottom w:val="single" w:sz="4" w:space="0" w:color="C8973A"/>
              <w:right w:val="single" w:sz="4" w:space="0" w:color="C8973A"/>
            </w:tcBorders>
          </w:tcPr>
          <w:p>
            <w:r>
              <w:rPr>
                <w:rFonts w:ascii="Courier New" w:hAnsi="Courier New"/>
                <w:b/>
                <w:i w:val="0"/>
                <w:color w:val="C8973A"/>
                <w:sz w:val="16"/>
              </w:rPr>
              <w:t xml:space="preserve">⚠ IMPORTANT  </w:t>
            </w:r>
            <w:r>
              <w:rPr>
                <w:b w:val="0"/>
                <w:i w:val="0"/>
                <w:color w:val="1C2533"/>
                <w:sz w:val="20"/>
              </w:rPr>
              <w:t>ADTV uses ADJUSTED CLOSE price for dollar volume computation. This is correct for current liquidity assessment but means historical ADTV comparisons across splits/dividends are consistent. If fetch fails (timeout, delisted), adtv = 0.0 and the stock FAILS the gate.</w:t>
            </w:r>
          </w:p>
        </w:tc>
      </w:tr>
    </w:tbl>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ADTV Value</w:t>
            </w:r>
          </w:p>
        </w:tc>
        <w:tc>
          <w:tcPr>
            <w:tcW w:type="dxa" w:w="3135"/>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Interpretation</w:t>
            </w:r>
          </w:p>
        </w:tc>
        <w:tc>
          <w:tcPr>
            <w:tcW w:type="dxa" w:w="3135"/>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Gate Result</w:t>
            </w:r>
          </w:p>
        </w:tc>
      </w:tr>
      <w:tr>
        <w:tc>
          <w:tcPr>
            <w:tcW w:type="dxa" w:w="3135"/>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 $100M</w:t>
            </w:r>
          </w:p>
        </w:tc>
        <w:tc>
          <w:tcPr>
            <w:tcW w:type="dxa" w:w="3135"/>
            <w:tcBorders>
              <w:top w:val="single" w:sz="4" w:space="0" w:color="C8D8E4"/>
              <w:left w:val="single" w:sz="4" w:space="0" w:color="C8D8E4"/>
              <w:bottom w:val="single" w:sz="4" w:space="0" w:color="C8D8E4"/>
              <w:right w:val="single" w:sz="4" w:space="0" w:color="C8D8E4"/>
            </w:tcBorders>
          </w:tcPr>
          <w:p>
            <w:r>
              <w:rPr>
                <w:sz w:val="20"/>
              </w:rPr>
              <w:t>Large-cap liquid — any position size feasible</w:t>
            </w:r>
          </w:p>
        </w:tc>
        <w:tc>
          <w:tcPr>
            <w:tcW w:type="dxa" w:w="3135"/>
            <w:tcBorders>
              <w:top w:val="single" w:sz="4" w:space="0" w:color="C8D8E4"/>
              <w:left w:val="single" w:sz="4" w:space="0" w:color="C8D8E4"/>
              <w:bottom w:val="single" w:sz="4" w:space="0" w:color="C8D8E4"/>
              <w:right w:val="single" w:sz="4" w:space="0" w:color="C8D8E4"/>
            </w:tcBorders>
          </w:tcPr>
          <w:p>
            <w:r>
              <w:rPr>
                <w:sz w:val="20"/>
              </w:rPr>
              <w:t>PASS ✓</w:t>
            </w:r>
          </w:p>
        </w:tc>
      </w:tr>
      <w:tr>
        <w:tc>
          <w:tcPr>
            <w:tcW w:type="dxa" w:w="3135"/>
            <w:shd w:val="clear" w:color="auto" w:fill="EEF3F8"/>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$10M–$100M</w:t>
            </w:r>
          </w:p>
        </w:tc>
        <w:tc>
          <w:tcPr>
            <w:tcW w:type="dxa" w:w="3135"/>
            <w:shd w:val="clear" w:color="auto" w:fill="EEF3F8"/>
            <w:tcBorders>
              <w:top w:val="single" w:sz="4" w:space="0" w:color="C8D8E4"/>
              <w:left w:val="single" w:sz="4" w:space="0" w:color="C8D8E4"/>
              <w:bottom w:val="single" w:sz="4" w:space="0" w:color="C8D8E4"/>
              <w:right w:val="single" w:sz="4" w:space="0" w:color="C8D8E4"/>
            </w:tcBorders>
          </w:tcPr>
          <w:p>
            <w:r>
              <w:rPr>
                <w:sz w:val="20"/>
              </w:rPr>
              <w:t>Mid-cap — position size should be ≤ 20% of daily ADTV</w:t>
            </w:r>
          </w:p>
        </w:tc>
        <w:tc>
          <w:tcPr>
            <w:tcW w:type="dxa" w:w="3135"/>
            <w:shd w:val="clear" w:color="auto" w:fill="EEF3F8"/>
            <w:tcBorders>
              <w:top w:val="single" w:sz="4" w:space="0" w:color="C8D8E4"/>
              <w:left w:val="single" w:sz="4" w:space="0" w:color="C8D8E4"/>
              <w:bottom w:val="single" w:sz="4" w:space="0" w:color="C8D8E4"/>
              <w:right w:val="single" w:sz="4" w:space="0" w:color="C8D8E4"/>
            </w:tcBorders>
          </w:tcPr>
          <w:p>
            <w:r>
              <w:rPr>
                <w:sz w:val="20"/>
              </w:rPr>
              <w:t>PASS ✓</w:t>
            </w:r>
          </w:p>
        </w:tc>
      </w:tr>
      <w:tr>
        <w:tc>
          <w:tcPr>
            <w:tcW w:type="dxa" w:w="3135"/>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$1M–$10M</w:t>
            </w:r>
          </w:p>
        </w:tc>
        <w:tc>
          <w:tcPr>
            <w:tcW w:type="dxa" w:w="3135"/>
            <w:tcBorders>
              <w:top w:val="single" w:sz="4" w:space="0" w:color="C8D8E4"/>
              <w:left w:val="single" w:sz="4" w:space="0" w:color="C8D8E4"/>
              <w:bottom w:val="single" w:sz="4" w:space="0" w:color="C8D8E4"/>
              <w:right w:val="single" w:sz="4" w:space="0" w:color="C8D8E4"/>
            </w:tcBorders>
          </w:tcPr>
          <w:p>
            <w:r>
              <w:rPr>
                <w:sz w:val="20"/>
              </w:rPr>
              <w:t>Small-cap — too illiquid for $1M+ portfolio</w:t>
            </w:r>
          </w:p>
        </w:tc>
        <w:tc>
          <w:tcPr>
            <w:tcW w:type="dxa" w:w="3135"/>
            <w:tcBorders>
              <w:top w:val="single" w:sz="4" w:space="0" w:color="C8D8E4"/>
              <w:left w:val="single" w:sz="4" w:space="0" w:color="C8D8E4"/>
              <w:bottom w:val="single" w:sz="4" w:space="0" w:color="C8D8E4"/>
              <w:right w:val="single" w:sz="4" w:space="0" w:color="C8D8E4"/>
            </w:tcBorders>
          </w:tcPr>
          <w:p>
            <w:r>
              <w:rPr>
                <w:sz w:val="20"/>
              </w:rPr>
              <w:t>FAIL</w:t>
            </w:r>
          </w:p>
        </w:tc>
      </w:tr>
      <w:tr>
        <w:tc>
          <w:tcPr>
            <w:tcW w:type="dxa" w:w="3135"/>
            <w:shd w:val="clear" w:color="auto" w:fill="EEF3F8"/>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&lt; $1M</w:t>
            </w:r>
          </w:p>
        </w:tc>
        <w:tc>
          <w:tcPr>
            <w:tcW w:type="dxa" w:w="3135"/>
            <w:shd w:val="clear" w:color="auto" w:fill="EEF3F8"/>
            <w:tcBorders>
              <w:top w:val="single" w:sz="4" w:space="0" w:color="C8D8E4"/>
              <w:left w:val="single" w:sz="4" w:space="0" w:color="C8D8E4"/>
              <w:bottom w:val="single" w:sz="4" w:space="0" w:color="C8D8E4"/>
              <w:right w:val="single" w:sz="4" w:space="0" w:color="C8D8E4"/>
            </w:tcBorders>
          </w:tcPr>
          <w:p>
            <w:r>
              <w:rPr>
                <w:sz w:val="20"/>
              </w:rPr>
              <w:t>Micro-cap / illiquid — excluded absolutely</w:t>
            </w:r>
          </w:p>
        </w:tc>
        <w:tc>
          <w:tcPr>
            <w:tcW w:type="dxa" w:w="3135"/>
            <w:shd w:val="clear" w:color="auto" w:fill="EEF3F8"/>
            <w:tcBorders>
              <w:top w:val="single" w:sz="4" w:space="0" w:color="C8D8E4"/>
              <w:left w:val="single" w:sz="4" w:space="0" w:color="C8D8E4"/>
              <w:bottom w:val="single" w:sz="4" w:space="0" w:color="C8D8E4"/>
              <w:right w:val="single" w:sz="4" w:space="0" w:color="C8D8E4"/>
            </w:tcBorders>
          </w:tcPr>
          <w:p>
            <w:r>
              <w:rPr>
                <w:sz w:val="20"/>
              </w:rPr>
              <w:t>FAIL</w:t>
            </w:r>
          </w:p>
        </w:tc>
      </w:tr>
      <w:tr>
        <w:tc>
          <w:tcPr>
            <w:tcW w:type="dxa" w:w="3135"/>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0.0 (fetch failed)</w:t>
            </w:r>
          </w:p>
        </w:tc>
        <w:tc>
          <w:tcPr>
            <w:tcW w:type="dxa" w:w="3135"/>
            <w:tcBorders>
              <w:top w:val="single" w:sz="4" w:space="0" w:color="C8D8E4"/>
              <w:left w:val="single" w:sz="4" w:space="0" w:color="C8D8E4"/>
              <w:bottom w:val="single" w:sz="4" w:space="0" w:color="C8D8E4"/>
              <w:right w:val="single" w:sz="4" w:space="0" w:color="C8D8E4"/>
            </w:tcBorders>
          </w:tcPr>
          <w:p>
            <w:r>
              <w:rPr>
                <w:sz w:val="20"/>
              </w:rPr>
              <w:t>Data unavailable</w:t>
            </w:r>
          </w:p>
        </w:tc>
        <w:tc>
          <w:tcPr>
            <w:tcW w:type="dxa" w:w="3135"/>
            <w:tcBorders>
              <w:top w:val="single" w:sz="4" w:space="0" w:color="C8D8E4"/>
              <w:left w:val="single" w:sz="4" w:space="0" w:color="C8D8E4"/>
              <w:bottom w:val="single" w:sz="4" w:space="0" w:color="C8D8E4"/>
              <w:right w:val="single" w:sz="4" w:space="0" w:color="C8D8E4"/>
            </w:tcBorders>
          </w:tcPr>
          <w:p>
            <w:r>
              <w:rPr>
                <w:sz w:val="20"/>
              </w:rPr>
              <w:t>FAIL</w:t>
            </w:r>
          </w:p>
        </w:tc>
      </w:tr>
    </w:tbl>
    <w:p/>
    <w:p>
      <w:pPr>
        <w:spacing w:before="80" w:after="80"/>
        <w:pBdr>
          <w:bottom w:val="single" w:sz="4" w:space="1" w:color="D0D8E8"/>
        </w:pBdr>
      </w:pPr>
    </w:p>
    <w:p>
      <w:pPr>
        <w:spacing w:before="400" w:after="120"/>
        <w:pBdr>
          <w:bottom w:val="single" w:sz="8" w:space="1" w:color="0B1D35"/>
        </w:pBdr>
      </w:pPr>
      <w:r>
        <w:rPr>
          <w:rFonts w:ascii="Calibri" w:hAnsi="Calibri"/>
          <w:b/>
          <w:color w:val="0B1D35"/>
          <w:sz w:val="34"/>
        </w:rPr>
        <w:t>Step 5 — Final Selection: Top 15 by RS</w:t>
      </w:r>
    </w:p>
    <w:p>
      <w:pPr>
        <w:spacing w:after="80"/>
        <w:ind w:left="0"/>
      </w:pPr>
      <w:r>
        <w:rPr>
          <w:color w:val="2C3A4F"/>
          <w:sz w:val="21"/>
        </w:rPr>
        <w:t>After all 4 gates, the surviving stocks are ranked by rs_pct descending and the top 15 are selected as the new portfolio.</w:t>
      </w:r>
    </w:p>
    <w:p>
      <w:pPr>
        <w:spacing w:before="60" w:after="120"/>
        <w:shd w:val="clear" w:color="auto" w:fill="0B1D35"/>
      </w:pPr>
      <w:r>
        <w:rPr>
          <w:rFonts w:ascii="Courier New" w:hAnsi="Courier New"/>
          <w:color w:val="C8D8EE"/>
          <w:sz w:val="18"/>
        </w:rPr>
        <w:t># Final selection</w:t>
        <w:br/>
        <w:t>TOP_N = 15</w:t>
        <w:br/>
        <w:t>passed = passed.nlargest(TOP_N, 'rs_pct').copy()</w:t>
        <w:br/>
        <w:br/>
        <w:t># If fewer than 15 stocks pass all gates:</w:t>
        <w:br/>
        <w:t># → Portfolio holds however many passed (could be 0 in extreme bear markets)</w:t>
        <w:br/>
        <w:t># → This is intentional: never force positions to fill slots</w:t>
        <w:br/>
        <w:t>if len(passed) == 0:</w:t>
        <w:br/>
        <w:t xml:space="preserve">    print('ERROR: No stocks passed all screens'); return None</w:t>
      </w:r>
    </w:p>
    <w:tbl>
      <w:tblPr>
        <w:tblW w:type="auto" w:w="0"/>
        <w:jc w:val="left"/>
        <w:tblLook w:firstColumn="1" w:firstRow="1" w:lastColumn="0" w:lastRow="0" w:noHBand="0" w:noVBand="1" w:val="04A0"/>
      </w:tblPr>
      <w:tblGrid>
        <w:gridCol w:w="9406"/>
      </w:tblGrid>
      <w:tr>
        <w:tc>
          <w:tcPr>
            <w:tcW w:type="dxa" w:w="9406"/>
            <w:shd w:val="clear" w:color="auto" w:fill="E8F0FB"/>
            <w:tcBorders>
              <w:top w:val="single" w:sz="4" w:space="0" w:color="3B6EA5"/>
              <w:left w:val="single" w:sz="4" w:space="0" w:color="3B6EA5"/>
              <w:bottom w:val="single" w:sz="4" w:space="0" w:color="3B6EA5"/>
              <w:right w:val="single" w:sz="4" w:space="0" w:color="3B6EA5"/>
            </w:tcBorders>
          </w:tcPr>
          <w:p>
            <w:r>
              <w:rPr>
                <w:rFonts w:ascii="Courier New" w:hAnsi="Courier New"/>
                <w:b/>
                <w:i w:val="0"/>
                <w:color w:val="C8973A"/>
                <w:sz w:val="16"/>
              </w:rPr>
              <w:t xml:space="preserve">IMPLEMENTATION NOTE  </w:t>
            </w:r>
            <w:r>
              <w:rPr>
                <w:b w:val="0"/>
                <w:i w:val="0"/>
                <w:color w:val="1C2533"/>
                <w:sz w:val="20"/>
              </w:rPr>
              <w:t>There is no minimum portfolio size. If only 5 stocks pass all gates in a severe bear market, the portfolio holds those 5 stocks (at 50% exposure in BEAR regime). If ZERO stocks pass, the function returns None and no rebalance occurs — the existing portfolio is held until the next monthly rebalance.</w:t>
            </w:r>
          </w:p>
        </w:tc>
      </w:tr>
    </w:tbl>
    <w:p/>
    <w:p>
      <w:pPr>
        <w:spacing w:before="80" w:after="80"/>
        <w:pBdr>
          <w:bottom w:val="single" w:sz="4" w:space="1" w:color="D0D8E8"/>
        </w:pBdr>
      </w:pPr>
    </w:p>
    <w:p>
      <w:r>
        <w:br w:type="page"/>
      </w:r>
    </w:p>
    <w:p>
      <w:pPr>
        <w:spacing w:before="400" w:after="120"/>
        <w:pBdr>
          <w:bottom w:val="single" w:sz="8" w:space="1" w:color="0B1D35"/>
        </w:pBdr>
      </w:pPr>
      <w:r>
        <w:rPr>
          <w:rFonts w:ascii="Calibri" w:hAnsi="Calibri"/>
          <w:b/>
          <w:color w:val="0B1D35"/>
          <w:sz w:val="34"/>
        </w:rPr>
        <w:t>Supporting Signals Computed Per Ticker</w:t>
      </w:r>
    </w:p>
    <w:p>
      <w:pPr>
        <w:spacing w:after="80"/>
        <w:ind w:left="0"/>
      </w:pPr>
      <w:r>
        <w:rPr>
          <w:color w:val="2C3A4F"/>
          <w:sz w:val="21"/>
        </w:rPr>
        <w:t>The following signals are computed alongside the 4 gates. They are used for position sizing (not additional screening gates).</w:t>
      </w:r>
    </w:p>
    <w:p>
      <w:pPr>
        <w:spacing w:before="280" w:after="60"/>
      </w:pPr>
      <w:r>
        <w:rPr>
          <w:rFonts w:ascii="Calibri" w:hAnsi="Calibri"/>
          <w:b/>
          <w:color w:val="3B6EA5"/>
          <w:sz w:val="25"/>
        </w:rPr>
        <w:t>Beta vs IWM</w:t>
      </w:r>
    </w:p>
    <w:p>
      <w:pPr>
        <w:spacing w:before="60" w:after="120"/>
        <w:shd w:val="clear" w:color="auto" w:fill="0B1D35"/>
      </w:pPr>
      <w:r>
        <w:rPr>
          <w:rFonts w:ascii="Courier New" w:hAnsi="Courier New"/>
          <w:color w:val="C8D8EE"/>
          <w:sz w:val="18"/>
        </w:rPr>
        <w:t># 60-day log returns, covariance method</w:t>
        <w:br/>
        <w:t>log_ret  = np.log(aligned_px / aligned_px.shift(1)).dropna()</w:t>
        <w:br/>
        <w:t>iwm_ret  = np.log(iwm_close / iwm_close.shift(1)).dropna()</w:t>
        <w:br/>
        <w:t>common   = log_ret.index.intersection(iwm_ret.index)</w:t>
        <w:br/>
        <w:br/>
        <w:t>if len(common) &gt; 60:</w:t>
        <w:br/>
        <w:t xml:space="preserve">    cov  = float(log_ret.reindex(common).cov(iwm_ret.reindex(common)))</w:t>
        <w:br/>
        <w:t xml:space="preserve">    var  = float(iwm_ret.reindex(common).var())</w:t>
        <w:br/>
        <w:t xml:space="preserve">    beta = cov / var if var &gt; 0 else 1.0</w:t>
        <w:br/>
        <w:t>else:</w:t>
        <w:br/>
        <w:t xml:space="preserve">    beta = 1.0  # fallback: assume market beta</w:t>
        <w:br/>
        <w:br/>
        <w:t>beta = max(0.3, min(float(beta), 4.0))  # clamp to [0.3, 4.0]</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Beta Range</w:t>
            </w:r>
          </w:p>
        </w:tc>
        <w:tc>
          <w:tcPr>
            <w:tcW w:type="dxa" w:w="3135"/>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Meaning</w:t>
            </w:r>
          </w:p>
        </w:tc>
        <w:tc>
          <w:tcPr>
            <w:tcW w:type="dxa" w:w="3135"/>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Effect on Position Size</w:t>
            </w:r>
          </w:p>
        </w:tc>
      </w:tr>
      <w:tr>
        <w:tc>
          <w:tcPr>
            <w:tcW w:type="dxa" w:w="3135"/>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&lt; 0.3</w:t>
            </w:r>
          </w:p>
        </w:tc>
        <w:tc>
          <w:tcPr>
            <w:tcW w:type="dxa" w:w="3135"/>
            <w:tcBorders>
              <w:top w:val="single" w:sz="4" w:space="0" w:color="C8D8E4"/>
              <w:left w:val="single" w:sz="4" w:space="0" w:color="C8D8E4"/>
              <w:bottom w:val="single" w:sz="4" w:space="0" w:color="C8D8E4"/>
              <w:right w:val="single" w:sz="4" w:space="0" w:color="C8D8E4"/>
            </w:tcBorders>
          </w:tcPr>
          <w:p>
            <w:r>
              <w:rPr>
                <w:sz w:val="20"/>
              </w:rPr>
              <w:t>Clamped to 0.3 (floor)</w:t>
            </w:r>
          </w:p>
        </w:tc>
        <w:tc>
          <w:tcPr>
            <w:tcW w:type="dxa" w:w="3135"/>
            <w:tcBorders>
              <w:top w:val="single" w:sz="4" w:space="0" w:color="C8D8E4"/>
              <w:left w:val="single" w:sz="4" w:space="0" w:color="C8D8E4"/>
              <w:bottom w:val="single" w:sz="4" w:space="0" w:color="C8D8E4"/>
              <w:right w:val="single" w:sz="4" w:space="0" w:color="C8D8E4"/>
            </w:tcBorders>
          </w:tcPr>
          <w:p>
            <w:r>
              <w:rPr>
                <w:sz w:val="20"/>
              </w:rPr>
              <w:t>Max position = 12% ÷ 0.3 = 40% — BASE_CAP=18% binds</w:t>
            </w:r>
          </w:p>
        </w:tc>
      </w:tr>
      <w:tr>
        <w:tc>
          <w:tcPr>
            <w:tcW w:type="dxa" w:w="3135"/>
            <w:shd w:val="clear" w:color="auto" w:fill="EEF3F8"/>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0.3–0.67</w:t>
            </w:r>
          </w:p>
        </w:tc>
        <w:tc>
          <w:tcPr>
            <w:tcW w:type="dxa" w:w="3135"/>
            <w:shd w:val="clear" w:color="auto" w:fill="EEF3F8"/>
            <w:tcBorders>
              <w:top w:val="single" w:sz="4" w:space="0" w:color="C8D8E4"/>
              <w:left w:val="single" w:sz="4" w:space="0" w:color="C8D8E4"/>
              <w:bottom w:val="single" w:sz="4" w:space="0" w:color="C8D8E4"/>
              <w:right w:val="single" w:sz="4" w:space="0" w:color="C8D8E4"/>
            </w:tcBorders>
          </w:tcPr>
          <w:p>
            <w:r>
              <w:rPr>
                <w:sz w:val="20"/>
              </w:rPr>
              <w:t>Low beta (defensive)</w:t>
            </w:r>
          </w:p>
        </w:tc>
        <w:tc>
          <w:tcPr>
            <w:tcW w:type="dxa" w:w="3135"/>
            <w:shd w:val="clear" w:color="auto" w:fill="EEF3F8"/>
            <w:tcBorders>
              <w:top w:val="single" w:sz="4" w:space="0" w:color="C8D8E4"/>
              <w:left w:val="single" w:sz="4" w:space="0" w:color="C8D8E4"/>
              <w:bottom w:val="single" w:sz="4" w:space="0" w:color="C8D8E4"/>
              <w:right w:val="single" w:sz="4" w:space="0" w:color="C8D8E4"/>
            </w:tcBorders>
          </w:tcPr>
          <w:p>
            <w:r>
              <w:rPr>
                <w:sz w:val="20"/>
              </w:rPr>
              <w:t>BETA_CAP = 12%÷β = 18–40% — BASE_CAP=18% binds</w:t>
            </w:r>
          </w:p>
        </w:tc>
      </w:tr>
      <w:tr>
        <w:tc>
          <w:tcPr>
            <w:tcW w:type="dxa" w:w="3135"/>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0.67–1.0</w:t>
            </w:r>
          </w:p>
        </w:tc>
        <w:tc>
          <w:tcPr>
            <w:tcW w:type="dxa" w:w="3135"/>
            <w:tcBorders>
              <w:top w:val="single" w:sz="4" w:space="0" w:color="C8D8E4"/>
              <w:left w:val="single" w:sz="4" w:space="0" w:color="C8D8E4"/>
              <w:bottom w:val="single" w:sz="4" w:space="0" w:color="C8D8E4"/>
              <w:right w:val="single" w:sz="4" w:space="0" w:color="C8D8E4"/>
            </w:tcBorders>
          </w:tcPr>
          <w:p>
            <w:r>
              <w:rPr>
                <w:sz w:val="20"/>
              </w:rPr>
              <w:t>Moderate beta</w:t>
            </w:r>
          </w:p>
        </w:tc>
        <w:tc>
          <w:tcPr>
            <w:tcW w:type="dxa" w:w="3135"/>
            <w:tcBorders>
              <w:top w:val="single" w:sz="4" w:space="0" w:color="C8D8E4"/>
              <w:left w:val="single" w:sz="4" w:space="0" w:color="C8D8E4"/>
              <w:bottom w:val="single" w:sz="4" w:space="0" w:color="C8D8E4"/>
              <w:right w:val="single" w:sz="4" w:space="0" w:color="C8D8E4"/>
            </w:tcBorders>
          </w:tcPr>
          <w:p>
            <w:r>
              <w:rPr>
                <w:sz w:val="20"/>
              </w:rPr>
              <w:t>BETA_CAP = 12–18% — BETA_CAP starts to bind</w:t>
            </w:r>
          </w:p>
        </w:tc>
      </w:tr>
      <w:tr>
        <w:tc>
          <w:tcPr>
            <w:tcW w:type="dxa" w:w="3135"/>
            <w:shd w:val="clear" w:color="auto" w:fill="EEF3F8"/>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1.0–1.5</w:t>
            </w:r>
          </w:p>
        </w:tc>
        <w:tc>
          <w:tcPr>
            <w:tcW w:type="dxa" w:w="3135"/>
            <w:shd w:val="clear" w:color="auto" w:fill="EEF3F8"/>
            <w:tcBorders>
              <w:top w:val="single" w:sz="4" w:space="0" w:color="C8D8E4"/>
              <w:left w:val="single" w:sz="4" w:space="0" w:color="C8D8E4"/>
              <w:bottom w:val="single" w:sz="4" w:space="0" w:color="C8D8E4"/>
              <w:right w:val="single" w:sz="4" w:space="0" w:color="C8D8E4"/>
            </w:tcBorders>
          </w:tcPr>
          <w:p>
            <w:r>
              <w:rPr>
                <w:sz w:val="20"/>
              </w:rPr>
              <w:t>Market-like</w:t>
            </w:r>
          </w:p>
        </w:tc>
        <w:tc>
          <w:tcPr>
            <w:tcW w:type="dxa" w:w="3135"/>
            <w:shd w:val="clear" w:color="auto" w:fill="EEF3F8"/>
            <w:tcBorders>
              <w:top w:val="single" w:sz="4" w:space="0" w:color="C8D8E4"/>
              <w:left w:val="single" w:sz="4" w:space="0" w:color="C8D8E4"/>
              <w:bottom w:val="single" w:sz="4" w:space="0" w:color="C8D8E4"/>
              <w:right w:val="single" w:sz="4" w:space="0" w:color="C8D8E4"/>
            </w:tcBorders>
          </w:tcPr>
          <w:p>
            <w:r>
              <w:rPr>
                <w:sz w:val="20"/>
              </w:rPr>
              <w:t>BETA_CAP = 8–12%</w:t>
            </w:r>
          </w:p>
        </w:tc>
      </w:tr>
      <w:tr>
        <w:tc>
          <w:tcPr>
            <w:tcW w:type="dxa" w:w="3135"/>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1.5–2.0</w:t>
            </w:r>
          </w:p>
        </w:tc>
        <w:tc>
          <w:tcPr>
            <w:tcW w:type="dxa" w:w="3135"/>
            <w:tcBorders>
              <w:top w:val="single" w:sz="4" w:space="0" w:color="C8D8E4"/>
              <w:left w:val="single" w:sz="4" w:space="0" w:color="C8D8E4"/>
              <w:bottom w:val="single" w:sz="4" w:space="0" w:color="C8D8E4"/>
              <w:right w:val="single" w:sz="4" w:space="0" w:color="C8D8E4"/>
            </w:tcBorders>
          </w:tcPr>
          <w:p>
            <w:r>
              <w:rPr>
                <w:sz w:val="20"/>
              </w:rPr>
              <w:t>High beta</w:t>
            </w:r>
          </w:p>
        </w:tc>
        <w:tc>
          <w:tcPr>
            <w:tcW w:type="dxa" w:w="3135"/>
            <w:tcBorders>
              <w:top w:val="single" w:sz="4" w:space="0" w:color="C8D8E4"/>
              <w:left w:val="single" w:sz="4" w:space="0" w:color="C8D8E4"/>
              <w:bottom w:val="single" w:sz="4" w:space="0" w:color="C8D8E4"/>
              <w:right w:val="single" w:sz="4" w:space="0" w:color="C8D8E4"/>
            </w:tcBorders>
          </w:tcPr>
          <w:p>
            <w:r>
              <w:rPr>
                <w:sz w:val="20"/>
              </w:rPr>
              <w:t>BETA_CAP = 6–8%</w:t>
            </w:r>
          </w:p>
        </w:tc>
      </w:tr>
      <w:tr>
        <w:tc>
          <w:tcPr>
            <w:tcW w:type="dxa" w:w="3135"/>
            <w:shd w:val="clear" w:color="auto" w:fill="EEF3F8"/>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2.0–4.0</w:t>
            </w:r>
          </w:p>
        </w:tc>
        <w:tc>
          <w:tcPr>
            <w:tcW w:type="dxa" w:w="3135"/>
            <w:shd w:val="clear" w:color="auto" w:fill="EEF3F8"/>
            <w:tcBorders>
              <w:top w:val="single" w:sz="4" w:space="0" w:color="C8D8E4"/>
              <w:left w:val="single" w:sz="4" w:space="0" w:color="C8D8E4"/>
              <w:bottom w:val="single" w:sz="4" w:space="0" w:color="C8D8E4"/>
              <w:right w:val="single" w:sz="4" w:space="0" w:color="C8D8E4"/>
            </w:tcBorders>
          </w:tcPr>
          <w:p>
            <w:r>
              <w:rPr>
                <w:sz w:val="20"/>
              </w:rPr>
              <w:t>Very high beta</w:t>
            </w:r>
          </w:p>
        </w:tc>
        <w:tc>
          <w:tcPr>
            <w:tcW w:type="dxa" w:w="3135"/>
            <w:shd w:val="clear" w:color="auto" w:fill="EEF3F8"/>
            <w:tcBorders>
              <w:top w:val="single" w:sz="4" w:space="0" w:color="C8D8E4"/>
              <w:left w:val="single" w:sz="4" w:space="0" w:color="C8D8E4"/>
              <w:bottom w:val="single" w:sz="4" w:space="0" w:color="C8D8E4"/>
              <w:right w:val="single" w:sz="4" w:space="0" w:color="C8D8E4"/>
            </w:tcBorders>
          </w:tcPr>
          <w:p>
            <w:r>
              <w:rPr>
                <w:sz w:val="20"/>
              </w:rPr>
              <w:t>BETA_CAP = 3–6%</w:t>
            </w:r>
          </w:p>
        </w:tc>
      </w:tr>
      <w:tr>
        <w:tc>
          <w:tcPr>
            <w:tcW w:type="dxa" w:w="3135"/>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&gt; 4.0</w:t>
            </w:r>
          </w:p>
        </w:tc>
        <w:tc>
          <w:tcPr>
            <w:tcW w:type="dxa" w:w="3135"/>
            <w:tcBorders>
              <w:top w:val="single" w:sz="4" w:space="0" w:color="C8D8E4"/>
              <w:left w:val="single" w:sz="4" w:space="0" w:color="C8D8E4"/>
              <w:bottom w:val="single" w:sz="4" w:space="0" w:color="C8D8E4"/>
              <w:right w:val="single" w:sz="4" w:space="0" w:color="C8D8E4"/>
            </w:tcBorders>
          </w:tcPr>
          <w:p>
            <w:r>
              <w:rPr>
                <w:sz w:val="20"/>
              </w:rPr>
              <w:t>Clamped to 4.0 (ceiling)</w:t>
            </w:r>
          </w:p>
        </w:tc>
        <w:tc>
          <w:tcPr>
            <w:tcW w:type="dxa" w:w="3135"/>
            <w:tcBorders>
              <w:top w:val="single" w:sz="4" w:space="0" w:color="C8D8E4"/>
              <w:left w:val="single" w:sz="4" w:space="0" w:color="C8D8E4"/>
              <w:bottom w:val="single" w:sz="4" w:space="0" w:color="C8D8E4"/>
              <w:right w:val="single" w:sz="4" w:space="0" w:color="C8D8E4"/>
            </w:tcBorders>
          </w:tcPr>
          <w:p>
            <w:r>
              <w:rPr>
                <w:sz w:val="20"/>
              </w:rPr>
              <w:t>BETA_CAP = 3% — very small position</w:t>
            </w:r>
          </w:p>
        </w:tc>
      </w:tr>
    </w:tbl>
    <w:p/>
    <w:p>
      <w:pPr>
        <w:spacing w:before="280" w:after="60"/>
      </w:pPr>
      <w:r>
        <w:rPr>
          <w:rFonts w:ascii="Calibri" w:hAnsi="Calibri"/>
          <w:b/>
          <w:color w:val="3B6EA5"/>
          <w:sz w:val="25"/>
        </w:rPr>
        <w:t>Realized Volatility (63-day)</w:t>
      </w:r>
    </w:p>
    <w:p>
      <w:pPr>
        <w:spacing w:before="60" w:after="120"/>
        <w:shd w:val="clear" w:color="auto" w:fill="0B1D35"/>
      </w:pPr>
      <w:r>
        <w:rPr>
          <w:rFonts w:ascii="Courier New" w:hAnsi="Courier New"/>
          <w:color w:val="C8D8EE"/>
          <w:sz w:val="18"/>
        </w:rPr>
        <w:t># Annualized realized vol — used for vol-parity weights</w:t>
        <w:br/>
        <w:t>rv = log_ret.rolling(63, min_periods=20).std().iloc[-1] * np.sqrt(252)</w:t>
        <w:br/>
        <w:t>realized_vol = max(float(rv) if pd.notna(rv) else 0.30, 0.01)</w:t>
        <w:br/>
        <w:t># Floor at 0.01 prevents division by zero in weight calculation</w:t>
        <w:br/>
        <w:t># Default 0.30 (30%) used when insufficient history</w:t>
      </w:r>
    </w:p>
    <w:p>
      <w:pPr>
        <w:spacing w:before="280" w:after="60"/>
      </w:pPr>
      <w:r>
        <w:rPr>
          <w:rFonts w:ascii="Calibri" w:hAnsi="Calibri"/>
          <w:b/>
          <w:color w:val="3B6EA5"/>
          <w:sz w:val="25"/>
        </w:rPr>
        <w:t>20-day Realized Volatility</w:t>
      </w:r>
    </w:p>
    <w:p>
      <w:pPr>
        <w:spacing w:before="60" w:after="120"/>
        <w:shd w:val="clear" w:color="auto" w:fill="0B1D35"/>
      </w:pPr>
      <w:r>
        <w:rPr>
          <w:rFonts w:ascii="Courier New" w:hAnsi="Courier New"/>
          <w:color w:val="C8D8EE"/>
          <w:sz w:val="18"/>
        </w:rPr>
        <w:t># Shorter window — used for vol-parity sizing at rebalance</w:t>
        <w:br/>
        <w:t>rv20 = log_ret.rolling(20, min_periods=10).std().iloc[-1] * np.sqrt(252)</w:t>
        <w:br/>
        <w:t>vol_20d = max(float(rv20) if pd.notna(rv20) else 0.30, 0.01)</w:t>
      </w:r>
    </w:p>
    <w:p>
      <w:pPr>
        <w:spacing w:before="280" w:after="60"/>
      </w:pPr>
      <w:r>
        <w:rPr>
          <w:rFonts w:ascii="Calibri" w:hAnsi="Calibri"/>
          <w:b/>
          <w:color w:val="3B6EA5"/>
          <w:sz w:val="25"/>
        </w:rPr>
        <w:t>vs_ma200_pct (context only)</w:t>
      </w:r>
    </w:p>
    <w:p>
      <w:pPr>
        <w:spacing w:before="60" w:after="120"/>
        <w:shd w:val="clear" w:color="auto" w:fill="0B1D35"/>
      </w:pPr>
      <w:r>
        <w:rPr>
          <w:rFonts w:ascii="Courier New" w:hAnsi="Courier New"/>
          <w:color w:val="C8D8EE"/>
          <w:sz w:val="18"/>
        </w:rPr>
        <w:t>vs_ma200 = (close / float(ma200_today) - 1) * 100</w:t>
        <w:br/>
        <w:t># Stored in signals DataFrame for context</w:t>
        <w:br/>
        <w:t># Gate 2 uses close &gt; ma200 (binary) — this gives the % distance</w:t>
        <w:br/>
        <w:t># e.g., vs_ma200 = +15.3 means 15.3% above MA200</w:t>
      </w:r>
    </w:p>
    <w:p>
      <w:pPr>
        <w:spacing w:before="80" w:after="80"/>
        <w:pBdr>
          <w:bottom w:val="single" w:sz="4" w:space="1" w:color="D0D8E8"/>
        </w:pBdr>
      </w:pPr>
    </w:p>
    <w:p>
      <w:pPr>
        <w:spacing w:before="400" w:after="120"/>
        <w:pBdr>
          <w:bottom w:val="single" w:sz="8" w:space="1" w:color="0B1D35"/>
        </w:pBdr>
      </w:pPr>
      <w:r>
        <w:rPr>
          <w:rFonts w:ascii="Calibri" w:hAnsi="Calibri"/>
          <w:b/>
          <w:color w:val="0B1D35"/>
          <w:sz w:val="34"/>
        </w:rPr>
        <w:t>Regime Gate — Market Condition (Pre-Screening)</w:t>
      </w:r>
    </w:p>
    <w:p>
      <w:pPr>
        <w:spacing w:after="80"/>
        <w:ind w:left="0"/>
      </w:pPr>
      <w:r>
        <w:rPr>
          <w:color w:val="2C3A4F"/>
          <w:sz w:val="21"/>
        </w:rPr>
        <w:t>The regime is determined BEFORE any stock screening runs. It affects two things: the vol_trend threshold (Gate 3) and the portfolio exposure level.</w:t>
      </w:r>
    </w:p>
    <w:p>
      <w:pPr>
        <w:spacing w:before="60" w:after="120"/>
        <w:shd w:val="clear" w:color="auto" w:fill="0B1D35"/>
      </w:pPr>
      <w:r>
        <w:rPr>
          <w:rFonts w:ascii="Courier New" w:hAnsi="Courier New"/>
          <w:color w:val="C8D8EE"/>
          <w:sz w:val="18"/>
        </w:rPr>
        <w:t># IWM 200-day MA (min_periods=150 — same as individual stock MA200)</w:t>
        <w:br/>
        <w:t>iwm_ma200 = iwm_close.rolling(200, min_periods=150).mean()</w:t>
        <w:br/>
        <w:br/>
        <w:t>bull = bool(iwm_close.iloc[-1] &gt; iwm_ma200.iloc[-1])</w:t>
        <w:br/>
        <w:br/>
        <w:t># Regime parameters:</w:t>
        <w:br/>
        <w:t>if bull:</w:t>
        <w:br/>
        <w:t xml:space="preserve">    regime   = 'BULL'</w:t>
        <w:br/>
        <w:t xml:space="preserve">    vt       = 0.75   # Gate 3 threshold</w:t>
        <w:br/>
        <w:t xml:space="preserve">    exposure = 1.0    # 100% deployed</w:t>
        <w:br/>
        <w:t>else:</w:t>
        <w:br/>
        <w:t xml:space="preserve">    regime   = 'BEAR'</w:t>
        <w:br/>
        <w:t xml:space="preserve">    vt       = 0.95   # Gate 3 threshold (stricter)</w:t>
        <w:br/>
        <w:t xml:space="preserve">    exposure = 0.5    # 50% deployed</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Regime</w:t>
            </w:r>
          </w:p>
        </w:tc>
        <w:tc>
          <w:tcPr>
            <w:tcW w:type="dxa" w:w="1881"/>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IWM Condition</w:t>
            </w:r>
          </w:p>
        </w:tc>
        <w:tc>
          <w:tcPr>
            <w:tcW w:type="dxa" w:w="1881"/>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Gate 3 threshold</w:t>
            </w:r>
          </w:p>
        </w:tc>
        <w:tc>
          <w:tcPr>
            <w:tcW w:type="dxa" w:w="1881"/>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Exposure</w:t>
            </w:r>
          </w:p>
        </w:tc>
        <w:tc>
          <w:tcPr>
            <w:tcW w:type="dxa" w:w="1881"/>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Cash held</w:t>
            </w:r>
          </w:p>
        </w:tc>
      </w:tr>
      <w:tr>
        <w:tc>
          <w:tcPr>
            <w:tcW w:type="dxa" w:w="1881"/>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BULL</w:t>
            </w:r>
          </w:p>
        </w:tc>
        <w:tc>
          <w:tcPr>
            <w:tcW w:type="dxa" w:w="1881"/>
            <w:tcBorders>
              <w:top w:val="single" w:sz="4" w:space="0" w:color="C8D8E4"/>
              <w:left w:val="single" w:sz="4" w:space="0" w:color="C8D8E4"/>
              <w:bottom w:val="single" w:sz="4" w:space="0" w:color="C8D8E4"/>
              <w:right w:val="single" w:sz="4" w:space="0" w:color="C8D8E4"/>
            </w:tcBorders>
          </w:tcPr>
          <w:p>
            <w:r>
              <w:rPr>
                <w:sz w:val="20"/>
              </w:rPr>
              <w:t>IWM close &gt; IWM MA200</w:t>
            </w:r>
          </w:p>
        </w:tc>
        <w:tc>
          <w:tcPr>
            <w:tcW w:type="dxa" w:w="1881"/>
            <w:tcBorders>
              <w:top w:val="single" w:sz="4" w:space="0" w:color="C8D8E4"/>
              <w:left w:val="single" w:sz="4" w:space="0" w:color="C8D8E4"/>
              <w:bottom w:val="single" w:sz="4" w:space="0" w:color="C8D8E4"/>
              <w:right w:val="single" w:sz="4" w:space="0" w:color="C8D8E4"/>
            </w:tcBorders>
          </w:tcPr>
          <w:p>
            <w:r>
              <w:rPr>
                <w:sz w:val="20"/>
              </w:rPr>
              <w:t>0.75</w:t>
            </w:r>
          </w:p>
        </w:tc>
        <w:tc>
          <w:tcPr>
            <w:tcW w:type="dxa" w:w="1881"/>
            <w:tcBorders>
              <w:top w:val="single" w:sz="4" w:space="0" w:color="C8D8E4"/>
              <w:left w:val="single" w:sz="4" w:space="0" w:color="C8D8E4"/>
              <w:bottom w:val="single" w:sz="4" w:space="0" w:color="C8D8E4"/>
              <w:right w:val="single" w:sz="4" w:space="0" w:color="C8D8E4"/>
            </w:tcBorders>
          </w:tcPr>
          <w:p>
            <w:r>
              <w:rPr>
                <w:sz w:val="20"/>
              </w:rPr>
              <w:t>100%</w:t>
            </w:r>
          </w:p>
        </w:tc>
        <w:tc>
          <w:tcPr>
            <w:tcW w:type="dxa" w:w="1881"/>
            <w:tcBorders>
              <w:top w:val="single" w:sz="4" w:space="0" w:color="C8D8E4"/>
              <w:left w:val="single" w:sz="4" w:space="0" w:color="C8D8E4"/>
              <w:bottom w:val="single" w:sz="4" w:space="0" w:color="C8D8E4"/>
              <w:right w:val="single" w:sz="4" w:space="0" w:color="C8D8E4"/>
            </w:tcBorders>
          </w:tcPr>
          <w:p>
            <w:r>
              <w:rPr>
                <w:sz w:val="20"/>
              </w:rPr>
              <w:t>0%</w:t>
            </w:r>
          </w:p>
        </w:tc>
      </w:tr>
      <w:tr>
        <w:tc>
          <w:tcPr>
            <w:tcW w:type="dxa" w:w="1881"/>
            <w:shd w:val="clear" w:color="auto" w:fill="EEF3F8"/>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BEAR</w:t>
            </w:r>
          </w:p>
        </w:tc>
        <w:tc>
          <w:tcPr>
            <w:tcW w:type="dxa" w:w="1881"/>
            <w:shd w:val="clear" w:color="auto" w:fill="EEF3F8"/>
            <w:tcBorders>
              <w:top w:val="single" w:sz="4" w:space="0" w:color="C8D8E4"/>
              <w:left w:val="single" w:sz="4" w:space="0" w:color="C8D8E4"/>
              <w:bottom w:val="single" w:sz="4" w:space="0" w:color="C8D8E4"/>
              <w:right w:val="single" w:sz="4" w:space="0" w:color="C8D8E4"/>
            </w:tcBorders>
          </w:tcPr>
          <w:p>
            <w:r>
              <w:rPr>
                <w:sz w:val="20"/>
              </w:rPr>
              <w:t>IWM close ≤ IWM MA200</w:t>
            </w:r>
          </w:p>
        </w:tc>
        <w:tc>
          <w:tcPr>
            <w:tcW w:type="dxa" w:w="1881"/>
            <w:shd w:val="clear" w:color="auto" w:fill="EEF3F8"/>
            <w:tcBorders>
              <w:top w:val="single" w:sz="4" w:space="0" w:color="C8D8E4"/>
              <w:left w:val="single" w:sz="4" w:space="0" w:color="C8D8E4"/>
              <w:bottom w:val="single" w:sz="4" w:space="0" w:color="C8D8E4"/>
              <w:right w:val="single" w:sz="4" w:space="0" w:color="C8D8E4"/>
            </w:tcBorders>
          </w:tcPr>
          <w:p>
            <w:r>
              <w:rPr>
                <w:sz w:val="20"/>
              </w:rPr>
              <w:t>0.95</w:t>
            </w:r>
          </w:p>
        </w:tc>
        <w:tc>
          <w:tcPr>
            <w:tcW w:type="dxa" w:w="1881"/>
            <w:shd w:val="clear" w:color="auto" w:fill="EEF3F8"/>
            <w:tcBorders>
              <w:top w:val="single" w:sz="4" w:space="0" w:color="C8D8E4"/>
              <w:left w:val="single" w:sz="4" w:space="0" w:color="C8D8E4"/>
              <w:bottom w:val="single" w:sz="4" w:space="0" w:color="C8D8E4"/>
              <w:right w:val="single" w:sz="4" w:space="0" w:color="C8D8E4"/>
            </w:tcBorders>
          </w:tcPr>
          <w:p>
            <w:r>
              <w:rPr>
                <w:sz w:val="20"/>
              </w:rPr>
              <w:t>50%</w:t>
            </w:r>
          </w:p>
        </w:tc>
        <w:tc>
          <w:tcPr>
            <w:tcW w:type="dxa" w:w="1881"/>
            <w:shd w:val="clear" w:color="auto" w:fill="EEF3F8"/>
            <w:tcBorders>
              <w:top w:val="single" w:sz="4" w:space="0" w:color="C8D8E4"/>
              <w:left w:val="single" w:sz="4" w:space="0" w:color="C8D8E4"/>
              <w:bottom w:val="single" w:sz="4" w:space="0" w:color="C8D8E4"/>
              <w:right w:val="single" w:sz="4" w:space="0" w:color="C8D8E4"/>
            </w:tcBorders>
          </w:tcPr>
          <w:p>
            <w:r>
              <w:rPr>
                <w:sz w:val="20"/>
              </w:rPr>
              <w:t>50%</w:t>
            </w:r>
          </w:p>
        </w:tc>
      </w:tr>
    </w:tbl>
    <w:p/>
    <w:tbl>
      <w:tblPr>
        <w:tblW w:type="auto" w:w="0"/>
        <w:jc w:val="left"/>
        <w:tblLook w:firstColumn="1" w:firstRow="1" w:lastColumn="0" w:lastRow="0" w:noHBand="0" w:noVBand="1" w:val="04A0"/>
      </w:tblPr>
      <w:tblGrid>
        <w:gridCol w:w="9406"/>
      </w:tblGrid>
      <w:tr>
        <w:tc>
          <w:tcPr>
            <w:tcW w:type="dxa" w:w="9406"/>
            <w:shd w:val="clear" w:color="auto" w:fill="FFF3CD"/>
            <w:tcBorders>
              <w:top w:val="single" w:sz="4" w:space="0" w:color="C8973A"/>
              <w:left w:val="single" w:sz="4" w:space="0" w:color="C8973A"/>
              <w:bottom w:val="single" w:sz="4" w:space="0" w:color="C8973A"/>
              <w:right w:val="single" w:sz="4" w:space="0" w:color="C8973A"/>
            </w:tcBorders>
          </w:tcPr>
          <w:p>
            <w:r>
              <w:rPr>
                <w:rFonts w:ascii="Courier New" w:hAnsi="Courier New"/>
                <w:b/>
                <w:i w:val="0"/>
                <w:color w:val="C8973A"/>
                <w:sz w:val="16"/>
              </w:rPr>
              <w:t xml:space="preserve">⚠ IMPORTANT  </w:t>
            </w:r>
            <w:r>
              <w:rPr>
                <w:b w:val="0"/>
                <w:i w:val="0"/>
                <w:color w:val="1C2533"/>
                <w:sz w:val="20"/>
              </w:rPr>
              <w:t>The regime uses a strict binary: IWM above or below MA200. There is NO dead zone, hysteresis, or smoothing. If IWM crosses MA200 back and forth over multiple days, the regime will flip daily. This is a known limitation — the system does not use a confirmation window (e.g., '3 days below MA200 = BEAR').</w:t>
            </w:r>
          </w:p>
        </w:tc>
      </w:tr>
    </w:tbl>
    <w:p/>
    <w:p>
      <w:pPr>
        <w:spacing w:before="80" w:after="80"/>
        <w:pBdr>
          <w:bottom w:val="single" w:sz="4" w:space="1" w:color="D0D8E8"/>
        </w:pBdr>
      </w:pPr>
    </w:p>
    <w:p>
      <w:pPr>
        <w:spacing w:before="400" w:after="120"/>
        <w:pBdr>
          <w:bottom w:val="single" w:sz="8" w:space="1" w:color="0B1D35"/>
        </w:pBdr>
      </w:pPr>
      <w:r>
        <w:rPr>
          <w:rFonts w:ascii="Calibri" w:hAnsi="Calibri"/>
          <w:b/>
          <w:color w:val="0B1D35"/>
          <w:sz w:val="34"/>
        </w:rPr>
        <w:t>Complete Screening Pseudocode</w:t>
      </w:r>
    </w:p>
    <w:p>
      <w:pPr>
        <w:spacing w:after="80"/>
        <w:ind w:left="0"/>
      </w:pPr>
      <w:r>
        <w:rPr>
          <w:color w:val="2C3A4F"/>
          <w:sz w:val="21"/>
        </w:rPr>
        <w:t>This is the canonical description of the full screening process at each rebalance:</w:t>
      </w:r>
    </w:p>
    <w:p>
      <w:pPr>
        <w:spacing w:before="60" w:after="120"/>
        <w:shd w:val="clear" w:color="auto" w:fill="0B1D35"/>
      </w:pPr>
      <w:r>
        <w:rPr>
          <w:rFonts w:ascii="Courier New" w:hAnsi="Courier New"/>
          <w:color w:val="C8D8EE"/>
          <w:sz w:val="18"/>
        </w:rPr>
        <w:t># === REBALANCE SCREENING FLOW ===</w:t>
        <w:br/>
        <w:br/>
        <w:t># 0. FETCH DATA</w:t>
        <w:br/>
        <w:t>tickers   = load_tickers()  # ~500 S&amp;P 500 tickers</w:t>
        <w:br/>
        <w:t>data_dict = fetch_many(['SPY','IWM','QQQ'] + tickers, days=310, threads=8)</w:t>
        <w:br/>
        <w:br/>
        <w:t>spy_close = data_dict['SPY'][0]</w:t>
        <w:br/>
        <w:t>iwm_close = data_dict['IWM'][0]</w:t>
        <w:br/>
        <w:br/>
        <w:t># 1. DETERMINE REGIME</w:t>
        <w:br/>
        <w:t>iwm_ma200 = iwm_close.rolling(200, min_periods=150).mean()</w:t>
        <w:br/>
        <w:t>bull    = iwm_close.iloc[-1] &gt; iwm_ma200.iloc[-1]</w:t>
        <w:br/>
        <w:t>vt      = 0.75 if bull else 0.95   # vol_trend threshold</w:t>
        <w:br/>
        <w:t>exposure= 1.00 if bull else 0.50   # portfolio exposure</w:t>
        <w:br/>
        <w:br/>
        <w:t># 2. COMPUTE SIGNALS (per ticker)</w:t>
        <w:br/>
        <w:t>for ticker in tickers:</w:t>
        <w:br/>
        <w:t xml:space="preserve">    # Skip if &lt; 60 bars or any RS lookback returns NaN</w:t>
        <w:br/>
        <w:t xml:space="preserve">    rs_raw    = compute_rs(ticker, spy_close)</w:t>
        <w:br/>
        <w:t xml:space="preserve">    vol_trend = compute_vol_trend(ticker)</w:t>
        <w:br/>
        <w:t xml:space="preserve">    vs_ma200  = compute_vs_ma200(ticker)</w:t>
        <w:br/>
        <w:t xml:space="preserve">    beta      = compute_beta(ticker, iwm_close)</w:t>
        <w:br/>
        <w:t xml:space="preserve">    realized_vol = compute_realized_vol(ticker)</w:t>
        <w:br/>
        <w:br/>
        <w:t># 3. RANK RS</w:t>
        <w:br/>
        <w:t>df['rs_pct'] = df['rs_raw'].rank(pct=True) * 100</w:t>
        <w:br/>
        <w:br/>
        <w:t># 4. APPLY GATES 1-3 (vectorized)</w:t>
        <w:br/>
        <w:t>mask = (df['rs_pct']     &gt;= 80  )   # Gate 1: RS</w:t>
        <w:br/>
        <w:t xml:space="preserve">     &amp; (df['vs_ma200']   &gt;= 0.0 )   # Gate 2: MA200</w:t>
        <w:br/>
        <w:t xml:space="preserve">     &amp; (df['vol_trend']  &gt;= vt  )   # Gate 3: volume trend</w:t>
        <w:br/>
        <w:br/>
        <w:t>passed = df[mask].nlargest(75, 'rs_pct')  # CANDIDATE_POOL = 75</w:t>
        <w:br/>
        <w:br/>
        <w:t># 5. APPLY GATE 4 (ADTV — API call per ticker)</w:t>
        <w:br/>
        <w:t>for ticker in passed['ticker']:</w:t>
        <w:br/>
        <w:t xml:space="preserve">    passed.loc[ticker, 'adtv_63m'] = fetch_adtv(ticker)  # $M</w:t>
        <w:br/>
        <w:t xml:space="preserve">    time.sleep(0.08)</w:t>
        <w:br/>
        <w:br/>
        <w:t>passed = passed[passed['adtv_63m'] &gt;= 10.0]  # Gate 4: ADTV</w:t>
        <w:br/>
        <w:br/>
        <w:t># 6. FINAL SELECTION</w:t>
        <w:br/>
        <w:t>final = passed.nlargest(15, 'rs_pct')  # TOP_N = 15</w:t>
        <w:br/>
        <w:br/>
        <w:t># 7. COMPUTE WEIGHTS (vol-parity)</w:t>
        <w:br/>
        <w:t>weights = vp_weights(final, exposure)</w:t>
        <w:br/>
        <w:t># → Build positions, commit state, send Telegram</w:t>
      </w:r>
    </w:p>
    <w:p>
      <w:r>
        <w:br w:type="page"/>
      </w:r>
    </w:p>
    <w:p>
      <w:pPr>
        <w:spacing w:before="400" w:after="120"/>
        <w:pBdr>
          <w:bottom w:val="single" w:sz="8" w:space="1" w:color="0B1D35"/>
        </w:pBdr>
      </w:pPr>
      <w:r>
        <w:rPr>
          <w:rFonts w:ascii="Calibri" w:hAnsi="Calibri"/>
          <w:b/>
          <w:color w:val="0B1D35"/>
          <w:sz w:val="34"/>
        </w:rPr>
        <w:t>Screening Decision Summary — Quick Reference</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Gate</w:t>
            </w:r>
          </w:p>
        </w:tc>
        <w:tc>
          <w:tcPr>
            <w:tcW w:type="dxa" w:w="1881"/>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Signal</w:t>
            </w:r>
          </w:p>
        </w:tc>
        <w:tc>
          <w:tcPr>
            <w:tcW w:type="dxa" w:w="1881"/>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Threshold (BULL)</w:t>
            </w:r>
          </w:p>
        </w:tc>
        <w:tc>
          <w:tcPr>
            <w:tcW w:type="dxa" w:w="1881"/>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Threshold (BEAR)</w:t>
            </w:r>
          </w:p>
        </w:tc>
        <w:tc>
          <w:tcPr>
            <w:tcW w:type="dxa" w:w="1881"/>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Action if FAIL</w:t>
            </w:r>
          </w:p>
        </w:tc>
      </w:tr>
      <w:tr>
        <w:tc>
          <w:tcPr>
            <w:tcW w:type="dxa" w:w="1881"/>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Pre-screen</w:t>
            </w:r>
          </w:p>
        </w:tc>
        <w:tc>
          <w:tcPr>
            <w:tcW w:type="dxa" w:w="1881"/>
            <w:tcBorders>
              <w:top w:val="single" w:sz="4" w:space="0" w:color="C8D8E4"/>
              <w:left w:val="single" w:sz="4" w:space="0" w:color="C8D8E4"/>
              <w:bottom w:val="single" w:sz="4" w:space="0" w:color="C8D8E4"/>
              <w:right w:val="single" w:sz="4" w:space="0" w:color="C8D8E4"/>
            </w:tcBorders>
          </w:tcPr>
          <w:p>
            <w:r>
              <w:rPr>
                <w:sz w:val="20"/>
              </w:rPr>
              <w:t>Data bars</w:t>
            </w:r>
          </w:p>
        </w:tc>
        <w:tc>
          <w:tcPr>
            <w:tcW w:type="dxa" w:w="1881"/>
            <w:tcBorders>
              <w:top w:val="single" w:sz="4" w:space="0" w:color="C8D8E4"/>
              <w:left w:val="single" w:sz="4" w:space="0" w:color="C8D8E4"/>
              <w:bottom w:val="single" w:sz="4" w:space="0" w:color="C8D8E4"/>
              <w:right w:val="single" w:sz="4" w:space="0" w:color="C8D8E4"/>
            </w:tcBorders>
          </w:tcPr>
          <w:p>
            <w:r>
              <w:rPr>
                <w:sz w:val="20"/>
              </w:rPr>
              <w:t>≥ 60 bars aligned to SPY</w:t>
            </w:r>
          </w:p>
        </w:tc>
        <w:tc>
          <w:tcPr>
            <w:tcW w:type="dxa" w:w="1881"/>
            <w:tcBorders>
              <w:top w:val="single" w:sz="4" w:space="0" w:color="C8D8E4"/>
              <w:left w:val="single" w:sz="4" w:space="0" w:color="C8D8E4"/>
              <w:bottom w:val="single" w:sz="4" w:space="0" w:color="C8D8E4"/>
              <w:right w:val="single" w:sz="4" w:space="0" w:color="C8D8E4"/>
            </w:tcBorders>
          </w:tcPr>
          <w:p>
            <w:r>
              <w:rPr>
                <w:sz w:val="20"/>
              </w:rPr>
              <w:t>≥ 60 bars aligned to SPY</w:t>
            </w:r>
          </w:p>
        </w:tc>
        <w:tc>
          <w:tcPr>
            <w:tcW w:type="dxa" w:w="1881"/>
            <w:tcBorders>
              <w:top w:val="single" w:sz="4" w:space="0" w:color="C8D8E4"/>
              <w:left w:val="single" w:sz="4" w:space="0" w:color="C8D8E4"/>
              <w:bottom w:val="single" w:sz="4" w:space="0" w:color="C8D8E4"/>
              <w:right w:val="single" w:sz="4" w:space="0" w:color="C8D8E4"/>
            </w:tcBorders>
          </w:tcPr>
          <w:p>
            <w:r>
              <w:rPr>
                <w:sz w:val="20"/>
              </w:rPr>
              <w:t>Exclude silently</w:t>
            </w:r>
          </w:p>
        </w:tc>
      </w:tr>
      <w:tr>
        <w:tc>
          <w:tcPr>
            <w:tcW w:type="dxa" w:w="1881"/>
            <w:shd w:val="clear" w:color="auto" w:fill="EEF3F8"/>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Pre-screen</w:t>
            </w:r>
          </w:p>
        </w:tc>
        <w:tc>
          <w:tcPr>
            <w:tcW w:type="dxa" w:w="1881"/>
            <w:shd w:val="clear" w:color="auto" w:fill="EEF3F8"/>
            <w:tcBorders>
              <w:top w:val="single" w:sz="4" w:space="0" w:color="C8D8E4"/>
              <w:left w:val="single" w:sz="4" w:space="0" w:color="C8D8E4"/>
              <w:bottom w:val="single" w:sz="4" w:space="0" w:color="C8D8E4"/>
              <w:right w:val="single" w:sz="4" w:space="0" w:color="C8D8E4"/>
            </w:tcBorders>
          </w:tcPr>
          <w:p>
            <w:r>
              <w:rPr>
                <w:sz w:val="20"/>
              </w:rPr>
              <w:t>RS lookbacks</w:t>
            </w:r>
          </w:p>
        </w:tc>
        <w:tc>
          <w:tcPr>
            <w:tcW w:type="dxa" w:w="1881"/>
            <w:shd w:val="clear" w:color="auto" w:fill="EEF3F8"/>
            <w:tcBorders>
              <w:top w:val="single" w:sz="4" w:space="0" w:color="C8D8E4"/>
              <w:left w:val="single" w:sz="4" w:space="0" w:color="C8D8E4"/>
              <w:bottom w:val="single" w:sz="4" w:space="0" w:color="C8D8E4"/>
              <w:right w:val="single" w:sz="4" w:space="0" w:color="C8D8E4"/>
            </w:tcBorders>
          </w:tcPr>
          <w:p>
            <w:r>
              <w:rPr>
                <w:sz w:val="20"/>
              </w:rPr>
              <w:t>All 4 computable (no NaN)</w:t>
            </w:r>
          </w:p>
        </w:tc>
        <w:tc>
          <w:tcPr>
            <w:tcW w:type="dxa" w:w="1881"/>
            <w:shd w:val="clear" w:color="auto" w:fill="EEF3F8"/>
            <w:tcBorders>
              <w:top w:val="single" w:sz="4" w:space="0" w:color="C8D8E4"/>
              <w:left w:val="single" w:sz="4" w:space="0" w:color="C8D8E4"/>
              <w:bottom w:val="single" w:sz="4" w:space="0" w:color="C8D8E4"/>
              <w:right w:val="single" w:sz="4" w:space="0" w:color="C8D8E4"/>
            </w:tcBorders>
          </w:tcPr>
          <w:p>
            <w:r>
              <w:rPr>
                <w:sz w:val="20"/>
              </w:rPr>
              <w:t>All 4 computable (no NaN)</w:t>
            </w:r>
          </w:p>
        </w:tc>
        <w:tc>
          <w:tcPr>
            <w:tcW w:type="dxa" w:w="1881"/>
            <w:shd w:val="clear" w:color="auto" w:fill="EEF3F8"/>
            <w:tcBorders>
              <w:top w:val="single" w:sz="4" w:space="0" w:color="C8D8E4"/>
              <w:left w:val="single" w:sz="4" w:space="0" w:color="C8D8E4"/>
              <w:bottom w:val="single" w:sz="4" w:space="0" w:color="C8D8E4"/>
              <w:right w:val="single" w:sz="4" w:space="0" w:color="C8D8E4"/>
            </w:tcBorders>
          </w:tcPr>
          <w:p>
            <w:r>
              <w:rPr>
                <w:sz w:val="20"/>
              </w:rPr>
              <w:t>Exclude silently</w:t>
            </w:r>
          </w:p>
        </w:tc>
      </w:tr>
      <w:tr>
        <w:tc>
          <w:tcPr>
            <w:tcW w:type="dxa" w:w="1881"/>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Gate 1</w:t>
            </w:r>
          </w:p>
        </w:tc>
        <w:tc>
          <w:tcPr>
            <w:tcW w:type="dxa" w:w="1881"/>
            <w:tcBorders>
              <w:top w:val="single" w:sz="4" w:space="0" w:color="C8D8E4"/>
              <w:left w:val="single" w:sz="4" w:space="0" w:color="C8D8E4"/>
              <w:bottom w:val="single" w:sz="4" w:space="0" w:color="C8D8E4"/>
              <w:right w:val="single" w:sz="4" w:space="0" w:color="C8D8E4"/>
            </w:tcBorders>
          </w:tcPr>
          <w:p>
            <w:r>
              <w:rPr>
                <w:sz w:val="20"/>
              </w:rPr>
              <w:t>rs_pct</w:t>
            </w:r>
          </w:p>
        </w:tc>
        <w:tc>
          <w:tcPr>
            <w:tcW w:type="dxa" w:w="1881"/>
            <w:tcBorders>
              <w:top w:val="single" w:sz="4" w:space="0" w:color="C8D8E4"/>
              <w:left w:val="single" w:sz="4" w:space="0" w:color="C8D8E4"/>
              <w:bottom w:val="single" w:sz="4" w:space="0" w:color="C8D8E4"/>
              <w:right w:val="single" w:sz="4" w:space="0" w:color="C8D8E4"/>
            </w:tcBorders>
          </w:tcPr>
          <w:p>
            <w:r>
              <w:rPr>
                <w:sz w:val="20"/>
              </w:rPr>
              <w:t>≥ 80th percentile</w:t>
            </w:r>
          </w:p>
        </w:tc>
        <w:tc>
          <w:tcPr>
            <w:tcW w:type="dxa" w:w="1881"/>
            <w:tcBorders>
              <w:top w:val="single" w:sz="4" w:space="0" w:color="C8D8E4"/>
              <w:left w:val="single" w:sz="4" w:space="0" w:color="C8D8E4"/>
              <w:bottom w:val="single" w:sz="4" w:space="0" w:color="C8D8E4"/>
              <w:right w:val="single" w:sz="4" w:space="0" w:color="C8D8E4"/>
            </w:tcBorders>
          </w:tcPr>
          <w:p>
            <w:r>
              <w:rPr>
                <w:sz w:val="20"/>
              </w:rPr>
              <w:t>≥ 80th percentile</w:t>
            </w:r>
          </w:p>
        </w:tc>
        <w:tc>
          <w:tcPr>
            <w:tcW w:type="dxa" w:w="1881"/>
            <w:tcBorders>
              <w:top w:val="single" w:sz="4" w:space="0" w:color="C8D8E4"/>
              <w:left w:val="single" w:sz="4" w:space="0" w:color="C8D8E4"/>
              <w:bottom w:val="single" w:sz="4" w:space="0" w:color="C8D8E4"/>
              <w:right w:val="single" w:sz="4" w:space="0" w:color="C8D8E4"/>
            </w:tcBorders>
          </w:tcPr>
          <w:p>
            <w:r>
              <w:rPr>
                <w:sz w:val="20"/>
              </w:rPr>
              <w:t>Exclude</w:t>
            </w:r>
          </w:p>
        </w:tc>
      </w:tr>
      <w:tr>
        <w:tc>
          <w:tcPr>
            <w:tcW w:type="dxa" w:w="1881"/>
            <w:shd w:val="clear" w:color="auto" w:fill="EEF3F8"/>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Gate 2</w:t>
            </w:r>
          </w:p>
        </w:tc>
        <w:tc>
          <w:tcPr>
            <w:tcW w:type="dxa" w:w="1881"/>
            <w:shd w:val="clear" w:color="auto" w:fill="EEF3F8"/>
            <w:tcBorders>
              <w:top w:val="single" w:sz="4" w:space="0" w:color="C8D8E4"/>
              <w:left w:val="single" w:sz="4" w:space="0" w:color="C8D8E4"/>
              <w:bottom w:val="single" w:sz="4" w:space="0" w:color="C8D8E4"/>
              <w:right w:val="single" w:sz="4" w:space="0" w:color="C8D8E4"/>
            </w:tcBorders>
          </w:tcPr>
          <w:p>
            <w:r>
              <w:rPr>
                <w:sz w:val="20"/>
              </w:rPr>
              <w:t>vs_ma200</w:t>
            </w:r>
          </w:p>
        </w:tc>
        <w:tc>
          <w:tcPr>
            <w:tcW w:type="dxa" w:w="1881"/>
            <w:shd w:val="clear" w:color="auto" w:fill="EEF3F8"/>
            <w:tcBorders>
              <w:top w:val="single" w:sz="4" w:space="0" w:color="C8D8E4"/>
              <w:left w:val="single" w:sz="4" w:space="0" w:color="C8D8E4"/>
              <w:bottom w:val="single" w:sz="4" w:space="0" w:color="C8D8E4"/>
              <w:right w:val="single" w:sz="4" w:space="0" w:color="C8D8E4"/>
            </w:tcBorders>
          </w:tcPr>
          <w:p>
            <w:r>
              <w:rPr>
                <w:sz w:val="20"/>
              </w:rPr>
              <w:t>&gt; 0% (strictly above)</w:t>
            </w:r>
          </w:p>
        </w:tc>
        <w:tc>
          <w:tcPr>
            <w:tcW w:type="dxa" w:w="1881"/>
            <w:shd w:val="clear" w:color="auto" w:fill="EEF3F8"/>
            <w:tcBorders>
              <w:top w:val="single" w:sz="4" w:space="0" w:color="C8D8E4"/>
              <w:left w:val="single" w:sz="4" w:space="0" w:color="C8D8E4"/>
              <w:bottom w:val="single" w:sz="4" w:space="0" w:color="C8D8E4"/>
              <w:right w:val="single" w:sz="4" w:space="0" w:color="C8D8E4"/>
            </w:tcBorders>
          </w:tcPr>
          <w:p>
            <w:r>
              <w:rPr>
                <w:sz w:val="20"/>
              </w:rPr>
              <w:t>Strict</w:t>
            </w:r>
          </w:p>
        </w:tc>
        <w:tc>
          <w:tcPr>
            <w:tcW w:type="dxa" w:w="1881"/>
            <w:shd w:val="clear" w:color="auto" w:fill="EEF3F8"/>
            <w:tcBorders>
              <w:top w:val="single" w:sz="4" w:space="0" w:color="C8D8E4"/>
              <w:left w:val="single" w:sz="4" w:space="0" w:color="C8D8E4"/>
              <w:bottom w:val="single" w:sz="4" w:space="0" w:color="C8D8E4"/>
              <w:right w:val="single" w:sz="4" w:space="0" w:color="C8D8E4"/>
            </w:tcBorders>
          </w:tcPr>
          <w:p>
            <w:r>
              <w:rPr>
                <w:sz w:val="20"/>
              </w:rPr>
              <w:t>Exclude</w:t>
            </w:r>
          </w:p>
        </w:tc>
      </w:tr>
      <w:tr>
        <w:tc>
          <w:tcPr>
            <w:tcW w:type="dxa" w:w="1881"/>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Gate 3</w:t>
            </w:r>
          </w:p>
        </w:tc>
        <w:tc>
          <w:tcPr>
            <w:tcW w:type="dxa" w:w="1881"/>
            <w:tcBorders>
              <w:top w:val="single" w:sz="4" w:space="0" w:color="C8D8E4"/>
              <w:left w:val="single" w:sz="4" w:space="0" w:color="C8D8E4"/>
              <w:bottom w:val="single" w:sz="4" w:space="0" w:color="C8D8E4"/>
              <w:right w:val="single" w:sz="4" w:space="0" w:color="C8D8E4"/>
            </w:tcBorders>
          </w:tcPr>
          <w:p>
            <w:r>
              <w:rPr>
                <w:sz w:val="20"/>
              </w:rPr>
              <w:t>vol_trend</w:t>
            </w:r>
          </w:p>
        </w:tc>
        <w:tc>
          <w:tcPr>
            <w:tcW w:type="dxa" w:w="1881"/>
            <w:tcBorders>
              <w:top w:val="single" w:sz="4" w:space="0" w:color="C8D8E4"/>
              <w:left w:val="single" w:sz="4" w:space="0" w:color="C8D8E4"/>
              <w:bottom w:val="single" w:sz="4" w:space="0" w:color="C8D8E4"/>
              <w:right w:val="single" w:sz="4" w:space="0" w:color="C8D8E4"/>
            </w:tcBorders>
          </w:tcPr>
          <w:p>
            <w:r>
              <w:rPr>
                <w:sz w:val="20"/>
              </w:rPr>
              <w:t>≥ 0.75</w:t>
            </w:r>
          </w:p>
        </w:tc>
        <w:tc>
          <w:tcPr>
            <w:tcW w:type="dxa" w:w="1881"/>
            <w:tcBorders>
              <w:top w:val="single" w:sz="4" w:space="0" w:color="C8D8E4"/>
              <w:left w:val="single" w:sz="4" w:space="0" w:color="C8D8E4"/>
              <w:bottom w:val="single" w:sz="4" w:space="0" w:color="C8D8E4"/>
              <w:right w:val="single" w:sz="4" w:space="0" w:color="C8D8E4"/>
            </w:tcBorders>
          </w:tcPr>
          <w:p>
            <w:r>
              <w:rPr>
                <w:sz w:val="20"/>
              </w:rPr>
              <w:t>≥ 0.95 (stricter)</w:t>
            </w:r>
          </w:p>
        </w:tc>
        <w:tc>
          <w:tcPr>
            <w:tcW w:type="dxa" w:w="1881"/>
            <w:tcBorders>
              <w:top w:val="single" w:sz="4" w:space="0" w:color="C8D8E4"/>
              <w:left w:val="single" w:sz="4" w:space="0" w:color="C8D8E4"/>
              <w:bottom w:val="single" w:sz="4" w:space="0" w:color="C8D8E4"/>
              <w:right w:val="single" w:sz="4" w:space="0" w:color="C8D8E4"/>
            </w:tcBorders>
          </w:tcPr>
          <w:p>
            <w:r>
              <w:rPr>
                <w:sz w:val="20"/>
              </w:rPr>
              <w:t>Exclude</w:t>
            </w:r>
          </w:p>
        </w:tc>
      </w:tr>
      <w:tr>
        <w:tc>
          <w:tcPr>
            <w:tcW w:type="dxa" w:w="1881"/>
            <w:shd w:val="clear" w:color="auto" w:fill="EEF3F8"/>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Gate 4</w:t>
            </w:r>
          </w:p>
        </w:tc>
        <w:tc>
          <w:tcPr>
            <w:tcW w:type="dxa" w:w="1881"/>
            <w:shd w:val="clear" w:color="auto" w:fill="EEF3F8"/>
            <w:tcBorders>
              <w:top w:val="single" w:sz="4" w:space="0" w:color="C8D8E4"/>
              <w:left w:val="single" w:sz="4" w:space="0" w:color="C8D8E4"/>
              <w:bottom w:val="single" w:sz="4" w:space="0" w:color="C8D8E4"/>
              <w:right w:val="single" w:sz="4" w:space="0" w:color="C8D8E4"/>
            </w:tcBorders>
          </w:tcPr>
          <w:p>
            <w:r>
              <w:rPr>
                <w:sz w:val="20"/>
              </w:rPr>
              <w:t>ADTV 63d</w:t>
            </w:r>
          </w:p>
        </w:tc>
        <w:tc>
          <w:tcPr>
            <w:tcW w:type="dxa" w:w="1881"/>
            <w:shd w:val="clear" w:color="auto" w:fill="EEF3F8"/>
            <w:tcBorders>
              <w:top w:val="single" w:sz="4" w:space="0" w:color="C8D8E4"/>
              <w:left w:val="single" w:sz="4" w:space="0" w:color="C8D8E4"/>
              <w:bottom w:val="single" w:sz="4" w:space="0" w:color="C8D8E4"/>
              <w:right w:val="single" w:sz="4" w:space="0" w:color="C8D8E4"/>
            </w:tcBorders>
          </w:tcPr>
          <w:p>
            <w:r>
              <w:rPr>
                <w:sz w:val="20"/>
              </w:rPr>
              <w:t>≥ $10M</w:t>
            </w:r>
          </w:p>
        </w:tc>
        <w:tc>
          <w:tcPr>
            <w:tcW w:type="dxa" w:w="1881"/>
            <w:shd w:val="clear" w:color="auto" w:fill="EEF3F8"/>
            <w:tcBorders>
              <w:top w:val="single" w:sz="4" w:space="0" w:color="C8D8E4"/>
              <w:left w:val="single" w:sz="4" w:space="0" w:color="C8D8E4"/>
              <w:bottom w:val="single" w:sz="4" w:space="0" w:color="C8D8E4"/>
              <w:right w:val="single" w:sz="4" w:space="0" w:color="C8D8E4"/>
            </w:tcBorders>
          </w:tcPr>
          <w:p>
            <w:r>
              <w:rPr>
                <w:sz w:val="20"/>
              </w:rPr>
              <w:t>≥ $10M</w:t>
            </w:r>
          </w:p>
        </w:tc>
        <w:tc>
          <w:tcPr>
            <w:tcW w:type="dxa" w:w="1881"/>
            <w:shd w:val="clear" w:color="auto" w:fill="EEF3F8"/>
            <w:tcBorders>
              <w:top w:val="single" w:sz="4" w:space="0" w:color="C8D8E4"/>
              <w:left w:val="single" w:sz="4" w:space="0" w:color="C8D8E4"/>
              <w:bottom w:val="single" w:sz="4" w:space="0" w:color="C8D8E4"/>
              <w:right w:val="single" w:sz="4" w:space="0" w:color="C8D8E4"/>
            </w:tcBorders>
          </w:tcPr>
          <w:p>
            <w:r>
              <w:rPr>
                <w:sz w:val="20"/>
              </w:rPr>
              <w:t>Exclude</w:t>
            </w:r>
          </w:p>
        </w:tc>
      </w:tr>
      <w:tr>
        <w:tc>
          <w:tcPr>
            <w:tcW w:type="dxa" w:w="1881"/>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Final cut</w:t>
            </w:r>
          </w:p>
        </w:tc>
        <w:tc>
          <w:tcPr>
            <w:tcW w:type="dxa" w:w="1881"/>
            <w:tcBorders>
              <w:top w:val="single" w:sz="4" w:space="0" w:color="C8D8E4"/>
              <w:left w:val="single" w:sz="4" w:space="0" w:color="C8D8E4"/>
              <w:bottom w:val="single" w:sz="4" w:space="0" w:color="C8D8E4"/>
              <w:right w:val="single" w:sz="4" w:space="0" w:color="C8D8E4"/>
            </w:tcBorders>
          </w:tcPr>
          <w:p>
            <w:r>
              <w:rPr>
                <w:sz w:val="20"/>
              </w:rPr>
              <w:t>RS rank</w:t>
            </w:r>
          </w:p>
        </w:tc>
        <w:tc>
          <w:tcPr>
            <w:tcW w:type="dxa" w:w="1881"/>
            <w:tcBorders>
              <w:top w:val="single" w:sz="4" w:space="0" w:color="C8D8E4"/>
              <w:left w:val="single" w:sz="4" w:space="0" w:color="C8D8E4"/>
              <w:bottom w:val="single" w:sz="4" w:space="0" w:color="C8D8E4"/>
              <w:right w:val="single" w:sz="4" w:space="0" w:color="C8D8E4"/>
            </w:tcBorders>
          </w:tcPr>
          <w:p>
            <w:r>
              <w:rPr>
                <w:sz w:val="20"/>
              </w:rPr>
              <w:t>Top 15 only</w:t>
            </w:r>
          </w:p>
        </w:tc>
        <w:tc>
          <w:tcPr>
            <w:tcW w:type="dxa" w:w="1881"/>
            <w:tcBorders>
              <w:top w:val="single" w:sz="4" w:space="0" w:color="C8D8E4"/>
              <w:left w:val="single" w:sz="4" w:space="0" w:color="C8D8E4"/>
              <w:bottom w:val="single" w:sz="4" w:space="0" w:color="C8D8E4"/>
              <w:right w:val="single" w:sz="4" w:space="0" w:color="C8D8E4"/>
            </w:tcBorders>
          </w:tcPr>
          <w:p>
            <w:r>
              <w:rPr>
                <w:sz w:val="20"/>
              </w:rPr>
              <w:t>Top 15 only</w:t>
            </w:r>
          </w:p>
        </w:tc>
        <w:tc>
          <w:tcPr>
            <w:tcW w:type="dxa" w:w="1881"/>
            <w:tcBorders>
              <w:top w:val="single" w:sz="4" w:space="0" w:color="C8D8E4"/>
              <w:left w:val="single" w:sz="4" w:space="0" w:color="C8D8E4"/>
              <w:bottom w:val="single" w:sz="4" w:space="0" w:color="C8D8E4"/>
              <w:right w:val="single" w:sz="4" w:space="0" w:color="C8D8E4"/>
            </w:tcBorders>
          </w:tcPr>
          <w:p>
            <w:r>
              <w:rPr>
                <w:sz w:val="20"/>
              </w:rPr>
              <w:t>Exclude (ranked out)</w:t>
            </w:r>
          </w:p>
        </w:tc>
      </w:tr>
    </w:tbl>
    <w:p/>
    <w:p>
      <w:pPr>
        <w:spacing w:before="280" w:after="60"/>
      </w:pPr>
      <w:r>
        <w:rPr>
          <w:rFonts w:ascii="Calibri" w:hAnsi="Calibri"/>
          <w:b/>
          <w:color w:val="3B6EA5"/>
          <w:sz w:val="25"/>
        </w:rPr>
        <w:t>Typical Funnel (BULL market, ~500 tickers)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Stage</w:t>
            </w:r>
          </w:p>
        </w:tc>
        <w:tc>
          <w:tcPr>
            <w:tcW w:type="dxa" w:w="3135"/>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Tickers Remaining</w:t>
            </w:r>
          </w:p>
        </w:tc>
        <w:tc>
          <w:tcPr>
            <w:tcW w:type="dxa" w:w="3135"/>
            <w:shd w:val="clear" w:color="auto" w:fill="0B1D35"/>
            <w:tcBorders>
              <w:top w:val="single" w:sz="4" w:space="0" w:color="FFFFFF"/>
              <w:left w:val="single" w:sz="4" w:space="0" w:color="FFFFFF"/>
              <w:bottom w:val="single" w:sz="4" w:space="0" w:color="FFFFFF"/>
              <w:right w:val="single" w:sz="4" w:space="0" w:color="FFFFFF"/>
            </w:tcBorders>
          </w:tcPr>
          <w:p>
            <w:r>
              <w:rPr>
                <w:rFonts w:ascii="Courier New" w:hAnsi="Courier New"/>
                <w:b/>
                <w:color w:val="FFFFFF"/>
                <w:sz w:val="18"/>
              </w:rPr>
              <w:t>% Surviving</w:t>
            </w:r>
          </w:p>
        </w:tc>
      </w:tr>
      <w:tr>
        <w:tc>
          <w:tcPr>
            <w:tcW w:type="dxa" w:w="3135"/>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Full universe</w:t>
            </w:r>
          </w:p>
        </w:tc>
        <w:tc>
          <w:tcPr>
            <w:tcW w:type="dxa" w:w="3135"/>
            <w:tcBorders>
              <w:top w:val="single" w:sz="4" w:space="0" w:color="C8D8E4"/>
              <w:left w:val="single" w:sz="4" w:space="0" w:color="C8D8E4"/>
              <w:bottom w:val="single" w:sz="4" w:space="0" w:color="C8D8E4"/>
              <w:right w:val="single" w:sz="4" w:space="0" w:color="C8D8E4"/>
            </w:tcBorders>
          </w:tcPr>
          <w:p>
            <w:r>
              <w:rPr>
                <w:sz w:val="20"/>
              </w:rPr>
              <w:t>~500</w:t>
            </w:r>
          </w:p>
        </w:tc>
        <w:tc>
          <w:tcPr>
            <w:tcW w:type="dxa" w:w="3135"/>
            <w:tcBorders>
              <w:top w:val="single" w:sz="4" w:space="0" w:color="C8D8E4"/>
              <w:left w:val="single" w:sz="4" w:space="0" w:color="C8D8E4"/>
              <w:bottom w:val="single" w:sz="4" w:space="0" w:color="C8D8E4"/>
              <w:right w:val="single" w:sz="4" w:space="0" w:color="C8D8E4"/>
            </w:tcBorders>
          </w:tcPr>
          <w:p>
            <w:r>
              <w:rPr>
                <w:sz w:val="20"/>
              </w:rPr>
              <w:t>100%</w:t>
            </w:r>
          </w:p>
        </w:tc>
      </w:tr>
      <w:tr>
        <w:tc>
          <w:tcPr>
            <w:tcW w:type="dxa" w:w="3135"/>
            <w:shd w:val="clear" w:color="auto" w:fill="EEF3F8"/>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After data quality (≥60 bars)</w:t>
            </w:r>
          </w:p>
        </w:tc>
        <w:tc>
          <w:tcPr>
            <w:tcW w:type="dxa" w:w="3135"/>
            <w:shd w:val="clear" w:color="auto" w:fill="EEF3F8"/>
            <w:tcBorders>
              <w:top w:val="single" w:sz="4" w:space="0" w:color="C8D8E4"/>
              <w:left w:val="single" w:sz="4" w:space="0" w:color="C8D8E4"/>
              <w:bottom w:val="single" w:sz="4" w:space="0" w:color="C8D8E4"/>
              <w:right w:val="single" w:sz="4" w:space="0" w:color="C8D8E4"/>
            </w:tcBorders>
          </w:tcPr>
          <w:p>
            <w:r>
              <w:rPr>
                <w:sz w:val="20"/>
              </w:rPr>
              <w:t>~470</w:t>
            </w:r>
          </w:p>
        </w:tc>
        <w:tc>
          <w:tcPr>
            <w:tcW w:type="dxa" w:w="3135"/>
            <w:shd w:val="clear" w:color="auto" w:fill="EEF3F8"/>
            <w:tcBorders>
              <w:top w:val="single" w:sz="4" w:space="0" w:color="C8D8E4"/>
              <w:left w:val="single" w:sz="4" w:space="0" w:color="C8D8E4"/>
              <w:bottom w:val="single" w:sz="4" w:space="0" w:color="C8D8E4"/>
              <w:right w:val="single" w:sz="4" w:space="0" w:color="C8D8E4"/>
            </w:tcBorders>
          </w:tcPr>
          <w:p>
            <w:r>
              <w:rPr>
                <w:sz w:val="20"/>
              </w:rPr>
              <w:t>94%</w:t>
            </w:r>
          </w:p>
        </w:tc>
      </w:tr>
      <w:tr>
        <w:tc>
          <w:tcPr>
            <w:tcW w:type="dxa" w:w="3135"/>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After RS computable</w:t>
            </w:r>
          </w:p>
        </w:tc>
        <w:tc>
          <w:tcPr>
            <w:tcW w:type="dxa" w:w="3135"/>
            <w:tcBorders>
              <w:top w:val="single" w:sz="4" w:space="0" w:color="C8D8E4"/>
              <w:left w:val="single" w:sz="4" w:space="0" w:color="C8D8E4"/>
              <w:bottom w:val="single" w:sz="4" w:space="0" w:color="C8D8E4"/>
              <w:right w:val="single" w:sz="4" w:space="0" w:color="C8D8E4"/>
            </w:tcBorders>
          </w:tcPr>
          <w:p>
            <w:r>
              <w:rPr>
                <w:sz w:val="20"/>
              </w:rPr>
              <w:t>~440</w:t>
            </w:r>
          </w:p>
        </w:tc>
        <w:tc>
          <w:tcPr>
            <w:tcW w:type="dxa" w:w="3135"/>
            <w:tcBorders>
              <w:top w:val="single" w:sz="4" w:space="0" w:color="C8D8E4"/>
              <w:left w:val="single" w:sz="4" w:space="0" w:color="C8D8E4"/>
              <w:bottom w:val="single" w:sz="4" w:space="0" w:color="C8D8E4"/>
              <w:right w:val="single" w:sz="4" w:space="0" w:color="C8D8E4"/>
            </w:tcBorders>
          </w:tcPr>
          <w:p>
            <w:r>
              <w:rPr>
                <w:sz w:val="20"/>
              </w:rPr>
              <w:t>88%</w:t>
            </w:r>
          </w:p>
        </w:tc>
      </w:tr>
      <w:tr>
        <w:tc>
          <w:tcPr>
            <w:tcW w:type="dxa" w:w="3135"/>
            <w:shd w:val="clear" w:color="auto" w:fill="EEF3F8"/>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After Gate 1 (RS ≥ 80th)</w:t>
            </w:r>
          </w:p>
        </w:tc>
        <w:tc>
          <w:tcPr>
            <w:tcW w:type="dxa" w:w="3135"/>
            <w:shd w:val="clear" w:color="auto" w:fill="EEF3F8"/>
            <w:tcBorders>
              <w:top w:val="single" w:sz="4" w:space="0" w:color="C8D8E4"/>
              <w:left w:val="single" w:sz="4" w:space="0" w:color="C8D8E4"/>
              <w:bottom w:val="single" w:sz="4" w:space="0" w:color="C8D8E4"/>
              <w:right w:val="single" w:sz="4" w:space="0" w:color="C8D8E4"/>
            </w:tcBorders>
          </w:tcPr>
          <w:p>
            <w:r>
              <w:rPr>
                <w:sz w:val="20"/>
              </w:rPr>
              <w:t>~88</w:t>
            </w:r>
          </w:p>
        </w:tc>
        <w:tc>
          <w:tcPr>
            <w:tcW w:type="dxa" w:w="3135"/>
            <w:shd w:val="clear" w:color="auto" w:fill="EEF3F8"/>
            <w:tcBorders>
              <w:top w:val="single" w:sz="4" w:space="0" w:color="C8D8E4"/>
              <w:left w:val="single" w:sz="4" w:space="0" w:color="C8D8E4"/>
              <w:bottom w:val="single" w:sz="4" w:space="0" w:color="C8D8E4"/>
              <w:right w:val="single" w:sz="4" w:space="0" w:color="C8D8E4"/>
            </w:tcBorders>
          </w:tcPr>
          <w:p>
            <w:r>
              <w:rPr>
                <w:sz w:val="20"/>
              </w:rPr>
              <w:t>18%</w:t>
            </w:r>
          </w:p>
        </w:tc>
      </w:tr>
      <w:tr>
        <w:tc>
          <w:tcPr>
            <w:tcW w:type="dxa" w:w="3135"/>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After Gate 2 (MA200)</w:t>
            </w:r>
          </w:p>
        </w:tc>
        <w:tc>
          <w:tcPr>
            <w:tcW w:type="dxa" w:w="3135"/>
            <w:tcBorders>
              <w:top w:val="single" w:sz="4" w:space="0" w:color="C8D8E4"/>
              <w:left w:val="single" w:sz="4" w:space="0" w:color="C8D8E4"/>
              <w:bottom w:val="single" w:sz="4" w:space="0" w:color="C8D8E4"/>
              <w:right w:val="single" w:sz="4" w:space="0" w:color="C8D8E4"/>
            </w:tcBorders>
          </w:tcPr>
          <w:p>
            <w:r>
              <w:rPr>
                <w:sz w:val="20"/>
              </w:rPr>
              <w:t>~55–70</w:t>
            </w:r>
          </w:p>
        </w:tc>
        <w:tc>
          <w:tcPr>
            <w:tcW w:type="dxa" w:w="3135"/>
            <w:tcBorders>
              <w:top w:val="single" w:sz="4" w:space="0" w:color="C8D8E4"/>
              <w:left w:val="single" w:sz="4" w:space="0" w:color="C8D8E4"/>
              <w:bottom w:val="single" w:sz="4" w:space="0" w:color="C8D8E4"/>
              <w:right w:val="single" w:sz="4" w:space="0" w:color="C8D8E4"/>
            </w:tcBorders>
          </w:tcPr>
          <w:p>
            <w:r>
              <w:rPr>
                <w:sz w:val="20"/>
              </w:rPr>
              <w:t>11–14%</w:t>
            </w:r>
          </w:p>
        </w:tc>
      </w:tr>
      <w:tr>
        <w:tc>
          <w:tcPr>
            <w:tcW w:type="dxa" w:w="3135"/>
            <w:shd w:val="clear" w:color="auto" w:fill="EEF3F8"/>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After Gate 3 (vol_trend ≥0.75)</w:t>
            </w:r>
          </w:p>
        </w:tc>
        <w:tc>
          <w:tcPr>
            <w:tcW w:type="dxa" w:w="3135"/>
            <w:shd w:val="clear" w:color="auto" w:fill="EEF3F8"/>
            <w:tcBorders>
              <w:top w:val="single" w:sz="4" w:space="0" w:color="C8D8E4"/>
              <w:left w:val="single" w:sz="4" w:space="0" w:color="C8D8E4"/>
              <w:bottom w:val="single" w:sz="4" w:space="0" w:color="C8D8E4"/>
              <w:right w:val="single" w:sz="4" w:space="0" w:color="C8D8E4"/>
            </w:tcBorders>
          </w:tcPr>
          <w:p>
            <w:r>
              <w:rPr>
                <w:sz w:val="20"/>
              </w:rPr>
              <w:t>~40–55</w:t>
            </w:r>
          </w:p>
        </w:tc>
        <w:tc>
          <w:tcPr>
            <w:tcW w:type="dxa" w:w="3135"/>
            <w:shd w:val="clear" w:color="auto" w:fill="EEF3F8"/>
            <w:tcBorders>
              <w:top w:val="single" w:sz="4" w:space="0" w:color="C8D8E4"/>
              <w:left w:val="single" w:sz="4" w:space="0" w:color="C8D8E4"/>
              <w:bottom w:val="single" w:sz="4" w:space="0" w:color="C8D8E4"/>
              <w:right w:val="single" w:sz="4" w:space="0" w:color="C8D8E4"/>
            </w:tcBorders>
          </w:tcPr>
          <w:p>
            <w:r>
              <w:rPr>
                <w:sz w:val="20"/>
              </w:rPr>
              <w:t>8–11%</w:t>
            </w:r>
          </w:p>
        </w:tc>
      </w:tr>
      <w:tr>
        <w:tc>
          <w:tcPr>
            <w:tcW w:type="dxa" w:w="3135"/>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ADTV checked on top 75 only</w:t>
            </w:r>
          </w:p>
        </w:tc>
        <w:tc>
          <w:tcPr>
            <w:tcW w:type="dxa" w:w="3135"/>
            <w:tcBorders>
              <w:top w:val="single" w:sz="4" w:space="0" w:color="C8D8E4"/>
              <w:left w:val="single" w:sz="4" w:space="0" w:color="C8D8E4"/>
              <w:bottom w:val="single" w:sz="4" w:space="0" w:color="C8D8E4"/>
              <w:right w:val="single" w:sz="4" w:space="0" w:color="C8D8E4"/>
            </w:tcBorders>
          </w:tcPr>
          <w:p>
            <w:r>
              <w:rPr>
                <w:sz w:val="20"/>
              </w:rPr>
              <w:t>top 75</w:t>
            </w:r>
          </w:p>
        </w:tc>
        <w:tc>
          <w:tcPr>
            <w:tcW w:type="dxa" w:w="3135"/>
            <w:tcBorders>
              <w:top w:val="single" w:sz="4" w:space="0" w:color="C8D8E4"/>
              <w:left w:val="single" w:sz="4" w:space="0" w:color="C8D8E4"/>
              <w:bottom w:val="single" w:sz="4" w:space="0" w:color="C8D8E4"/>
              <w:right w:val="single" w:sz="4" w:space="0" w:color="C8D8E4"/>
            </w:tcBorders>
          </w:tcPr>
          <w:p>
            <w:r>
              <w:rPr>
                <w:sz w:val="20"/>
              </w:rPr>
              <w:t>—</w:t>
            </w:r>
          </w:p>
        </w:tc>
      </w:tr>
      <w:tr>
        <w:tc>
          <w:tcPr>
            <w:tcW w:type="dxa" w:w="3135"/>
            <w:shd w:val="clear" w:color="auto" w:fill="EEF3F8"/>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After Gate 4 (ADTV ≥$10M)</w:t>
            </w:r>
          </w:p>
        </w:tc>
        <w:tc>
          <w:tcPr>
            <w:tcW w:type="dxa" w:w="3135"/>
            <w:shd w:val="clear" w:color="auto" w:fill="EEF3F8"/>
            <w:tcBorders>
              <w:top w:val="single" w:sz="4" w:space="0" w:color="C8D8E4"/>
              <w:left w:val="single" w:sz="4" w:space="0" w:color="C8D8E4"/>
              <w:bottom w:val="single" w:sz="4" w:space="0" w:color="C8D8E4"/>
              <w:right w:val="single" w:sz="4" w:space="0" w:color="C8D8E4"/>
            </w:tcBorders>
          </w:tcPr>
          <w:p>
            <w:r>
              <w:rPr>
                <w:sz w:val="20"/>
              </w:rPr>
              <w:t>~40–50</w:t>
            </w:r>
          </w:p>
        </w:tc>
        <w:tc>
          <w:tcPr>
            <w:tcW w:type="dxa" w:w="3135"/>
            <w:shd w:val="clear" w:color="auto" w:fill="EEF3F8"/>
            <w:tcBorders>
              <w:top w:val="single" w:sz="4" w:space="0" w:color="C8D8E4"/>
              <w:left w:val="single" w:sz="4" w:space="0" w:color="C8D8E4"/>
              <w:bottom w:val="single" w:sz="4" w:space="0" w:color="C8D8E4"/>
              <w:right w:val="single" w:sz="4" w:space="0" w:color="C8D8E4"/>
            </w:tcBorders>
          </w:tcPr>
          <w:p>
            <w:r>
              <w:rPr>
                <w:sz w:val="20"/>
              </w:rPr>
              <w:t>—</w:t>
            </w:r>
          </w:p>
        </w:tc>
      </w:tr>
      <w:tr>
        <w:tc>
          <w:tcPr>
            <w:tcW w:type="dxa" w:w="3135"/>
            <w:tcBorders>
              <w:top w:val="single" w:sz="4" w:space="0" w:color="C8D8E4"/>
              <w:left w:val="single" w:sz="4" w:space="0" w:color="C8D8E4"/>
              <w:bottom w:val="single" w:sz="4" w:space="0" w:color="C8D8E4"/>
              <w:right w:val="single" w:sz="4" w:space="0" w:color="C8D8E4"/>
            </w:tcBorders>
          </w:tcPr>
          <w:p>
            <w:r>
              <w:rPr>
                <w:rFonts w:ascii="Courier New" w:hAnsi="Courier New"/>
                <w:color w:val="3B6EA5"/>
                <w:sz w:val="20"/>
              </w:rPr>
              <w:t>Final selection (top 15)</w:t>
            </w:r>
          </w:p>
        </w:tc>
        <w:tc>
          <w:tcPr>
            <w:tcW w:type="dxa" w:w="3135"/>
            <w:tcBorders>
              <w:top w:val="single" w:sz="4" w:space="0" w:color="C8D8E4"/>
              <w:left w:val="single" w:sz="4" w:space="0" w:color="C8D8E4"/>
              <w:bottom w:val="single" w:sz="4" w:space="0" w:color="C8D8E4"/>
              <w:right w:val="single" w:sz="4" w:space="0" w:color="C8D8E4"/>
            </w:tcBorders>
          </w:tcPr>
          <w:p>
            <w:r>
              <w:rPr>
                <w:sz w:val="20"/>
              </w:rPr>
              <w:t>15</w:t>
            </w:r>
          </w:p>
        </w:tc>
        <w:tc>
          <w:tcPr>
            <w:tcW w:type="dxa" w:w="3135"/>
            <w:tcBorders>
              <w:top w:val="single" w:sz="4" w:space="0" w:color="C8D8E4"/>
              <w:left w:val="single" w:sz="4" w:space="0" w:color="C8D8E4"/>
              <w:bottom w:val="single" w:sz="4" w:space="0" w:color="C8D8E4"/>
              <w:right w:val="single" w:sz="4" w:space="0" w:color="C8D8E4"/>
            </w:tcBorders>
          </w:tcPr>
          <w:p>
            <w:r>
              <w:rPr>
                <w:sz w:val="20"/>
              </w:rPr>
              <w:t>3%</w:t>
            </w:r>
          </w:p>
        </w:tc>
      </w:tr>
    </w:tbl>
    <w:p/>
    <w:tbl>
      <w:tblPr>
        <w:tblW w:type="auto" w:w="0"/>
        <w:jc w:val="left"/>
        <w:tblLook w:firstColumn="1" w:firstRow="1" w:lastColumn="0" w:lastRow="0" w:noHBand="0" w:noVBand="1" w:val="04A0"/>
      </w:tblPr>
      <w:tblGrid>
        <w:gridCol w:w="9406"/>
      </w:tblGrid>
      <w:tr>
        <w:tc>
          <w:tcPr>
            <w:tcW w:type="dxa" w:w="9406"/>
            <w:shd w:val="clear" w:color="auto" w:fill="FBF0DC"/>
            <w:tcBorders>
              <w:top w:val="single" w:sz="4" w:space="0" w:color="C8973A"/>
              <w:left w:val="single" w:sz="4" w:space="0" w:color="C8973A"/>
              <w:bottom w:val="single" w:sz="4" w:space="0" w:color="C8973A"/>
              <w:right w:val="single" w:sz="4" w:space="0" w:color="C8973A"/>
            </w:tcBorders>
          </w:tcPr>
          <w:p>
            <w:r>
              <w:rPr>
                <w:rFonts w:ascii="Courier New" w:hAnsi="Courier New"/>
                <w:b/>
                <w:i w:val="0"/>
                <w:color w:val="C8973A"/>
                <w:sz w:val="16"/>
              </w:rPr>
              <w:t xml:space="preserve">INTERPRETATION  </w:t>
            </w:r>
            <w:r>
              <w:rPr>
                <w:b w:val="0"/>
                <w:i w:val="0"/>
                <w:color w:val="1C2533"/>
                <w:sz w:val="20"/>
              </w:rPr>
              <w:t>The final portfolio of 15 stocks represents approximately the top 3% of the S&amp;P 500 universe — stocks that are simultaneously: (1) in the top 20% by relative strength, (2) in a confirmed Stage 2 uptrend, (3) showing active institutional volume, and (4) liquid enough to trade. This concentration is intentional — the system is designed to own only the most unambiguously strong stocks at any given time.</w:t>
            </w:r>
          </w:p>
        </w:tc>
      </w:tr>
    </w:tbl>
    <w:p/>
    <w:p>
      <w:pPr>
        <w:spacing w:before="400"/>
        <w:pBdr>
          <w:top w:val="single" w:sz="6" w:space="1" w:color="0B1D35"/>
        </w:pBdr>
      </w:pPr>
      <w:r>
        <w:rPr>
          <w:rFonts w:ascii="Courier New" w:hAnsi="Courier New"/>
          <w:b w:val="0"/>
          <w:i w:val="0"/>
          <w:color w:val="5A6A7E"/>
          <w:sz w:val="18"/>
        </w:rPr>
        <w:t>AlphaAbsolute · AlphaModel-US System 4.0 — Screening Criteria  |  2026-09-29</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