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ourier New" w:hAnsi="Courier New"/>
          <w:b/>
          <w:color w:val="C8973A"/>
          <w:sz w:val="16"/>
        </w:rPr>
        <w:t>ALPHAABSOLUTE · INVESTMENT SYSTEM DOCUMENTATION</w:t>
      </w:r>
    </w:p>
    <w:p>
      <w:pPr>
        <w:spacing w:after="120"/>
      </w:pPr>
      <w:r>
        <w:rPr>
          <w:rFonts w:ascii="Calibri" w:hAnsi="Calibri"/>
          <w:b/>
          <w:color w:val="0B1D35"/>
          <w:sz w:val="48"/>
        </w:rPr>
        <w:t>AlphaModel-US  System 4.0 — Operating Manual</w:t>
      </w:r>
    </w:p>
    <w:p>
      <w:pPr>
        <w:spacing w:after="80"/>
      </w:pPr>
      <w:r>
        <w:rPr>
          <w:color w:val="3A4658"/>
          <w:sz w:val="22"/>
        </w:rPr>
        <w:t>A systematic US equity momentum strategy. Universe: S&amp;P 500. Signal: relative strength + volume confirmation + MA200 filter. Execution: monthly vol-parity rebalance with daily mark-to-market.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4ECF7"/>
            <w:tcBorders>
              <w:top w:val="single" w:sz="4" w:space="0" w:color="3B6EA5"/>
              <w:left w:val="single" w:sz="4" w:space="0" w:color="3B6EA5"/>
              <w:bottom w:val="single" w:sz="4" w:space="0" w:color="3B6EA5"/>
              <w:right w:val="single" w:sz="4" w:space="0" w:color="3B6EA5"/>
            </w:tcBorders>
          </w:tcPr>
          <w:p>
            <w:r>
              <w:rPr>
                <w:rFonts w:ascii="Courier New" w:hAnsi="Courier New"/>
                <w:b w:val="0"/>
                <w:i w:val="0"/>
                <w:color w:val="5A6A7E"/>
                <w:sz w:val="16"/>
              </w:rPr>
              <w:t>Version</w:t>
              <w:br/>
            </w:r>
            <w:r>
              <w:rPr>
                <w:b/>
                <w:i w:val="0"/>
                <w:color w:val="0B1D35"/>
                <w:sz w:val="18"/>
              </w:rPr>
              <w:t>4.0</w:t>
            </w:r>
          </w:p>
        </w:tc>
        <w:tc>
          <w:tcPr>
            <w:tcW w:type="dxa" w:w="1881"/>
            <w:shd w:val="clear" w:color="auto" w:fill="E4ECF7"/>
            <w:tcBorders>
              <w:top w:val="single" w:sz="4" w:space="0" w:color="3B6EA5"/>
              <w:left w:val="single" w:sz="4" w:space="0" w:color="3B6EA5"/>
              <w:bottom w:val="single" w:sz="4" w:space="0" w:color="3B6EA5"/>
              <w:right w:val="single" w:sz="4" w:space="0" w:color="3B6EA5"/>
            </w:tcBorders>
          </w:tcPr>
          <w:p>
            <w:r>
              <w:rPr>
                <w:rFonts w:ascii="Courier New" w:hAnsi="Courier New"/>
                <w:b w:val="0"/>
                <w:i w:val="0"/>
                <w:color w:val="5A6A7E"/>
                <w:sz w:val="16"/>
              </w:rPr>
              <w:t>Inception</w:t>
              <w:br/>
            </w:r>
            <w:r>
              <w:rPr>
                <w:b/>
                <w:i w:val="0"/>
                <w:color w:val="0B1D35"/>
                <w:sz w:val="18"/>
              </w:rPr>
              <w:t>2026-09-02</w:t>
            </w:r>
          </w:p>
        </w:tc>
        <w:tc>
          <w:tcPr>
            <w:tcW w:type="dxa" w:w="1881"/>
            <w:shd w:val="clear" w:color="auto" w:fill="E4ECF7"/>
            <w:tcBorders>
              <w:top w:val="single" w:sz="4" w:space="0" w:color="3B6EA5"/>
              <w:left w:val="single" w:sz="4" w:space="0" w:color="3B6EA5"/>
              <w:bottom w:val="single" w:sz="4" w:space="0" w:color="3B6EA5"/>
              <w:right w:val="single" w:sz="4" w:space="0" w:color="3B6EA5"/>
            </w:tcBorders>
          </w:tcPr>
          <w:p>
            <w:r>
              <w:rPr>
                <w:rFonts w:ascii="Courier New" w:hAnsi="Courier New"/>
                <w:b w:val="0"/>
                <w:i w:val="0"/>
                <w:color w:val="5A6A7E"/>
                <w:sz w:val="16"/>
              </w:rPr>
              <w:t>CIO</w:t>
              <w:br/>
            </w:r>
            <w:r>
              <w:rPr>
                <w:b/>
                <w:i w:val="0"/>
                <w:color w:val="0B1D35"/>
                <w:sz w:val="18"/>
              </w:rPr>
              <w:t>Piriyapon K.</w:t>
            </w:r>
          </w:p>
        </w:tc>
        <w:tc>
          <w:tcPr>
            <w:tcW w:type="dxa" w:w="1881"/>
            <w:shd w:val="clear" w:color="auto" w:fill="E4ECF7"/>
            <w:tcBorders>
              <w:top w:val="single" w:sz="4" w:space="0" w:color="3B6EA5"/>
              <w:left w:val="single" w:sz="4" w:space="0" w:color="3B6EA5"/>
              <w:bottom w:val="single" w:sz="4" w:space="0" w:color="3B6EA5"/>
              <w:right w:val="single" w:sz="4" w:space="0" w:color="3B6EA5"/>
            </w:tcBorders>
          </w:tcPr>
          <w:p>
            <w:r>
              <w:rPr>
                <w:rFonts w:ascii="Courier New" w:hAnsi="Courier New"/>
                <w:b w:val="0"/>
                <w:i w:val="0"/>
                <w:color w:val="5A6A7E"/>
                <w:sz w:val="16"/>
              </w:rPr>
              <w:t>Benchmark</w:t>
              <w:br/>
            </w:r>
            <w:r>
              <w:rPr>
                <w:b/>
                <w:i w:val="0"/>
                <w:color w:val="0B1D35"/>
                <w:sz w:val="18"/>
              </w:rPr>
              <w:t>QQQ</w:t>
            </w:r>
          </w:p>
        </w:tc>
        <w:tc>
          <w:tcPr>
            <w:tcW w:type="dxa" w:w="1881"/>
            <w:shd w:val="clear" w:color="auto" w:fill="E4ECF7"/>
            <w:tcBorders>
              <w:top w:val="single" w:sz="4" w:space="0" w:color="3B6EA5"/>
              <w:left w:val="single" w:sz="4" w:space="0" w:color="3B6EA5"/>
              <w:bottom w:val="single" w:sz="4" w:space="0" w:color="3B6EA5"/>
              <w:right w:val="single" w:sz="4" w:space="0" w:color="3B6EA5"/>
            </w:tcBorders>
          </w:tcPr>
          <w:p>
            <w:r>
              <w:rPr>
                <w:rFonts w:ascii="Courier New" w:hAnsi="Courier New"/>
                <w:b w:val="0"/>
                <w:i w:val="0"/>
                <w:color w:val="5A6A7E"/>
                <w:sz w:val="16"/>
              </w:rPr>
              <w:t>State file</w:t>
              <w:br/>
            </w:r>
            <w:r>
              <w:rPr>
                <w:b/>
                <w:i w:val="0"/>
                <w:color w:val="0B1D35"/>
                <w:sz w:val="18"/>
              </w:rPr>
              <w:t>data/paper_trading/state.json</w:t>
            </w:r>
          </w:p>
        </w:tc>
      </w:tr>
    </w:tbl>
    <w:p/>
    <w:p>
      <w:pPr>
        <w:spacing w:before="200" w:after="40"/>
      </w:pPr>
      <w:r>
        <w:rPr>
          <w:b/>
          <w:color w:val="0B1D35"/>
          <w:sz w:val="22"/>
        </w:rPr>
        <w:t>Live Performance — as of 2026-09-29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NAV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Return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vs QQQ (alpha)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Positions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Deployed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Regime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$1,082,991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+8.30%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+4.48%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BULL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1 · Philosophy &amp; Objective</w:t>
      </w:r>
    </w:p>
    <w:p>
      <w:pPr>
        <w:spacing w:after="80"/>
      </w:pPr>
      <w:r>
        <w:rPr>
          <w:color w:val="3A4658"/>
          <w:sz w:val="22"/>
        </w:rPr>
        <w:t>AlphaModel-US is a pure momentum system. It does not predict markets. It answers one question every month: which S&amp;P 500 stocks are the strongest right now, and are conditions right to own them?</w:t>
      </w:r>
    </w:p>
    <w:p>
      <w:pPr>
        <w:spacing w:after="80"/>
      </w:pPr>
      <w:r>
        <w:rPr>
          <w:color w:val="3A4658"/>
          <w:sz w:val="22"/>
        </w:rPr>
        <w:t>The system owns the top 15 stocks by relative strength, subject to quality gates (volume confirmation, MA filter, liquidity). When the market regime turns bearish, it reduces exposure to 50% and raises its quality bar. When conditions are right, it concentrates in the best stocks available.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0DC"/>
            <w:tcBorders>
              <w:top w:val="single" w:sz="4" w:space="0" w:color="C8973A"/>
              <w:left w:val="single" w:sz="4" w:space="0" w:color="C8973A"/>
              <w:bottom w:val="single" w:sz="4" w:space="0" w:color="C8973A"/>
              <w:right w:val="single" w:sz="4" w:space="0" w:color="C8973A"/>
            </w:tcBorders>
          </w:tcPr>
          <w:p>
            <w:r>
              <w:rPr>
                <w:rFonts w:ascii="Courier New" w:hAnsi="Courier New"/>
                <w:b/>
                <w:color w:val="C8973A"/>
                <w:sz w:val="16"/>
              </w:rPr>
              <w:t xml:space="preserve">CORE THESIS  </w:t>
            </w:r>
            <w:r>
              <w:rPr>
                <w:color w:val="1C2533"/>
                <w:sz w:val="20"/>
              </w:rPr>
              <w:t>Stocks with persistent relative strength outperform because institutions are actively accumulating them. Volume confirmation (vol_trend ≥ threshold) confirms genuine accumulation rather than thin-market drift. The MA200 filter ensures only Stage 2 uptrends are held.</w:t>
            </w:r>
          </w:p>
        </w:tc>
      </w:tr>
    </w:tbl>
    <w:p/>
    <w:p>
      <w:pPr>
        <w:spacing w:after="80"/>
      </w:pPr>
      <w:r>
        <w:rPr>
          <w:color w:val="3A4658"/>
          <w:sz w:val="22"/>
        </w:rPr>
        <w:t>Mandate: Beat QQQ on a rolling 12-month basis across a full market cycle.</w:t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2 · Market Regime Detection</w:t>
      </w:r>
    </w:p>
    <w:p>
      <w:pPr>
        <w:spacing w:after="80"/>
      </w:pPr>
      <w:r>
        <w:rPr>
          <w:color w:val="3A4658"/>
          <w:sz w:val="22"/>
        </w:rPr>
        <w:t>Regime is determined daily using IWM (Russell 2000 ETF) vs its 200-day moving average. Small-cap breadth is used as the regime signal rather than SPY because it reflects broader market health — IWM deteriorates before large-cap indices in most bear markets.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351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Regime</w:t>
            </w:r>
          </w:p>
        </w:tc>
        <w:tc>
          <w:tcPr>
            <w:tcW w:type="dxa" w:w="2351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Exposure</w:t>
            </w:r>
          </w:p>
        </w:tc>
        <w:tc>
          <w:tcPr>
            <w:tcW w:type="dxa" w:w="2351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vol_trend threshold</w:t>
            </w:r>
          </w:p>
        </w:tc>
      </w:tr>
      <w:tr>
        <w:tc>
          <w:tcPr>
            <w:tcW w:type="dxa" w:w="2351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IWM &gt; MA200</w:t>
            </w:r>
          </w:p>
        </w:tc>
        <w:tc>
          <w:tcPr>
            <w:tcW w:type="dxa" w:w="2351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BULL</w:t>
            </w:r>
          </w:p>
        </w:tc>
        <w:tc>
          <w:tcPr>
            <w:tcW w:type="dxa" w:w="2351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100% deployed</w:t>
            </w:r>
          </w:p>
        </w:tc>
        <w:tc>
          <w:tcPr>
            <w:tcW w:type="dxa" w:w="2351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≥ 0.75</w:t>
            </w:r>
          </w:p>
        </w:tc>
      </w:tr>
      <w:tr>
        <w:tc>
          <w:tcPr>
            <w:tcW w:type="dxa" w:w="2351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IWM ≤ MA200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BEAR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50% deployed</w:t>
            </w:r>
          </w:p>
        </w:tc>
        <w:tc>
          <w:tcPr>
            <w:tcW w:type="dxa" w:w="2351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≥ 0.95 (tighter)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0DC"/>
            <w:tcBorders>
              <w:top w:val="single" w:sz="4" w:space="0" w:color="C8973A"/>
              <w:left w:val="single" w:sz="4" w:space="0" w:color="C8973A"/>
              <w:bottom w:val="single" w:sz="4" w:space="0" w:color="C8973A"/>
              <w:right w:val="single" w:sz="4" w:space="0" w:color="C8973A"/>
            </w:tcBorders>
          </w:tcPr>
          <w:p>
            <w:r>
              <w:rPr>
                <w:rFonts w:ascii="Courier New" w:hAnsi="Courier New"/>
                <w:b/>
                <w:color w:val="C8973A"/>
                <w:sz w:val="16"/>
              </w:rPr>
              <w:t xml:space="preserve">DESIGN NOTE  </w:t>
            </w:r>
            <w:r>
              <w:rPr>
                <w:color w:val="1C2533"/>
                <w:sz w:val="20"/>
              </w:rPr>
              <w:t>In BEAR regime, vol_trend threshold rises to 0.95. This means only stocks with very active volume accumulation pass — fewer stocks qualify, naturally concentrating the 50%-deployed capital into higher-conviction names.</w:t>
            </w:r>
          </w:p>
        </w:tc>
      </w:tr>
    </w:tbl>
    <w:p/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3 · Stock Screening — 4 Gates (AND logic, no exceptions)</w:t>
      </w:r>
    </w:p>
    <w:p>
      <w:pPr>
        <w:spacing w:after="80"/>
      </w:pPr>
      <w:r>
        <w:rPr>
          <w:color w:val="3A4658"/>
          <w:sz w:val="22"/>
        </w:rPr>
        <w:t>Every stock in the S&amp;P 500 universe is scored daily. A stock must pass all four gates to be eligible. Gates are AND-logic — no averaging.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Gate 1 — RS Percentile ≥ 80th</w:t>
      </w:r>
    </w:p>
    <w:p>
      <w:pPr>
        <w:spacing w:after="80"/>
      </w:pPr>
      <w:r>
        <w:rPr>
          <w:color w:val="3A4658"/>
          <w:sz w:val="22"/>
        </w:rPr>
        <w:t>Composite RS score = excess returns vs SPY weighted across 4 lookbacks: 20d×10% + 60d×20% + 126d×30% + 252d×40%. Stocks are ranked within the full universe. Only the top 20% (≥80th percentile) are eligible.</w:t>
      </w:r>
    </w:p>
    <w:p>
      <w:pPr>
        <w:spacing w:before="80" w:after="80"/>
        <w:pBdr>
          <w:top w:val="single" w:sz="4" w:space="0" w:color="3B6EA5"/>
          <w:left w:val="single" w:sz="4" w:space="0" w:color="3B6EA5"/>
          <w:bottom w:val="single" w:sz="4" w:space="0" w:color="3B6EA5"/>
          <w:right w:val="single" w:sz="4" w:space="0" w:color="3B6EA5"/>
        </w:pBdr>
        <w:shd w:val="clear" w:color="auto" w:fill="0B1D35"/>
      </w:pPr>
      <w:r>
        <w:rPr>
          <w:rFonts w:ascii="Courier New" w:hAnsi="Courier New"/>
          <w:color w:val="C8D8EE"/>
          <w:sz w:val="18"/>
        </w:rPr>
        <w:t>rs_raw = (ret_20d  - spy_ret_20d)  × 0.10</w:t>
        <w:br/>
        <w:t xml:space="preserve">       + (ret_60d  - spy_ret_60d)  × 0.20</w:t>
        <w:br/>
        <w:t xml:space="preserve">       + (ret_126d - spy_ret_126d) × 0.30</w:t>
        <w:br/>
        <w:t xml:space="preserve">       + (ret_252d - spy_ret_252d) × 0.40</w:t>
        <w:br/>
        <w:br/>
        <w:t>rs_pct = percentile_rank(rs_raw, universe)  → 0–100</w:t>
      </w:r>
    </w:p>
    <w:p>
      <w:pPr>
        <w:spacing w:after="80"/>
      </w:pPr>
      <w:r>
        <w:rPr>
          <w:color w:val="3A4658"/>
          <w:sz w:val="22"/>
        </w:rPr>
        <w:t>The heavier weight on longer lookbacks (126d, 252d) ensures the system owns stocks with sustained leadership, not just recent momentum spikes.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Gate 2 — MA200 Filter (price &gt; 200-day SMA)</w:t>
      </w:r>
    </w:p>
    <w:p>
      <w:pPr>
        <w:spacing w:after="80"/>
      </w:pPr>
      <w:r>
        <w:rPr>
          <w:color w:val="3A4658"/>
          <w:sz w:val="22"/>
        </w:rPr>
        <w:t>Stock must be in a Stage 2 uptrend: closing price &gt; 200-day SMA. Stocks below MA200 are in Stage 3 or 4. These are excluded regardless of RS rank.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Gate 3 — Volume Trend Gate (vol_trend ≥ threshold)</w:t>
      </w:r>
    </w:p>
    <w:p>
      <w:pPr>
        <w:spacing w:after="80"/>
      </w:pPr>
      <w:r>
        <w:rPr>
          <w:color w:val="3A4658"/>
          <w:sz w:val="22"/>
        </w:rPr>
        <w:t>vol_trend = average daily volume (20d) ÷ average daily volume (60d). Ratio ≥ 1.0 means recent volume is above the 60-day average (genuine accumulation). Threshold is 0.75 in BULL, 0.95 in BEAR. Note: this measures volume trend, not price volatility.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Gate 4 — Liquidity Gate (ADTV ≥ $10M)</w:t>
      </w:r>
    </w:p>
    <w:p>
      <w:pPr>
        <w:spacing w:after="80"/>
      </w:pPr>
      <w:r>
        <w:rPr>
          <w:color w:val="3A4658"/>
          <w:sz w:val="22"/>
        </w:rPr>
        <w:t>Average Daily Trading Value over 63 days must exceed $10M. Ensures the position can be entered and exited without significant market impact. Calculated on top-75 RS candidates before final selection.</w:t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4 · Position Sizing — Volatility Parity</w:t>
      </w:r>
    </w:p>
    <w:p>
      <w:pPr>
        <w:spacing w:after="80"/>
      </w:pPr>
      <w:r>
        <w:rPr>
          <w:color w:val="3A4658"/>
          <w:sz w:val="22"/>
        </w:rPr>
        <w:t>Positions are not equal-weighted. Each position is sized so that every stock contributes the same amount of volatility risk to the portfolio. This prevents high-beta names from dominating while low-beta names are underweighted.</w:t>
      </w:r>
    </w:p>
    <w:p>
      <w:pPr>
        <w:spacing w:before="80" w:after="80"/>
        <w:pBdr>
          <w:top w:val="single" w:sz="4" w:space="0" w:color="3B6EA5"/>
          <w:left w:val="single" w:sz="4" w:space="0" w:color="3B6EA5"/>
          <w:bottom w:val="single" w:sz="4" w:space="0" w:color="3B6EA5"/>
          <w:right w:val="single" w:sz="4" w:space="0" w:color="3B6EA5"/>
        </w:pBdr>
        <w:shd w:val="clear" w:color="auto" w:fill="0B1D35"/>
      </w:pPr>
      <w:r>
        <w:rPr>
          <w:rFonts w:ascii="Courier New" w:hAnsi="Courier New"/>
          <w:color w:val="C8D8EE"/>
          <w:sz w:val="18"/>
        </w:rPr>
        <w:t>raw_weight[i] = 1 / realized_vol[i]          # vol-parity base</w:t>
        <w:br/>
        <w:t>raw_weight    = normalize(raw_weight)          # sum = 1</w:t>
        <w:br/>
        <w:br/>
        <w:t># Apply caps</w:t>
        <w:br/>
        <w:t>max_weight[i] = min(BASE_CAP, BETA_CAP / beta[i])</w:t>
        <w:br/>
        <w:br/>
        <w:t># Iterative cap redistribution (25 passes)</w:t>
        <w:br/>
        <w:t>for each position exceeding max_weight:</w:t>
        <w:br/>
        <w:t xml:space="preserve">    excess → redistribute to uncapped positions proportionally</w:t>
      </w:r>
    </w:p>
    <w:p>
      <w:pPr>
        <w:spacing w:before="200" w:after="40"/>
      </w:pPr>
      <w:r>
        <w:rPr>
          <w:b/>
          <w:color w:val="0B1D35"/>
          <w:sz w:val="22"/>
        </w:rPr>
        <w:t>Size Constraints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TOP_N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15 stocks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Maximum portfolio size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BASE_CAP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18%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Hard cap per position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BETA_CAP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12% ÷ β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Beta-adjusted cap; binds for high-beta names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BULL exposure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Fully deployed when IWM &gt; MA200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BEAR exposure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Half deployed when IWM ≤ MA200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Vol lookback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63 days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Annualized realized vol for sizing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Beta lookback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60 days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Log returns vs IWM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Beta range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0.3 – 4.0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Floor/ceiling to prevent extremes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0DC"/>
            <w:tcBorders>
              <w:top w:val="single" w:sz="4" w:space="0" w:color="C8973A"/>
              <w:left w:val="single" w:sz="4" w:space="0" w:color="C8973A"/>
              <w:bottom w:val="single" w:sz="4" w:space="0" w:color="C8973A"/>
              <w:right w:val="single" w:sz="4" w:space="0" w:color="C8973A"/>
            </w:tcBorders>
          </w:tcPr>
          <w:p>
            <w:r>
              <w:rPr>
                <w:rFonts w:ascii="Courier New" w:hAnsi="Courier New"/>
                <w:b/>
                <w:color w:val="C8973A"/>
                <w:sz w:val="16"/>
              </w:rPr>
              <w:t xml:space="preserve">EXAMPLE  </w:t>
            </w:r>
            <w:r>
              <w:rPr>
                <w:color w:val="1C2533"/>
                <w:sz w:val="20"/>
              </w:rPr>
              <w:t>A stock with β=2.0 has BETA_CAP = 12%÷2.0 = 6%. It cannot exceed 6% even if vol-parity weights it higher. A stock with β=0.5 has BETA_CAP=24%, but BASE_CAP=18% binds first. Effective cap = min(18%, 12%÷β).</w:t>
            </w:r>
          </w:p>
        </w:tc>
      </w:tr>
    </w:tbl>
    <w:p/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5 · Rebalance &amp; Trade Mechanics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Two Operating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daily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Every trading day (Mon–Fri)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Mark-to-market NAV using last close prices. Update nav_history. Send Telegram update. No trades.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rebalance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Monthly (last trading day) or manual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Full re-screen of universe. Build new top-15. Execute adds/removes/resizes. Charge transaction costs. Send full rebalance report.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Transaction Cost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703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Round-trip cost</w:t>
            </w:r>
          </w:p>
        </w:tc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0.15% (COST_RT = 0.0015)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Per side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0.075% (COST_HALF = 0.00075)</w:t>
            </w:r>
          </w:p>
        </w:tc>
      </w:tr>
      <w:tr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New position</w:t>
            </w:r>
          </w:p>
        </w:tc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cost_basis = price × 1.00075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Exit/reduce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exit_price = price × 0.99925</w:t>
            </w:r>
          </w:p>
        </w:tc>
      </w:tr>
      <w:tr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Blended add</w:t>
            </w:r>
          </w:p>
        </w:tc>
        <w:tc>
          <w:tcPr>
            <w:tcW w:type="dxa" w:w="4703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WACB of old shares + new shares at entry price</w:t>
            </w:r>
          </w:p>
        </w:tc>
      </w:tr>
      <w:tr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Inception (init)</w:t>
            </w:r>
          </w:p>
        </w:tc>
        <w:tc>
          <w:tcPr>
            <w:tcW w:type="dxa" w:w="4703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No entry cost — backtest convention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NAV Calculation</w:t>
      </w:r>
    </w:p>
    <w:p>
      <w:pPr>
        <w:spacing w:before="80" w:after="80"/>
        <w:pBdr>
          <w:top w:val="single" w:sz="4" w:space="0" w:color="3B6EA5"/>
          <w:left w:val="single" w:sz="4" w:space="0" w:color="3B6EA5"/>
          <w:bottom w:val="single" w:sz="4" w:space="0" w:color="3B6EA5"/>
          <w:right w:val="single" w:sz="4" w:space="0" w:color="3B6EA5"/>
        </w:pBdr>
        <w:shd w:val="clear" w:color="auto" w:fill="0B1D35"/>
      </w:pPr>
      <w:r>
        <w:rPr>
          <w:rFonts w:ascii="Courier New" w:hAnsi="Courier New"/>
          <w:color w:val="C8D8EE"/>
          <w:sz w:val="18"/>
        </w:rPr>
        <w:t>new_nav = cash_residual + Σ(shares[i] × current_price[i])</w:t>
        <w:br/>
        <w:br/>
        <w:t># cash_residual = nav × (1 − total_deployed_weight)</w:t>
        <w:br/>
        <w:t># NAV always reconstructed from positions — never carried forward</w:t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6 · Risk Parameters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Hard Limits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Limit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Max single position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18% (BASE_CAP)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No name-specific event can destroy the portfolio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Max position (beta-adj)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12% ÷ β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High-beta stocks capped tighter for equal risk contribution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Min ADTV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$10M / 63d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Ensures exit liquidity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BEAR exposure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50% max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Capital preservation when regime deteriorates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Min RS percentile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80th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Only top 20% of universe eligible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Candidate pool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Top 75 RS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ADTV checked on top-75 before final top-15 selection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Performance Metrics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CAGR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(nav/inc_nav)^(365.25/days) − 1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Annualized from inception date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Sharpe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mean(daily_ret)/std×√252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Suppressed until 63 trading days of data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Max Drawdown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min((nav − peak_nav) / peak_nav)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Peak tracked continuously; never resets</w:t>
            </w:r>
          </w:p>
        </w:tc>
      </w:tr>
    </w:tbl>
    <w:p/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7 · Data Sources &amp; Infrastructure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Yahoo Finance (query2)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OHLCV price &amp; volume history (300 days)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Primary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Tiingo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EOD adjusted close for daily mark-to-market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Secondary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Local file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S&amp;P 500 ticker list (data/paper_trading/sp500_tickers.txt)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after="80"/>
      </w:pPr>
      <w:r>
        <w:rPr>
          <w:color w:val="3A4658"/>
          <w:sz w:val="22"/>
        </w:rPr>
        <w:t>Price data is fetched in parallel using ThreadPoolExecutor(max_workers=8). Minimum data requirement: 60 bars of adjusted close + volume. Tickers with fewer bars are silently excluded from scoring.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0DC"/>
            <w:tcBorders>
              <w:top w:val="single" w:sz="4" w:space="0" w:color="C8973A"/>
              <w:left w:val="single" w:sz="4" w:space="0" w:color="C8973A"/>
              <w:bottom w:val="single" w:sz="4" w:space="0" w:color="C8973A"/>
              <w:right w:val="single" w:sz="4" w:space="0" w:color="C8973A"/>
            </w:tcBorders>
          </w:tcPr>
          <w:p>
            <w:r>
              <w:rPr>
                <w:rFonts w:ascii="Courier New" w:hAnsi="Courier New"/>
                <w:b/>
                <w:color w:val="C8973A"/>
                <w:sz w:val="16"/>
              </w:rPr>
              <w:t xml:space="preserve">DATA QUALITY NOTE  </w:t>
            </w:r>
            <w:r>
              <w:rPr>
                <w:color w:val="1C2533"/>
                <w:sz w:val="20"/>
              </w:rPr>
              <w:t>vol_trend uses raw volume aligned to SPY trading calendar via forward-fill. Bars with zero volume are excluded before the 20d/60d averaging. SSL verification is disabled for Yahoo Finance compatibility.</w:t>
            </w:r>
          </w:p>
        </w:tc>
      </w:tr>
    </w:tbl>
    <w:p/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8 · Automation &amp; Pipeline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GitHub Actions Workflow</w:t>
      </w:r>
    </w:p>
    <w:p>
      <w:pPr>
        <w:spacing w:after="80"/>
      </w:pPr>
      <w:r>
        <w:rPr>
          <w:color w:val="3A4658"/>
          <w:sz w:val="22"/>
        </w:rPr>
        <w:t>File: .github/workflows/daily.yml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Schedule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Time (ICT)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Trigger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Mon–Fri daily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07:00 ICT (00:00 UTC)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cron-job.org webhook → workflow_dispatch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Month-end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Auto-detected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Script detects last trading day → runs rebalance mode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BF0DC"/>
            <w:tcBorders>
              <w:top w:val="single" w:sz="4" w:space="0" w:color="C8973A"/>
              <w:left w:val="single" w:sz="4" w:space="0" w:color="C8973A"/>
              <w:bottom w:val="single" w:sz="4" w:space="0" w:color="C8973A"/>
              <w:right w:val="single" w:sz="4" w:space="0" w:color="C8973A"/>
            </w:tcBorders>
          </w:tcPr>
          <w:p>
            <w:r>
              <w:rPr>
                <w:rFonts w:ascii="Courier New" w:hAnsi="Courier New"/>
                <w:b/>
                <w:color w:val="C8973A"/>
                <w:sz w:val="16"/>
              </w:rPr>
              <w:t xml:space="preserve">IMPORTANT  </w:t>
            </w:r>
            <w:r>
              <w:rPr>
                <w:color w:val="1C2533"/>
                <w:sz w:val="20"/>
              </w:rPr>
              <w:t>GitHub Actions free-tier cron jobs delay 1–3 hours due to queue congestion. The production trigger is cron-job.org calling the workflow_dispatch API endpoint directly. The GitHub schedule entry exists only as a fallback.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Pipeline Steps (each run)</w:t>
      </w:r>
    </w:p>
    <w:p>
      <w:pPr>
        <w:spacing w:before="80" w:after="80"/>
        <w:pBdr>
          <w:top w:val="single" w:sz="4" w:space="0" w:color="3B6EA5"/>
          <w:left w:val="single" w:sz="4" w:space="0" w:color="3B6EA5"/>
          <w:bottom w:val="single" w:sz="4" w:space="0" w:color="3B6EA5"/>
          <w:right w:val="single" w:sz="4" w:space="0" w:color="3B6EA5"/>
        </w:pBdr>
        <w:shd w:val="clear" w:color="auto" w:fill="0B1D35"/>
      </w:pPr>
      <w:r>
        <w:rPr>
          <w:rFonts w:ascii="Courier New" w:hAnsi="Courier New"/>
          <w:color w:val="C8D8EE"/>
          <w:sz w:val="18"/>
        </w:rPr>
        <w:t>1. Checkout repo</w:t>
        <w:br/>
        <w:t>2. Install: pandas numpy pyarrow requests</w:t>
        <w:br/>
        <w:t>3. Run v4_paper_trader.py --mode daily (or --mode rebalance)</w:t>
        <w:br/>
        <w:t>4. Commit updated state.json → push to main</w:t>
      </w:r>
    </w:p>
    <w:p>
      <w:pPr>
        <w:spacing w:before="280" w:after="80"/>
      </w:pPr>
      <w:r>
        <w:rPr>
          <w:rFonts w:ascii="Calibri" w:hAnsi="Calibri"/>
          <w:b/>
          <w:color w:val="3B6EA5"/>
          <w:sz w:val="26"/>
        </w:rPr>
        <w:t>Telegram Notification Format</w:t>
      </w:r>
    </w:p>
    <w:p>
      <w:pPr>
        <w:spacing w:before="80" w:after="80"/>
        <w:pBdr>
          <w:top w:val="single" w:sz="4" w:space="0" w:color="3B6EA5"/>
          <w:left w:val="single" w:sz="4" w:space="0" w:color="3B6EA5"/>
          <w:bottom w:val="single" w:sz="4" w:space="0" w:color="3B6EA5"/>
          <w:right w:val="single" w:sz="4" w:space="0" w:color="3B6EA5"/>
        </w:pBdr>
        <w:shd w:val="clear" w:color="auto" w:fill="0B1D35"/>
      </w:pPr>
      <w:r>
        <w:rPr>
          <w:rFonts w:ascii="Courier New" w:hAnsi="Courier New"/>
          <w:color w:val="C8D8EE"/>
          <w:sz w:val="18"/>
        </w:rPr>
        <w:t>[US] AlphaAbsolute-US — Daily Update</w:t>
        <w:br/>
        <w:t>29 Sep 2026 | Regime: BULL</w:t>
        <w:br/>
        <w:br/>
        <w:t>NAV: $1,082,991 | Since inception: +8.30%</w:t>
        <w:br/>
        <w:t>CAGR: +38.2% | QQQ: +3.82% | Excess: +4.48%</w:t>
        <w:br/>
        <w:t>MaxDD: -2.1%</w:t>
        <w:br/>
        <w:br/>
        <w:t>PORTFOLIO (15 stocks | 100% deployed)</w:t>
        <w:br/>
        <w:t>RVMD    12.5%  $207.75  +25.3%</w:t>
        <w:br/>
        <w:t>TVTX    12.2%  $66.32   +18.8%</w:t>
        <w:br/>
        <w:t>...</w:t>
      </w:r>
    </w:p>
    <w:p>
      <w:r>
        <w:br w:type="page"/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9 · Current Portfolio — 2026-09-29</w:t>
      </w:r>
    </w:p>
    <w:p>
      <w:pPr>
        <w:spacing w:after="80"/>
      </w:pPr>
      <w:r>
        <w:rPr>
          <w:color w:val="3A4658"/>
          <w:sz w:val="22"/>
        </w:rPr>
        <w:t>All 15 positions entered 2026-09-02 (inception). Monthly rebalance has not yet occurred.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Ticker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Cost Basis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Beta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RS Pct</w:t>
            </w:r>
          </w:p>
        </w:tc>
        <w:tc>
          <w:tcPr>
            <w:tcW w:type="dxa" w:w="1568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ADTV $M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RVMD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12.5%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$207.75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0.83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99.0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$429.5M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TVTX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12.2%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$66.32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0.99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98.2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$101.1M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ANDG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$56.26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0.55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$19.7M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LQDA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7.7%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$68.14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0.88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98.1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$140.9M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RNG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7.4%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$71.34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0.41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$91.0M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SYRE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7.2%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$85.90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1.47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98.8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$122.3M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DELL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6.9%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$459.68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1.28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99.2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$3,074.4M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TXG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6.6%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$59.69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1.72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99.7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$144.2M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STX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5.9%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$797.72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1.54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98.9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$4,179.0M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LITE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5.3%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$859.91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2.25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99.1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$4,150.0M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TWST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5.2%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$127.43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2.29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$181.4M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WDC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5.0%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$445.59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1.98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98.7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$4,681.2M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SNDK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$1,547.00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2.75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99.9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$22,238.5M</w:t>
            </w:r>
          </w:p>
        </w:tc>
      </w:tr>
      <w:tr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AAOI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3.6%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$101.88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2.85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98.8</w:t>
            </w:r>
          </w:p>
        </w:tc>
        <w:tc>
          <w:tcPr>
            <w:tcW w:type="dxa" w:w="1568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$1,574.9M</w:t>
            </w:r>
          </w:p>
        </w:tc>
      </w:tr>
      <w:tr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MRNA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2.3%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$146.76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1.76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100.0</w:t>
            </w:r>
          </w:p>
        </w:tc>
        <w:tc>
          <w:tcPr>
            <w:tcW w:type="dxa" w:w="156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$1,822.8M</w:t>
            </w:r>
          </w:p>
        </w:tc>
      </w:tr>
    </w:tbl>
    <w:p/>
    <w:p>
      <w:pPr>
        <w:spacing w:after="80"/>
      </w:pPr>
      <w:r>
        <w:rPr>
          <w:color w:val="3A4658"/>
          <w:sz w:val="22"/>
        </w:rPr>
        <w:t>High-beta names (SNDK β=2.75, AAOI β=2.85) are capped by BETA_CAP = 12%÷β to 4.4% and 4.2% respectively, which is why they appear at the bottom of the weight ladder despite strong RS.</w:t>
      </w:r>
    </w:p>
    <w:p>
      <w:pPr>
        <w:spacing w:before="360" w:after="120"/>
        <w:pBdr>
          <w:bottom w:val="single" w:sz="6" w:space="1" w:color="0B1D35"/>
        </w:pBdr>
      </w:pPr>
      <w:r>
        <w:rPr>
          <w:rFonts w:ascii="Calibri" w:hAnsi="Calibri"/>
          <w:b/>
          <w:color w:val="0B1D35"/>
          <w:sz w:val="36"/>
        </w:rPr>
        <w:t>Appendix — All System Constants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Constant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0B1D35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r>
              <w:rPr>
                <w:rFonts w:ascii="Courier New" w:hAnsi="Courier New"/>
                <w:b/>
                <w:color w:val="FFFFFF"/>
                <w:sz w:val="18"/>
              </w:rPr>
              <w:t>File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RS_THRESH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80 (percentile)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ADTV_MIN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$10M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TOP_N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BASE_CAP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0.18 (18%)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BETA_CAP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0.12 (12%)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CANDIDATE_POOL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75 (TOP_N × 5)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COST_RT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0.0015 (0.15%)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COST_HALF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0.00075 (0.075%)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vol_trend_bull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≥ 0.75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vol_trend_bear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≥ 0.95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BULL exposure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1.00 (100%)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BEAR exposure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0.50 (50%)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Regime signal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IWM vs MA200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RS weights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20d×0.1, 60d×0.2, 126d×0.3, 252d×0.4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vol_trend lookback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20d avg ÷ 60d avg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Beta lookback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60d log returns vs IWM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Realized vol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63d annualized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Min data bars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60 bars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FETCH_THREADS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  <w:tr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rFonts w:ascii="Courier New" w:hAnsi="Courier New"/>
                <w:color w:val="3B6EA5"/>
                <w:sz w:val="20"/>
              </w:rPr>
              <w:t>START_NAV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$1,000,000</w:t>
            </w:r>
          </w:p>
        </w:tc>
        <w:tc>
          <w:tcPr>
            <w:tcW w:type="dxa" w:w="3135"/>
            <w:shd w:val="clear" w:color="auto" w:fill="F0F4F8"/>
            <w:tcBorders>
              <w:top w:val="single" w:sz="4" w:space="0" w:color="D0D8E0"/>
              <w:left w:val="single" w:sz="4" w:space="0" w:color="D0D8E0"/>
              <w:bottom w:val="single" w:sz="4" w:space="0" w:color="D0D8E0"/>
              <w:right w:val="single" w:sz="4" w:space="0" w:color="D0D8E0"/>
            </w:tcBorders>
          </w:tcPr>
          <w:p>
            <w:r>
              <w:rPr>
                <w:sz w:val="20"/>
              </w:rPr>
              <w:t>v4_paper_trader.py</w:t>
            </w:r>
          </w:p>
        </w:tc>
      </w:tr>
    </w:tbl>
    <w:p/>
    <w:p>
      <w:pPr>
        <w:spacing w:before="400"/>
        <w:pBdr>
          <w:top w:val="single" w:sz="6" w:space="1" w:color="0B1D35"/>
        </w:pBdr>
      </w:pPr>
      <w:r>
        <w:rPr>
          <w:rFonts w:ascii="Courier New" w:hAnsi="Courier New"/>
          <w:b w:val="0"/>
          <w:i w:val="0"/>
          <w:color w:val="5A6A7E"/>
          <w:sz w:val="18"/>
        </w:rPr>
        <w:t>AlphaAbsolute · AlphaModel-US System 4.0  |  CIO: Piriyapon Kongvanich  |  Generated: 2026-09-29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