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drawing>
          <wp:inline distT="0" distB="0" distL="0" distR="0">
            <wp:extent cx="37719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71900" cy="866775"/>
                    </a:xfrm>
                    <a:prstGeom prst="rect">
                      <a:avLst/>
                    </a:prstGeom>
                  </pic:spPr>
                </pic:pic>
              </a:graphicData>
            </a:graphic>
          </wp:inline>
        </w:drawing>
      </w:r>
    </w:p>
    <w:p>
      <w:pPr>
        <w:spacing w:after="0" w:before="1800"/>
        <w:jc w:val="center"/>
      </w:pPr>
      <w:r>
        <w:rPr>
          <w:rFonts w:ascii="Times New Roman" w:cs="Times New Roman" w:eastAsia="Times New Roman" w:hAnsi="Times New Roman"/>
          <w:color w:val="1B5A96"/>
          <w:sz w:val="56"/>
          <w:szCs w:val="56"/>
        </w:rPr>
        <w:t xml:space="preserve">Logistics Department</w:t>
      </w:r>
    </w:p>
    <w:p>
      <w:pPr>
        <w:spacing w:after="0" w:before="0"/>
        <w:jc w:val="center"/>
      </w:pPr>
      <w:r>
        <w:rPr>
          <w:rFonts w:ascii="Times New Roman" w:cs="Times New Roman" w:eastAsia="Times New Roman" w:hAnsi="Times New Roman"/>
          <w:color w:val="1B5A96"/>
          <w:sz w:val="56"/>
          <w:szCs w:val="56"/>
        </w:rPr>
        <w:t xml:space="preserve">Procurement Procedures</w:t>
      </w:r>
    </w:p>
    <w:p>
      <w:pPr>
        <w:spacing w:after="0" w:before="0"/>
        <w:jc w:val="center"/>
      </w:pPr>
      <w:r>
        <w:rPr>
          <w:rFonts w:ascii="Times New Roman" w:cs="Times New Roman" w:eastAsia="Times New Roman" w:hAnsi="Times New Roman"/>
          <w:color w:val="1B5A96"/>
          <w:sz w:val="56"/>
          <w:szCs w:val="56"/>
        </w:rPr>
        <w:t xml:space="preserve">Manual</w:t>
      </w:r>
    </w:p>
    <w:p>
      <w:pPr>
        <w:sectPr>
          <w:headerReference w:type="default" r:id="rId7"/>
          <w:footerReference w:type="default" r:id="rId8"/>
          <w:pgSz w:w="12240" w:h="15840" w:orient="portrait"/>
          <w:pgMar w:top="1440" w:right="1440" w:bottom="1440" w:left="1440" w:header="708" w:footer="708" w:gutter="0"/>
          <w:pgBorders w:display="allPages" w:offsetFrom="page">
            <w:top w:val="double" w:color="1B5A96" w:sz="18" w:space="24"/>
            <w:left w:val="double" w:color="1B5A96" w:sz="18" w:space="24"/>
            <w:bottom w:val="double" w:color="1B5A96" w:sz="18" w:space="24"/>
            <w:right w:val="double" w:color="1B5A96" w:sz="18" w:space="24"/>
          </w:pgBorders>
          <w:pgNumType/>
          <w:titlePg/>
          <w:docGrid w:linePitch="360"/>
        </w:sectPr>
      </w:pPr>
    </w:p>
    <w:p>
      <w:pPr>
        <w:keepNext w:val="false"/>
        <w:spacing w:after="300" w:before="0"/>
        <w:jc w:val="center"/>
      </w:pPr>
      <w:r>
        <w:rPr>
          <w:rFonts w:ascii="Times New Roman" w:cs="Times New Roman" w:eastAsia="Times New Roman" w:hAnsi="Times New Roman"/>
          <w:b/>
          <w:bCs/>
          <w:i w:val="false"/>
          <w:iCs w:val="false"/>
          <w:sz w:val="26"/>
          <w:szCs w:val="26"/>
        </w:rPr>
        <w:t xml:space="preserve">TABLE OF CONTENTS</w:t>
      </w:r>
    </w:p>
    <w:p>
      <w:pPr>
        <w:tabs>
          <w:tab w:val="right" w:pos="9360"/>
        </w:tabs>
        <w:spacing w:after="140"/>
      </w:pPr>
      <w:r>
        <w:t xml:space="preserve">	</w:t>
      </w:r>
      <w:r>
        <w:rPr>
          <w:rFonts w:ascii="Times New Roman" w:cs="Times New Roman" w:eastAsia="Times New Roman" w:hAnsi="Times New Roman"/>
          <w:sz w:val="24"/>
          <w:szCs w:val="24"/>
          <w:u w:val="single"/>
        </w:rPr>
        <w:t xml:space="preserve">Page</w:t>
      </w:r>
    </w:p>
    <w:p>
      <w:pPr>
        <w:tabs>
          <w:tab w:val="left" w:pos="720"/>
          <w:tab w:val="right" w:pos="9360"/>
        </w:tabs>
        <w:spacing w:after="160"/>
        <w:ind w:left="0"/>
      </w:pPr>
      <w:r>
        <w:rPr>
          <w:rFonts w:ascii="Times New Roman" w:cs="Times New Roman" w:eastAsia="Times New Roman" w:hAnsi="Times New Roman"/>
          <w:b w:val="false"/>
          <w:bCs w:val="false"/>
          <w:sz w:val="24"/>
          <w:szCs w:val="24"/>
        </w:rPr>
        <w:t xml:space="preserve">I.	</w:t>
      </w:r>
      <w:r>
        <w:rPr>
          <w:rFonts w:ascii="Times New Roman" w:cs="Times New Roman" w:eastAsia="Times New Roman" w:hAnsi="Times New Roman"/>
          <w:b w:val="false"/>
          <w:bCs w:val="false"/>
          <w:sz w:val="24"/>
          <w:szCs w:val="24"/>
        </w:rPr>
        <w:t xml:space="preserve">Introduction</w:t>
      </w:r>
      <w:r>
        <w:t xml:space="preserve">	</w:t>
      </w:r>
      <w:r>
        <w:rPr>
          <w:rFonts w:ascii="Times New Roman" w:cs="Times New Roman" w:eastAsia="Times New Roman" w:hAnsi="Times New Roman"/>
          <w:sz w:val="24"/>
          <w:szCs w:val="24"/>
        </w:rPr>
        <w:t xml:space="preserve"/>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A.        Introduction</w:t>
      </w:r>
      <w:r>
        <w:t xml:space="preserve">	</w:t>
      </w:r>
      <w:r>
        <w:rPr>
          <w:rFonts w:ascii="Times New Roman" w:cs="Times New Roman" w:eastAsia="Times New Roman" w:hAnsi="Times New Roman"/>
          <w:sz w:val="24"/>
          <w:szCs w:val="24"/>
        </w:rPr>
        <w:t xml:space="preserve">1</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B.        Background</w:t>
      </w:r>
      <w:r>
        <w:t xml:space="preserve">	</w:t>
      </w:r>
      <w:r>
        <w:rPr>
          <w:rFonts w:ascii="Times New Roman" w:cs="Times New Roman" w:eastAsia="Times New Roman" w:hAnsi="Times New Roman"/>
          <w:sz w:val="24"/>
          <w:szCs w:val="24"/>
        </w:rPr>
        <w:t xml:space="preserve">1</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C.        Purpose</w:t>
      </w:r>
      <w:r>
        <w:t xml:space="preserve">	</w:t>
      </w:r>
      <w:r>
        <w:rPr>
          <w:rFonts w:ascii="Times New Roman" w:cs="Times New Roman" w:eastAsia="Times New Roman" w:hAnsi="Times New Roman"/>
          <w:sz w:val="24"/>
          <w:szCs w:val="24"/>
        </w:rPr>
        <w:t xml:space="preserve">1</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D.        Scope</w:t>
      </w:r>
      <w:r>
        <w:t xml:space="preserve">	</w:t>
      </w:r>
      <w:r>
        <w:rPr>
          <w:rFonts w:ascii="Times New Roman" w:cs="Times New Roman" w:eastAsia="Times New Roman" w:hAnsi="Times New Roman"/>
          <w:sz w:val="24"/>
          <w:szCs w:val="24"/>
        </w:rPr>
        <w:t xml:space="preserve">2</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E.        Mission</w:t>
      </w:r>
      <w:r>
        <w:t xml:space="preserve">	</w:t>
      </w:r>
      <w:r>
        <w:rPr>
          <w:rFonts w:ascii="Times New Roman" w:cs="Times New Roman" w:eastAsia="Times New Roman" w:hAnsi="Times New Roman"/>
          <w:sz w:val="24"/>
          <w:szCs w:val="24"/>
        </w:rPr>
        <w:t xml:space="preserve">2</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F.        Goals</w:t>
      </w:r>
      <w:r>
        <w:t xml:space="preserve">	</w:t>
      </w:r>
      <w:r>
        <w:rPr>
          <w:rFonts w:ascii="Times New Roman" w:cs="Times New Roman" w:eastAsia="Times New Roman" w:hAnsi="Times New Roman"/>
          <w:sz w:val="24"/>
          <w:szCs w:val="24"/>
        </w:rPr>
        <w:t xml:space="preserve">2</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G.        Principles</w:t>
      </w:r>
      <w:r>
        <w:t xml:space="preserve">	</w:t>
      </w:r>
      <w:r>
        <w:rPr>
          <w:rFonts w:ascii="Times New Roman" w:cs="Times New Roman" w:eastAsia="Times New Roman" w:hAnsi="Times New Roman"/>
          <w:sz w:val="24"/>
          <w:szCs w:val="24"/>
        </w:rPr>
        <w:t xml:space="preserve">3</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H.        Ethics</w:t>
      </w:r>
      <w:r>
        <w:t xml:space="preserve">	</w:t>
      </w:r>
      <w:r>
        <w:rPr>
          <w:rFonts w:ascii="Times New Roman" w:cs="Times New Roman" w:eastAsia="Times New Roman" w:hAnsi="Times New Roman"/>
          <w:sz w:val="24"/>
          <w:szCs w:val="24"/>
        </w:rPr>
        <w:t xml:space="preserve">3</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I.        NIGP code of ethics</w:t>
      </w:r>
      <w:r>
        <w:t xml:space="preserve">	</w:t>
      </w:r>
      <w:r>
        <w:rPr>
          <w:rFonts w:ascii="Times New Roman" w:cs="Times New Roman" w:eastAsia="Times New Roman" w:hAnsi="Times New Roman"/>
          <w:sz w:val="24"/>
          <w:szCs w:val="24"/>
        </w:rPr>
        <w:t xml:space="preserve">4</w:t>
      </w:r>
    </w:p>
    <w:p>
      <w:pPr>
        <w:tabs>
          <w:tab w:val="left" w:pos="720"/>
          <w:tab w:val="right" w:pos="9360"/>
        </w:tabs>
        <w:spacing w:after="160"/>
        <w:ind w:left="0"/>
      </w:pPr>
      <w:r>
        <w:rPr>
          <w:rFonts w:ascii="Times New Roman" w:cs="Times New Roman" w:eastAsia="Times New Roman" w:hAnsi="Times New Roman"/>
          <w:b w:val="false"/>
          <w:bCs w:val="false"/>
          <w:sz w:val="24"/>
          <w:szCs w:val="24"/>
        </w:rPr>
        <w:t xml:space="preserve">II.	</w:t>
      </w:r>
      <w:r>
        <w:rPr>
          <w:rFonts w:ascii="Times New Roman" w:cs="Times New Roman" w:eastAsia="Times New Roman" w:hAnsi="Times New Roman"/>
          <w:b w:val="false"/>
          <w:bCs w:val="false"/>
          <w:sz w:val="24"/>
          <w:szCs w:val="24"/>
        </w:rPr>
        <w:t xml:space="preserve">Procurement policies</w:t>
      </w:r>
      <w:r>
        <w:t xml:space="preserve">	</w:t>
      </w:r>
      <w:r>
        <w:rPr>
          <w:rFonts w:ascii="Times New Roman" w:cs="Times New Roman" w:eastAsia="Times New Roman" w:hAnsi="Times New Roman"/>
          <w:sz w:val="24"/>
          <w:szCs w:val="24"/>
        </w:rPr>
        <w:t xml:space="preserve">5</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A.        Administrative Policies</w:t>
      </w:r>
      <w:r>
        <w:t xml:space="preserve">	</w:t>
      </w:r>
      <w:r>
        <w:rPr>
          <w:rFonts w:ascii="Times New Roman" w:cs="Times New Roman" w:eastAsia="Times New Roman" w:hAnsi="Times New Roman"/>
          <w:sz w:val="24"/>
          <w:szCs w:val="24"/>
        </w:rPr>
        <w:t xml:space="preserve">5</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B.        Development, Implementation and Accountability</w:t>
      </w:r>
      <w:r>
        <w:t xml:space="preserve">	</w:t>
      </w:r>
      <w:r>
        <w:rPr>
          <w:rFonts w:ascii="Times New Roman" w:cs="Times New Roman" w:eastAsia="Times New Roman" w:hAnsi="Times New Roman"/>
          <w:sz w:val="24"/>
          <w:szCs w:val="24"/>
        </w:rPr>
        <w:t xml:space="preserve">5</w:t>
      </w:r>
    </w:p>
    <w:p>
      <w:pPr>
        <w:tabs>
          <w:tab w:val="left" w:pos="2160"/>
          <w:tab w:val="right" w:pos="9360"/>
        </w:tabs>
        <w:spacing w:after="160"/>
        <w:ind w:left="144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1.        Procurement Accountability</w:t>
      </w:r>
      <w:r>
        <w:t xml:space="preserve">	</w:t>
      </w:r>
      <w:r>
        <w:rPr>
          <w:rFonts w:ascii="Times New Roman" w:cs="Times New Roman" w:eastAsia="Times New Roman" w:hAnsi="Times New Roman"/>
          <w:sz w:val="24"/>
          <w:szCs w:val="24"/>
        </w:rPr>
        <w:t xml:space="preserve">6</w:t>
      </w:r>
    </w:p>
    <w:p>
      <w:pPr>
        <w:tabs>
          <w:tab w:val="left" w:pos="2160"/>
          <w:tab w:val="right" w:pos="9360"/>
        </w:tabs>
        <w:spacing w:after="160"/>
        <w:ind w:left="144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2.        Building/Department Accountability</w:t>
      </w:r>
      <w:r>
        <w:t xml:space="preserve">	</w:t>
      </w:r>
      <w:r>
        <w:rPr>
          <w:rFonts w:ascii="Times New Roman" w:cs="Times New Roman" w:eastAsia="Times New Roman" w:hAnsi="Times New Roman"/>
          <w:sz w:val="24"/>
          <w:szCs w:val="24"/>
        </w:rPr>
        <w:t xml:space="preserve">7</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C.        Required Procurement Sources</w:t>
      </w:r>
      <w:r>
        <w:t xml:space="preserve">	</w:t>
      </w:r>
      <w:r>
        <w:rPr>
          <w:rFonts w:ascii="Times New Roman" w:cs="Times New Roman" w:eastAsia="Times New Roman" w:hAnsi="Times New Roman"/>
          <w:sz w:val="24"/>
          <w:szCs w:val="24"/>
        </w:rPr>
        <w:t xml:space="preserve">7</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D.        Cooperative Procurement</w:t>
      </w:r>
      <w:r>
        <w:t xml:space="preserve">	</w:t>
      </w:r>
      <w:r>
        <w:rPr>
          <w:rFonts w:ascii="Times New Roman" w:cs="Times New Roman" w:eastAsia="Times New Roman" w:hAnsi="Times New Roman"/>
          <w:sz w:val="24"/>
          <w:szCs w:val="24"/>
        </w:rPr>
        <w:t xml:space="preserve">7</w:t>
      </w:r>
    </w:p>
    <w:p>
      <w:pPr>
        <w:tabs>
          <w:tab w:val="left" w:pos="720"/>
          <w:tab w:val="right" w:pos="9360"/>
        </w:tabs>
        <w:spacing w:after="160"/>
        <w:ind w:left="0"/>
      </w:pPr>
      <w:r>
        <w:rPr>
          <w:rFonts w:ascii="Times New Roman" w:cs="Times New Roman" w:eastAsia="Times New Roman" w:hAnsi="Times New Roman"/>
          <w:b w:val="false"/>
          <w:bCs w:val="false"/>
          <w:sz w:val="24"/>
          <w:szCs w:val="24"/>
        </w:rPr>
        <w:t xml:space="preserve">III.	</w:t>
      </w:r>
      <w:r>
        <w:rPr>
          <w:rFonts w:ascii="Times New Roman" w:cs="Times New Roman" w:eastAsia="Times New Roman" w:hAnsi="Times New Roman"/>
          <w:b w:val="false"/>
          <w:bCs w:val="false"/>
          <w:sz w:val="24"/>
          <w:szCs w:val="24"/>
        </w:rPr>
        <w:t xml:space="preserve">Procurement Organizational Structure</w:t>
      </w:r>
      <w:r>
        <w:t xml:space="preserve">	</w:t>
      </w:r>
      <w:r>
        <w:rPr>
          <w:rFonts w:ascii="Times New Roman" w:cs="Times New Roman" w:eastAsia="Times New Roman" w:hAnsi="Times New Roman"/>
          <w:sz w:val="24"/>
          <w:szCs w:val="24"/>
        </w:rPr>
        <w:t xml:space="preserve">8</w:t>
      </w:r>
    </w:p>
    <w:p>
      <w:pPr>
        <w:keepNext w:val="false"/>
        <w:pageBreakBefore/>
        <w:spacing w:after="300" w:before="0"/>
        <w:jc w:val="center"/>
      </w:pPr>
      <w:r>
        <w:rPr>
          <w:rFonts w:ascii="Times New Roman" w:cs="Times New Roman" w:eastAsia="Times New Roman" w:hAnsi="Times New Roman"/>
          <w:b/>
          <w:bCs/>
          <w:i w:val="false"/>
          <w:iCs w:val="false"/>
          <w:sz w:val="26"/>
          <w:szCs w:val="26"/>
        </w:rPr>
        <w:t xml:space="preserve">TABLE OF CONTENTS (Continued)</w:t>
      </w:r>
    </w:p>
    <w:p>
      <w:pPr>
        <w:tabs>
          <w:tab w:val="right" w:pos="9360"/>
        </w:tabs>
        <w:spacing w:after="140"/>
      </w:pPr>
      <w:r>
        <w:t xml:space="preserve">	</w:t>
      </w:r>
      <w:r>
        <w:rPr>
          <w:rFonts w:ascii="Times New Roman" w:cs="Times New Roman" w:eastAsia="Times New Roman" w:hAnsi="Times New Roman"/>
          <w:sz w:val="24"/>
          <w:szCs w:val="24"/>
          <w:u w:val="single"/>
        </w:rPr>
        <w:t xml:space="preserve">Page</w:t>
      </w:r>
    </w:p>
    <w:p>
      <w:pPr>
        <w:tabs>
          <w:tab w:val="left" w:pos="720"/>
          <w:tab w:val="right" w:pos="9360"/>
        </w:tabs>
        <w:spacing w:after="160"/>
        <w:ind w:left="0"/>
      </w:pPr>
      <w:r>
        <w:rPr>
          <w:rFonts w:ascii="Times New Roman" w:cs="Times New Roman" w:eastAsia="Times New Roman" w:hAnsi="Times New Roman"/>
          <w:b w:val="false"/>
          <w:bCs w:val="false"/>
          <w:sz w:val="24"/>
          <w:szCs w:val="24"/>
        </w:rPr>
        <w:t xml:space="preserve">IV.	</w:t>
      </w:r>
      <w:r>
        <w:rPr>
          <w:rFonts w:ascii="Times New Roman" w:cs="Times New Roman" w:eastAsia="Times New Roman" w:hAnsi="Times New Roman"/>
          <w:b w:val="false"/>
          <w:bCs w:val="false"/>
          <w:sz w:val="24"/>
          <w:szCs w:val="24"/>
        </w:rPr>
        <w:t xml:space="preserve">Procurement Methods</w:t>
      </w:r>
      <w:r>
        <w:t xml:space="preserve">	</w:t>
      </w:r>
      <w:r>
        <w:rPr>
          <w:rFonts w:ascii="Times New Roman" w:cs="Times New Roman" w:eastAsia="Times New Roman" w:hAnsi="Times New Roman"/>
          <w:sz w:val="24"/>
          <w:szCs w:val="24"/>
        </w:rPr>
        <w:t xml:space="preserve"/>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Procurement Methods</w:t>
      </w:r>
      <w:r>
        <w:t xml:space="preserve">	</w:t>
      </w:r>
      <w:r>
        <w:rPr>
          <w:rFonts w:ascii="Times New Roman" w:cs="Times New Roman" w:eastAsia="Times New Roman" w:hAnsi="Times New Roman"/>
          <w:sz w:val="24"/>
          <w:szCs w:val="24"/>
        </w:rPr>
        <w:t xml:space="preserve">9</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A.        Small Purchases</w:t>
      </w:r>
      <w:r>
        <w:t xml:space="preserve">	</w:t>
      </w:r>
      <w:r>
        <w:rPr>
          <w:rFonts w:ascii="Times New Roman" w:cs="Times New Roman" w:eastAsia="Times New Roman" w:hAnsi="Times New Roman"/>
          <w:sz w:val="24"/>
          <w:szCs w:val="24"/>
        </w:rPr>
        <w:t xml:space="preserve">11</w:t>
      </w:r>
    </w:p>
    <w:p>
      <w:pPr>
        <w:tabs>
          <w:tab w:val="left" w:pos="2160"/>
          <w:tab w:val="right" w:pos="9360"/>
        </w:tabs>
        <w:spacing w:after="160"/>
        <w:ind w:left="144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1.   Goods</w:t>
      </w:r>
      <w:r>
        <w:t xml:space="preserve">	</w:t>
      </w:r>
      <w:r>
        <w:rPr>
          <w:rFonts w:ascii="Times New Roman" w:cs="Times New Roman" w:eastAsia="Times New Roman" w:hAnsi="Times New Roman"/>
          <w:sz w:val="24"/>
          <w:szCs w:val="24"/>
        </w:rPr>
        <w:t xml:space="preserve">11</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B.        Competitive Sealed Bidding</w:t>
      </w:r>
      <w:r>
        <w:t xml:space="preserve">	</w:t>
      </w:r>
      <w:r>
        <w:rPr>
          <w:rFonts w:ascii="Times New Roman" w:cs="Times New Roman" w:eastAsia="Times New Roman" w:hAnsi="Times New Roman"/>
          <w:sz w:val="24"/>
          <w:szCs w:val="24"/>
        </w:rPr>
        <w:t xml:space="preserve">11</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C.        Competitive Negotiations</w:t>
      </w:r>
      <w:r>
        <w:t xml:space="preserve">	</w:t>
      </w:r>
      <w:r>
        <w:rPr>
          <w:rFonts w:ascii="Times New Roman" w:cs="Times New Roman" w:eastAsia="Times New Roman" w:hAnsi="Times New Roman"/>
          <w:sz w:val="24"/>
          <w:szCs w:val="24"/>
        </w:rPr>
        <w:t xml:space="preserve">11</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D.        Sole Source Purchase</w:t>
      </w:r>
      <w:r>
        <w:t xml:space="preserve">	</w:t>
      </w:r>
      <w:r>
        <w:rPr>
          <w:rFonts w:ascii="Times New Roman" w:cs="Times New Roman" w:eastAsia="Times New Roman" w:hAnsi="Times New Roman"/>
          <w:sz w:val="24"/>
          <w:szCs w:val="24"/>
        </w:rPr>
        <w:t xml:space="preserve">11</w:t>
      </w:r>
    </w:p>
    <w:p>
      <w:pPr>
        <w:tabs>
          <w:tab w:val="left" w:pos="720"/>
          <w:tab w:val="right" w:pos="9360"/>
        </w:tabs>
        <w:spacing w:after="160"/>
        <w:ind w:left="0"/>
      </w:pPr>
      <w:r>
        <w:rPr>
          <w:rFonts w:ascii="Times New Roman" w:cs="Times New Roman" w:eastAsia="Times New Roman" w:hAnsi="Times New Roman"/>
          <w:b w:val="false"/>
          <w:bCs w:val="false"/>
          <w:sz w:val="24"/>
          <w:szCs w:val="24"/>
        </w:rPr>
        <w:t xml:space="preserve">V.	</w:t>
      </w:r>
      <w:r>
        <w:rPr>
          <w:rFonts w:ascii="Times New Roman" w:cs="Times New Roman" w:eastAsia="Times New Roman" w:hAnsi="Times New Roman"/>
          <w:b w:val="false"/>
          <w:bCs w:val="false"/>
          <w:sz w:val="24"/>
          <w:szCs w:val="24"/>
        </w:rPr>
        <w:t xml:space="preserve">Purchase Requisition Procedures</w:t>
      </w:r>
      <w:r>
        <w:t xml:space="preserve">	</w:t>
      </w:r>
      <w:r>
        <w:rPr>
          <w:rFonts w:ascii="Times New Roman" w:cs="Times New Roman" w:eastAsia="Times New Roman" w:hAnsi="Times New Roman"/>
          <w:sz w:val="24"/>
          <w:szCs w:val="24"/>
        </w:rPr>
        <w:t xml:space="preserve">13</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A.        Purchase Requisitions</w:t>
      </w:r>
      <w:r>
        <w:t xml:space="preserve">	</w:t>
      </w:r>
      <w:r>
        <w:rPr>
          <w:rFonts w:ascii="Times New Roman" w:cs="Times New Roman" w:eastAsia="Times New Roman" w:hAnsi="Times New Roman"/>
          <w:sz w:val="24"/>
          <w:szCs w:val="24"/>
        </w:rPr>
        <w:t xml:space="preserve">13</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B.        Procurement Planning</w:t>
      </w:r>
      <w:r>
        <w:t xml:space="preserve">	</w:t>
      </w:r>
      <w:r>
        <w:rPr>
          <w:rFonts w:ascii="Times New Roman" w:cs="Times New Roman" w:eastAsia="Times New Roman" w:hAnsi="Times New Roman"/>
          <w:sz w:val="24"/>
          <w:szCs w:val="24"/>
        </w:rPr>
        <w:t xml:space="preserve">13</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C.        Specifications</w:t>
      </w:r>
      <w:r>
        <w:t xml:space="preserve">	</w:t>
      </w:r>
      <w:r>
        <w:rPr>
          <w:rFonts w:ascii="Times New Roman" w:cs="Times New Roman" w:eastAsia="Times New Roman" w:hAnsi="Times New Roman"/>
          <w:sz w:val="24"/>
          <w:szCs w:val="24"/>
        </w:rPr>
        <w:t xml:space="preserve">13</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D.        Capital Equipment</w:t>
      </w:r>
      <w:r>
        <w:t xml:space="preserve">	</w:t>
      </w:r>
      <w:r>
        <w:rPr>
          <w:rFonts w:ascii="Times New Roman" w:cs="Times New Roman" w:eastAsia="Times New Roman" w:hAnsi="Times New Roman"/>
          <w:sz w:val="24"/>
          <w:szCs w:val="24"/>
        </w:rPr>
        <w:t xml:space="preserve">13</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E.        Order Splitting</w:t>
      </w:r>
      <w:r>
        <w:t xml:space="preserve">	</w:t>
      </w:r>
      <w:r>
        <w:rPr>
          <w:rFonts w:ascii="Times New Roman" w:cs="Times New Roman" w:eastAsia="Times New Roman" w:hAnsi="Times New Roman"/>
          <w:sz w:val="24"/>
          <w:szCs w:val="24"/>
        </w:rPr>
        <w:t xml:space="preserve">13</w:t>
      </w:r>
    </w:p>
    <w:p>
      <w:pPr>
        <w:tabs>
          <w:tab w:val="left" w:pos="720"/>
          <w:tab w:val="right" w:pos="9360"/>
        </w:tabs>
        <w:spacing w:after="160"/>
        <w:ind w:left="0"/>
      </w:pPr>
      <w:r>
        <w:rPr>
          <w:rFonts w:ascii="Times New Roman" w:cs="Times New Roman" w:eastAsia="Times New Roman" w:hAnsi="Times New Roman"/>
          <w:b w:val="false"/>
          <w:bCs w:val="false"/>
          <w:sz w:val="24"/>
          <w:szCs w:val="24"/>
        </w:rPr>
        <w:t xml:space="preserve">VI.	</w:t>
      </w:r>
      <w:r>
        <w:rPr>
          <w:rFonts w:ascii="Times New Roman" w:cs="Times New Roman" w:eastAsia="Times New Roman" w:hAnsi="Times New Roman"/>
          <w:b w:val="false"/>
          <w:bCs w:val="false"/>
          <w:sz w:val="24"/>
          <w:szCs w:val="24"/>
        </w:rPr>
        <w:t xml:space="preserve">Vendor Relations</w:t>
      </w:r>
      <w:r>
        <w:t xml:space="preserve">	</w:t>
      </w:r>
      <w:r>
        <w:rPr>
          <w:rFonts w:ascii="Times New Roman" w:cs="Times New Roman" w:eastAsia="Times New Roman" w:hAnsi="Times New Roman"/>
          <w:sz w:val="24"/>
          <w:szCs w:val="24"/>
        </w:rPr>
        <w:t xml:space="preserve">14</w:t>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A.        Conflict of Interest</w:t>
      </w:r>
      <w:r>
        <w:t xml:space="preserve">	</w:t>
      </w:r>
      <w:r>
        <w:rPr>
          <w:rFonts w:ascii="Times New Roman" w:cs="Times New Roman" w:eastAsia="Times New Roman" w:hAnsi="Times New Roman"/>
          <w:sz w:val="24"/>
          <w:szCs w:val="24"/>
        </w:rPr>
        <w:t xml:space="preserve">14</w:t>
      </w:r>
    </w:p>
    <w:p>
      <w:pPr>
        <w:tabs>
          <w:tab w:val="left" w:pos="720"/>
          <w:tab w:val="right" w:pos="9360"/>
        </w:tabs>
        <w:spacing w:after="160"/>
        <w:ind w:left="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Appendices</w:t>
      </w:r>
      <w:r>
        <w:t xml:space="preserve">	</w:t>
      </w:r>
      <w:r>
        <w:rPr>
          <w:rFonts w:ascii="Times New Roman" w:cs="Times New Roman" w:eastAsia="Times New Roman" w:hAnsi="Times New Roman"/>
          <w:sz w:val="24"/>
          <w:szCs w:val="24"/>
        </w:rPr>
        <w:t xml:space="preserve"/>
      </w:r>
    </w:p>
    <w:p>
      <w:pPr>
        <w:tabs>
          <w:tab w:val="left" w:pos="1440"/>
          <w:tab w:val="right" w:pos="9360"/>
        </w:tabs>
        <w:spacing w:after="160"/>
        <w:ind w:left="720"/>
      </w:pP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val="false"/>
          <w:bCs w:val="false"/>
          <w:sz w:val="24"/>
          <w:szCs w:val="24"/>
        </w:rPr>
        <w:t xml:space="preserve">A.        Debarment and Suspension</w:t>
      </w:r>
      <w:r>
        <w:t xml:space="preserve">	</w:t>
      </w:r>
      <w:r>
        <w:rPr>
          <w:rFonts w:ascii="Times New Roman" w:cs="Times New Roman" w:eastAsia="Times New Roman" w:hAnsi="Times New Roman"/>
          <w:sz w:val="24"/>
          <w:szCs w:val="24"/>
        </w:rPr>
        <w:t xml:space="preserve">15</w:t>
      </w:r>
    </w:p>
    <w:p>
      <w:pPr>
        <w:keepNext w:val="false"/>
        <w:pageBreakBefore/>
        <w:spacing w:after="300" w:before="0"/>
        <w:jc w:val="center"/>
      </w:pPr>
      <w:r>
        <w:rPr>
          <w:rFonts w:ascii="Times New Roman" w:cs="Times New Roman" w:eastAsia="Times New Roman" w:hAnsi="Times New Roman"/>
          <w:b w:val="false"/>
          <w:bCs w:val="false"/>
          <w:i w:val="false"/>
          <w:iCs w:val="false"/>
          <w:sz w:val="26"/>
          <w:szCs w:val="26"/>
        </w:rPr>
        <w:t xml:space="preserve">Administrative Policies – Procurement</w:t>
      </w:r>
    </w:p>
    <w:p>
      <w:pPr>
        <w:keepNext w:val="false"/>
        <w:spacing w:after="200" w:before="0"/>
        <w:jc w:val="left"/>
      </w:pPr>
      <w:r>
        <w:rPr>
          <w:rFonts w:ascii="Times New Roman" w:cs="Times New Roman" w:eastAsia="Times New Roman" w:hAnsi="Times New Roman"/>
          <w:b w:val="false"/>
          <w:bCs w:val="false"/>
          <w:i w:val="false"/>
          <w:iCs w:val="false"/>
          <w:sz w:val="24"/>
          <w:szCs w:val="24"/>
        </w:rPr>
        <w:t xml:space="preserve">The Administrative Policies governing Procurement can be found on the Westminster Public Schools website.</w:t>
      </w:r>
    </w:p>
    <w:p>
      <w:pPr>
        <w:tabs>
          <w:tab w:val="left" w:pos="720"/>
        </w:tabs>
        <w:spacing w:after="10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DJ – Purchasing</w:t>
      </w:r>
    </w:p>
    <w:p>
      <w:pPr>
        <w:tabs>
          <w:tab w:val="left" w:pos="720"/>
        </w:tabs>
        <w:spacing w:after="10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DJ-A – Purchasing Authority</w:t>
      </w:r>
    </w:p>
    <w:p>
      <w:pPr>
        <w:tabs>
          <w:tab w:val="left" w:pos="720"/>
        </w:tabs>
        <w:spacing w:after="10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DJE – Bidding Procedures</w:t>
      </w:r>
    </w:p>
    <w:p>
      <w:pPr>
        <w:tabs>
          <w:tab w:val="left" w:pos="720"/>
        </w:tabs>
        <w:spacing w:after="10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DJ-R – Purchasing Procedures</w:t>
      </w:r>
    </w:p>
    <w:p>
      <w:pPr>
        <w:tabs>
          <w:tab w:val="left" w:pos="720"/>
        </w:tabs>
        <w:spacing w:after="10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DJ-1-R – Purchasing Solicitation Guidelines</w:t>
      </w:r>
    </w:p>
    <w:p>
      <w:pPr>
        <w:tabs>
          <w:tab w:val="left" w:pos="720"/>
        </w:tabs>
        <w:spacing w:after="10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DJG/DJGA – Vendor Relations</w:t>
      </w:r>
    </w:p>
    <w:p>
      <w:pPr>
        <w:tabs>
          <w:tab w:val="left" w:pos="720"/>
        </w:tabs>
        <w:spacing w:after="10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DN – School Properties Disposal</w:t>
      </w:r>
    </w:p>
    <w:p>
      <w:pPr>
        <w:tabs>
          <w:tab w:val="left" w:pos="720"/>
        </w:tabs>
        <w:spacing w:after="10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DN-R – School Properties Disposal Procedures</w:t>
      </w:r>
    </w:p>
    <w:p>
      <w:pPr>
        <w:tabs>
          <w:tab w:val="left" w:pos="720"/>
        </w:tabs>
        <w:spacing w:after="100"/>
        <w:ind w:left="720" w:hanging="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GBEA – Staff Conflicts of Interest</w:t>
      </w:r>
    </w:p>
    <w:p>
      <w:pPr>
        <w:sectPr>
          <w:headerReference w:type="default" r:id="rId9"/>
          <w:headerReference w:type="first" r:id="rId10"/>
          <w:footerReference w:type="default" r:id="rId11"/>
          <w:footerReference w:type="first" r:id="rId12"/>
          <w:type w:val="nextPage"/>
          <w:pgSz w:w="12240" w:h="15840" w:orient="portrait"/>
          <w:pgMar w:top="1440" w:right="1440" w:bottom="1440" w:left="1440" w:header="708" w:footer="708" w:gutter="0"/>
          <w:pgNumType w:start="1" w:fmt="lowerRoman"/>
          <w:titlePg/>
          <w:docGrid w:linePitch="360"/>
        </w:sectPr>
      </w:pPr>
    </w:p>
    <w:p>
      <w:pPr>
        <w:spacing w:after="240" w:before="0"/>
        <w:jc w:val="center"/>
      </w:pPr>
      <w:r>
        <w:rPr>
          <w:rFonts w:ascii="Times New Roman" w:cs="Times New Roman" w:eastAsia="Times New Roman" w:hAnsi="Times New Roman"/>
          <w:b/>
          <w:bCs/>
          <w:sz w:val="24"/>
          <w:szCs w:val="24"/>
        </w:rPr>
        <w:t xml:space="preserve">I. INTRODUCTION</w:t>
      </w:r>
    </w:p>
    <w:p>
      <w:pPr>
        <w:tabs>
          <w:tab w:val="left" w:pos="720"/>
        </w:tabs>
        <w:spacing w:after="140" w:before="0"/>
        <w:ind w:left="0"/>
      </w:pPr>
      <w:r>
        <w:rPr>
          <w:rFonts w:ascii="Times New Roman" w:cs="Times New Roman" w:eastAsia="Times New Roman" w:hAnsi="Times New Roman"/>
          <w:b/>
          <w:bCs/>
          <w:sz w:val="24"/>
          <w:szCs w:val="24"/>
        </w:rPr>
        <w:t xml:space="preserve">A.	INTRODUCTION</w:t>
      </w:r>
    </w:p>
    <w:p>
      <w:pPr>
        <w:keepNext w:val="false"/>
        <w:spacing w:after="140" w:before="0"/>
        <w:ind w:left="720"/>
        <w:jc w:val="both"/>
      </w:pPr>
      <w:r>
        <w:rPr>
          <w:rFonts w:ascii="Times New Roman" w:cs="Times New Roman" w:eastAsia="Times New Roman" w:hAnsi="Times New Roman"/>
          <w:b w:val="false"/>
          <w:bCs w:val="false"/>
          <w:i/>
          <w:iCs/>
          <w:sz w:val="24"/>
          <w:szCs w:val="24"/>
        </w:rPr>
        <w:t xml:space="preserve">The Logistics (Procurement) Department is a support service for Westminster Public School District, hereafter referred to as WPS.  The function of this department is to acquire the many routine and different products and services this educational institution must have to operate and educate today’s children.  Obtaining the proper products at the right price, in the right quantity and quality, from the right source, on time, and in compliance with all legal requirements, administrative policies, and ethical practices is our daily challenge.</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A professionally managed central procurement department adds to the effectiveness of every school and department and to the quality of the service provided by our district by allowing teachers and others to do what they do best, while leaving procurement in the hands of trained professionals.  The vast number of goods and services required by the District provides the Logistics (Procurement) Department with the opportunity to meet your needs and serve you.  While it is an impossible task to know every product, the resources are available to permit us to provide the product or services required.</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District staff members are invited to contact our office at any time with questions, concerns, and suggestions.  Staff is urged to contact us early with needs so we may guide them in the right choice of vendor and product before it is a crisis.  This will help to expedite the process and ultimate receipt of goods and services.  It is impossible to address every procurement situation in this manual, therefore, please call us at 303-428-3535 for assistance.</w:t>
      </w:r>
    </w:p>
    <w:p>
      <w:pPr>
        <w:tabs>
          <w:tab w:val="left" w:pos="720"/>
        </w:tabs>
        <w:spacing w:after="140" w:before="0"/>
        <w:ind w:left="0"/>
      </w:pPr>
      <w:r>
        <w:rPr>
          <w:rFonts w:ascii="Times New Roman" w:cs="Times New Roman" w:eastAsia="Times New Roman" w:hAnsi="Times New Roman"/>
          <w:b/>
          <w:bCs/>
          <w:sz w:val="24"/>
          <w:szCs w:val="24"/>
        </w:rPr>
        <w:t xml:space="preserve">B.	BACKGROUND</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Public Procurement embraces a fundamental obligation to the general public to ensure that procurements are accomplished in accordance with the intent of the laws and administrative policies.  Competition is sought to the maximum feasible degree.  When conducted fairly and honestly, competitive procurement does not guarantee a preferred brand or vendor will be selected; instead it will provide the best value procurement.</w:t>
      </w:r>
    </w:p>
    <w:p>
      <w:pPr>
        <w:tabs>
          <w:tab w:val="left" w:pos="720"/>
        </w:tabs>
        <w:spacing w:after="140" w:before="0"/>
        <w:ind w:left="0"/>
      </w:pPr>
      <w:r>
        <w:rPr>
          <w:rFonts w:ascii="Times New Roman" w:cs="Times New Roman" w:eastAsia="Times New Roman" w:hAnsi="Times New Roman"/>
          <w:b/>
          <w:bCs/>
          <w:sz w:val="24"/>
          <w:szCs w:val="24"/>
        </w:rPr>
        <w:t xml:space="preserve">C.	PURPOSE</w:t>
      </w:r>
    </w:p>
    <w:p>
      <w:pPr>
        <w:keepNext w:val="false"/>
        <w:spacing w:after="140" w:before="0"/>
        <w:ind w:left="720"/>
        <w:jc w:val="left"/>
      </w:pPr>
      <w:r>
        <w:rPr>
          <w:rFonts w:ascii="Times New Roman" w:cs="Times New Roman" w:eastAsia="Times New Roman" w:hAnsi="Times New Roman"/>
          <w:b w:val="false"/>
          <w:bCs w:val="false"/>
          <w:i w:val="false"/>
          <w:iCs w:val="false"/>
          <w:sz w:val="24"/>
          <w:szCs w:val="24"/>
        </w:rPr>
        <w:t xml:space="preserve">The purpose of this manual is:</w:t>
      </w:r>
    </w:p>
    <w:p>
      <w:pPr>
        <w:tabs>
          <w:tab w:val="left" w:pos="1440"/>
        </w:tabs>
        <w:spacing w:after="140"/>
        <w:ind w:left="14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inform all WPS personnel of the District’s procurement policies and objectives.</w:t>
      </w:r>
    </w:p>
    <w:p>
      <w:pPr>
        <w:tabs>
          <w:tab w:val="left" w:pos="1440"/>
        </w:tabs>
        <w:spacing w:after="140"/>
        <w:ind w:left="14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outline practices, principals and procedures to be followed in the performance of the procurement function.</w:t>
      </w:r>
    </w:p>
    <w:p>
      <w:pPr>
        <w:tabs>
          <w:tab w:val="left" w:pos="1440"/>
        </w:tabs>
        <w:spacing w:after="140"/>
        <w:ind w:left="14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acquaint personnel of WPS with the purpose and functions of the Logistics Department.</w:t>
      </w:r>
    </w:p>
    <w:p>
      <w:pPr>
        <w:tabs>
          <w:tab w:val="left" w:pos="1440"/>
        </w:tabs>
        <w:spacing w:after="140"/>
        <w:ind w:left="14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To ensure standardization in procurement practices and procedures.</w:t>
      </w:r>
    </w:p>
    <w:p>
      <w:pPr>
        <w:pageBreakBefore/>
        <w:spacing w:after="240" w:before="0"/>
        <w:jc w:val="center"/>
      </w:pPr>
      <w:r>
        <w:rPr>
          <w:rFonts w:ascii="Times New Roman" w:cs="Times New Roman" w:eastAsia="Times New Roman" w:hAnsi="Times New Roman"/>
          <w:b/>
          <w:bCs/>
          <w:sz w:val="24"/>
          <w:szCs w:val="24"/>
        </w:rPr>
        <w:t xml:space="preserve">I. INTRODUCTION (Continued)</w:t>
      </w:r>
    </w:p>
    <w:p>
      <w:pPr>
        <w:tabs>
          <w:tab w:val="left" w:pos="720"/>
        </w:tabs>
        <w:spacing w:after="140" w:before="0"/>
        <w:ind w:left="0"/>
      </w:pPr>
      <w:r>
        <w:rPr>
          <w:rFonts w:ascii="Times New Roman" w:cs="Times New Roman" w:eastAsia="Times New Roman" w:hAnsi="Times New Roman"/>
          <w:b/>
          <w:bCs/>
          <w:sz w:val="24"/>
          <w:szCs w:val="24"/>
        </w:rPr>
        <w:t xml:space="preserve">D.	SCOPE</w:t>
      </w:r>
    </w:p>
    <w:p>
      <w:pPr>
        <w:keepNext w:val="false"/>
        <w:spacing w:after="140" w:before="0"/>
        <w:ind w:left="720"/>
        <w:jc w:val="left"/>
      </w:pPr>
      <w:r>
        <w:rPr>
          <w:rFonts w:ascii="Times New Roman" w:cs="Times New Roman" w:eastAsia="Times New Roman" w:hAnsi="Times New Roman"/>
          <w:b w:val="false"/>
          <w:bCs w:val="false"/>
          <w:i w:val="false"/>
          <w:iCs w:val="false"/>
          <w:sz w:val="24"/>
          <w:szCs w:val="24"/>
        </w:rPr>
        <w:t xml:space="preserve">The scope of the WPS Logistics (Procurement) Policies and Procedures Manual includes:</w:t>
      </w:r>
    </w:p>
    <w:p>
      <w:pPr>
        <w:tabs>
          <w:tab w:val="left" w:pos="1440"/>
        </w:tabs>
        <w:spacing w:after="140"/>
        <w:ind w:left="14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The acquisition of goods, services, and equipment involving WPS funds allocated by the Board of Education, hereafter referred to as BOE:</w:t>
      </w:r>
    </w:p>
    <w:p>
      <w:pPr>
        <w:tabs>
          <w:tab w:val="left" w:pos="2160"/>
        </w:tabs>
        <w:spacing w:after="140"/>
        <w:ind w:left="216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General Fund</w:t>
      </w:r>
    </w:p>
    <w:p>
      <w:pPr>
        <w:tabs>
          <w:tab w:val="left" w:pos="2160"/>
        </w:tabs>
        <w:spacing w:after="140"/>
        <w:ind w:left="216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Capital Reserve Fund</w:t>
      </w:r>
    </w:p>
    <w:p>
      <w:pPr>
        <w:tabs>
          <w:tab w:val="left" w:pos="2160"/>
        </w:tabs>
        <w:spacing w:after="140"/>
        <w:ind w:left="216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Federal Grant Funds</w:t>
      </w:r>
    </w:p>
    <w:p>
      <w:pPr>
        <w:tabs>
          <w:tab w:val="left" w:pos="2160"/>
        </w:tabs>
        <w:spacing w:after="140"/>
        <w:ind w:left="216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State Grant Funds</w:t>
      </w:r>
    </w:p>
    <w:p>
      <w:pPr>
        <w:tabs>
          <w:tab w:val="left" w:pos="2160"/>
        </w:tabs>
        <w:spacing w:after="140"/>
        <w:ind w:left="2160" w:hanging="36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Purchases supported by parent groups, community groups, special interest booster groups when such funds are either deposited into District accounts or into school building bank accounts.</w:t>
      </w:r>
    </w:p>
    <w:p>
      <w:pPr>
        <w:tabs>
          <w:tab w:val="left" w:pos="1440"/>
        </w:tabs>
        <w:spacing w:after="140"/>
        <w:ind w:left="14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The acquisition of goods, services, and equipment involving non-District funds when funds are deposited into WPS accounts, and therefore, become the responsibility of WPS.</w:t>
      </w:r>
    </w:p>
    <w:p>
      <w:pPr>
        <w:keepNext w:val="false"/>
        <w:spacing w:after="140" w:before="0"/>
        <w:ind w:left="1440"/>
        <w:jc w:val="both"/>
      </w:pPr>
      <w:r>
        <w:rPr>
          <w:rFonts w:ascii="Times New Roman" w:cs="Times New Roman" w:eastAsia="Times New Roman" w:hAnsi="Times New Roman"/>
          <w:b w:val="false"/>
          <w:bCs w:val="false"/>
          <w:i w:val="false"/>
          <w:iCs w:val="false"/>
          <w:sz w:val="24"/>
          <w:szCs w:val="24"/>
        </w:rPr>
        <w:t xml:space="preserve">The scope of the Logistics/Procurement Procedures Manual does not include the procurement of services for new construction, land surveying, and architect-engineering; as the procurement regulations for such series have been identified in a separate policy adopted by the BOE.  Notwithstanding, such services shall be governed by sound public procurement principles including, but not limited to: competitive bidding or negotiations; equal access to the bid process by all interested, qualified bidders; bid requirements that stimulate competition; and equity and fairness in the award of contracts.  Other professional services, as determined by the BOE, may not fall within the purview of the WPS Logistics/Procurement Procedures Manual.</w:t>
      </w:r>
    </w:p>
    <w:p>
      <w:pPr>
        <w:tabs>
          <w:tab w:val="left" w:pos="720"/>
        </w:tabs>
        <w:spacing w:after="140" w:before="0"/>
        <w:ind w:left="0"/>
      </w:pPr>
      <w:r>
        <w:rPr>
          <w:rFonts w:ascii="Times New Roman" w:cs="Times New Roman" w:eastAsia="Times New Roman" w:hAnsi="Times New Roman"/>
          <w:b/>
          <w:bCs/>
          <w:sz w:val="24"/>
          <w:szCs w:val="24"/>
        </w:rPr>
        <w:t xml:space="preserve">E.	MISSION</w:t>
      </w:r>
    </w:p>
    <w:p>
      <w:pPr>
        <w:keepNext w:val="false"/>
        <w:spacing w:after="140" w:before="0"/>
        <w:ind w:left="720"/>
        <w:jc w:val="left"/>
      </w:pPr>
      <w:r>
        <w:rPr>
          <w:rFonts w:ascii="Times New Roman" w:cs="Times New Roman" w:eastAsia="Times New Roman" w:hAnsi="Times New Roman"/>
          <w:b w:val="false"/>
          <w:bCs w:val="false"/>
          <w:i w:val="false"/>
          <w:iCs w:val="false"/>
          <w:sz w:val="24"/>
          <w:szCs w:val="24"/>
        </w:rPr>
        <w:t xml:space="preserve">Providing Today’s Materials and Services for the Education of Tomorrow’s Leaders.</w:t>
      </w:r>
    </w:p>
    <w:p>
      <w:pPr>
        <w:tabs>
          <w:tab w:val="left" w:pos="720"/>
        </w:tabs>
        <w:spacing w:after="140" w:before="0"/>
        <w:ind w:left="0"/>
      </w:pPr>
      <w:r>
        <w:rPr>
          <w:rFonts w:ascii="Times New Roman" w:cs="Times New Roman" w:eastAsia="Times New Roman" w:hAnsi="Times New Roman"/>
          <w:b/>
          <w:bCs/>
          <w:sz w:val="24"/>
          <w:szCs w:val="24"/>
        </w:rPr>
        <w:t xml:space="preserve">F.	GOALS</w:t>
      </w:r>
    </w:p>
    <w:p>
      <w:pPr>
        <w:keepNext w:val="false"/>
        <w:spacing w:after="140" w:before="0"/>
        <w:ind w:left="720"/>
        <w:jc w:val="left"/>
      </w:pPr>
      <w:r>
        <w:rPr>
          <w:rFonts w:ascii="Times New Roman" w:cs="Times New Roman" w:eastAsia="Times New Roman" w:hAnsi="Times New Roman"/>
          <w:b w:val="false"/>
          <w:bCs w:val="false"/>
          <w:i w:val="false"/>
          <w:iCs w:val="false"/>
          <w:sz w:val="24"/>
          <w:szCs w:val="24"/>
        </w:rPr>
        <w:t xml:space="preserve">The goals of the Logistics (Procurement) Department are to:</w:t>
      </w:r>
    </w:p>
    <w:p>
      <w:pPr>
        <w:tabs>
          <w:tab w:val="left" w:pos="1440"/>
        </w:tabs>
        <w:spacing w:after="140"/>
        <w:ind w:left="14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Purchase the proper goods and services for a specific need.</w:t>
      </w:r>
    </w:p>
    <w:p>
      <w:pPr>
        <w:tabs>
          <w:tab w:val="left" w:pos="1440"/>
        </w:tabs>
        <w:spacing w:after="140"/>
        <w:ind w:left="14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Get the best possible price for goods and services.</w:t>
      </w:r>
    </w:p>
    <w:p>
      <w:pPr>
        <w:tabs>
          <w:tab w:val="left" w:pos="1440"/>
        </w:tabs>
        <w:spacing w:after="140"/>
        <w:ind w:left="14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Have the goods or services available where and when needed.</w:t>
      </w:r>
    </w:p>
    <w:p>
      <w:pPr>
        <w:tabs>
          <w:tab w:val="left" w:pos="1440"/>
        </w:tabs>
        <w:spacing w:after="140"/>
        <w:ind w:left="14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Assure a continuing supply of needed goods and services.</w:t>
      </w:r>
    </w:p>
    <w:p>
      <w:pPr>
        <w:tabs>
          <w:tab w:val="left" w:pos="1440"/>
        </w:tabs>
        <w:spacing w:after="140"/>
        <w:ind w:left="14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Assure responsible bidders are given a fair opportunity to compete for the District’s business.</w:t>
      </w:r>
    </w:p>
    <w:p>
      <w:pPr>
        <w:tabs>
          <w:tab w:val="left" w:pos="1440"/>
        </w:tabs>
        <w:spacing w:after="140"/>
        <w:ind w:left="14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Ensure the best value is received for the public dollar.</w:t>
      </w:r>
    </w:p>
    <w:p>
      <w:pPr>
        <w:pageBreakBefore/>
        <w:spacing w:after="240" w:before="0"/>
        <w:jc w:val="center"/>
      </w:pPr>
      <w:r>
        <w:rPr>
          <w:rFonts w:ascii="Times New Roman" w:cs="Times New Roman" w:eastAsia="Times New Roman" w:hAnsi="Times New Roman"/>
          <w:b/>
          <w:bCs/>
          <w:sz w:val="24"/>
          <w:szCs w:val="24"/>
        </w:rPr>
        <w:t xml:space="preserve">I. INTRODUCTION (Continued)</w:t>
      </w:r>
    </w:p>
    <w:p>
      <w:pPr>
        <w:tabs>
          <w:tab w:val="left" w:pos="720"/>
        </w:tabs>
        <w:spacing w:after="140" w:before="0"/>
        <w:ind w:left="0"/>
      </w:pPr>
      <w:r>
        <w:rPr>
          <w:rFonts w:ascii="Times New Roman" w:cs="Times New Roman" w:eastAsia="Times New Roman" w:hAnsi="Times New Roman"/>
          <w:b/>
          <w:bCs/>
          <w:sz w:val="24"/>
          <w:szCs w:val="24"/>
        </w:rPr>
        <w:t xml:space="preserve">G.	PRINCIPLES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The Logistics (Procurement) Department strives to operate as effectively and efficiently as possible by applying the following principles.</w:t>
      </w:r>
    </w:p>
    <w:p>
      <w:pPr>
        <w:tabs>
          <w:tab w:val="left" w:pos="1440"/>
        </w:tabs>
        <w:spacing w:after="140"/>
        <w:ind w:left="14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Centralize the procurement authority.</w:t>
      </w:r>
    </w:p>
    <w:p>
      <w:pPr>
        <w:tabs>
          <w:tab w:val="left" w:pos="1440"/>
        </w:tabs>
        <w:spacing w:after="140"/>
        <w:ind w:left="14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Establish written procurement policies and procedures which are adopted by the BOE.</w:t>
      </w:r>
    </w:p>
    <w:p>
      <w:pPr>
        <w:tabs>
          <w:tab w:val="left" w:pos="1440"/>
        </w:tabs>
        <w:spacing w:after="140"/>
        <w:ind w:left="14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Ensure that procurement practices are consistent with policies, procedures, goals, and supports the District Strategic Plan.</w:t>
      </w:r>
    </w:p>
    <w:p>
      <w:pPr>
        <w:tabs>
          <w:tab w:val="left" w:pos="1440"/>
        </w:tabs>
        <w:spacing w:after="140"/>
        <w:ind w:left="14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Consolidate purchases of like or similar items to take advantage of volume purchase discounts whenever possible.</w:t>
      </w:r>
    </w:p>
    <w:p>
      <w:pPr>
        <w:tabs>
          <w:tab w:val="left" w:pos="1440"/>
        </w:tabs>
        <w:spacing w:after="140"/>
        <w:ind w:left="14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Standardize specifications for commonly used items.</w:t>
      </w:r>
    </w:p>
    <w:p>
      <w:pPr>
        <w:tabs>
          <w:tab w:val="left" w:pos="1440"/>
        </w:tabs>
        <w:spacing w:after="140"/>
        <w:ind w:left="14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Implement procedures to require requisitions and authorizations of all purchases of goods and services prior to procurement.</w:t>
      </w:r>
    </w:p>
    <w:p>
      <w:pPr>
        <w:tabs>
          <w:tab w:val="left" w:pos="720"/>
        </w:tabs>
        <w:spacing w:after="140" w:before="0"/>
        <w:ind w:left="0"/>
      </w:pPr>
      <w:r>
        <w:rPr>
          <w:rFonts w:ascii="Times New Roman" w:cs="Times New Roman" w:eastAsia="Times New Roman" w:hAnsi="Times New Roman"/>
          <w:b/>
          <w:bCs/>
          <w:sz w:val="24"/>
          <w:szCs w:val="24"/>
        </w:rPr>
        <w:t xml:space="preserve">H.	ETHICS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The District adheres to the highest ethical standards for all employees.  The District’s Logistic (Procurement) Department has adopted the following National Institute of Governmental Purchasing (NIGP) Code of Ethics.  Accordingly:</w:t>
      </w:r>
    </w:p>
    <w:p>
      <w:pPr>
        <w:tabs>
          <w:tab w:val="left" w:pos="1440"/>
        </w:tabs>
        <w:spacing w:after="140"/>
        <w:ind w:left="14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No employee of the District shall solicit vendors for a gift or financial contribution that will be applied to personal use.</w:t>
      </w:r>
    </w:p>
    <w:p>
      <w:pPr>
        <w:tabs>
          <w:tab w:val="left" w:pos="1440"/>
        </w:tabs>
        <w:spacing w:after="140"/>
        <w:ind w:left="14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No employee of the District shall barter, trade, exchange or otherwise sell supplies, materials, equipment or services to the District except by specific approval of the BOE.</w:t>
      </w:r>
    </w:p>
    <w:p>
      <w:pPr>
        <w:pageBreakBefore/>
        <w:spacing w:after="240" w:before="0"/>
        <w:jc w:val="center"/>
      </w:pPr>
      <w:r>
        <w:rPr>
          <w:rFonts w:ascii="Times New Roman" w:cs="Times New Roman" w:eastAsia="Times New Roman" w:hAnsi="Times New Roman"/>
          <w:b/>
          <w:bCs/>
          <w:sz w:val="24"/>
          <w:szCs w:val="24"/>
        </w:rPr>
        <w:t xml:space="preserve">I. INTRODUCTION (Continued)</w:t>
      </w:r>
    </w:p>
    <w:p>
      <w:pPr>
        <w:tabs>
          <w:tab w:val="left" w:pos="720"/>
        </w:tabs>
        <w:spacing w:after="140" w:before="0"/>
        <w:ind w:left="0"/>
      </w:pPr>
      <w:r>
        <w:rPr>
          <w:rFonts w:ascii="Times New Roman" w:cs="Times New Roman" w:eastAsia="Times New Roman" w:hAnsi="Times New Roman"/>
          <w:b/>
          <w:bCs/>
          <w:sz w:val="24"/>
          <w:szCs w:val="24"/>
        </w:rPr>
        <w:t xml:space="preserve">I.	ETHICS DOCMENT (NIGP Code of Ethics)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The Institute believes, and it is a condition of membership, that the following ethical principles should govern the conduct of every person employed by a public sector procurement or materials management organization:</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Seeks or accepts a position as head (or employee) only when fully in accord with the professional principles applicable thereto and when confident of possessing the qualifications to serve under those principles to the advantage of the employing organization.</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Believes in the dignity and worth of the service rendered by the organization, and the societal responsibilities assumed as a trusted public servant.</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Is governed by the highest ideals of honor and integrity in all public and personal relationships in order to merit the respect and inspire the confidence of the organization and the public being served.</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Believes that personal aggrandizement or personal profit obtained through misuse of public or personal relationships is dishonest and not tolerable.</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Identifies and eliminates participation of any individual in operational situations where a conflict of interest may be involved.</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Believes that members of the Institute and its staff should at not time, or under any circumstances, accept directly or indirectly, gifts, gratuities, or other things of value from suppliers, which might influence or appear to influence purchasing decisions.</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Keeps the governmental organization informed, through appropriate channels, on problems and progress of applicable operations by emphasizing the importance of the facts.</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Resists encroachment on control of personnel in order to preserve integrity as a professional manager.</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Handles all personnel matters on a merit basis, and in compliance with applicable laws prohibiting discrimination in employment on the basis of politics, religion, color national origin, disability, gender, age, pregnancy and other protected characteristics.</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Seeks or dispenses no personal favors.  Handles each administrative problem objectively and empathetically, without discrimination.</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Subscribes to and supports the professional aims and objectives of NIGP - The Institute for Public Procurement.</w:t>
      </w:r>
    </w:p>
    <w:p>
      <w:pPr>
        <w:pageBreakBefore/>
        <w:spacing w:after="240" w:before="0"/>
        <w:jc w:val="center"/>
      </w:pPr>
      <w:r>
        <w:rPr>
          <w:rFonts w:ascii="Times New Roman" w:cs="Times New Roman" w:eastAsia="Times New Roman" w:hAnsi="Times New Roman"/>
          <w:b/>
          <w:bCs/>
          <w:sz w:val="24"/>
          <w:szCs w:val="24"/>
        </w:rPr>
        <w:t xml:space="preserve">II. PROCUREMENT POLICIES</w:t>
      </w:r>
    </w:p>
    <w:p>
      <w:pPr>
        <w:tabs>
          <w:tab w:val="left" w:pos="720"/>
        </w:tabs>
        <w:spacing w:after="140" w:before="0"/>
        <w:ind w:left="0"/>
      </w:pPr>
      <w:r>
        <w:rPr>
          <w:rFonts w:ascii="Times New Roman" w:cs="Times New Roman" w:eastAsia="Times New Roman" w:hAnsi="Times New Roman"/>
          <w:b/>
          <w:bCs/>
          <w:sz w:val="24"/>
          <w:szCs w:val="24"/>
        </w:rPr>
        <w:t xml:space="preserve">A.	ADMINISTRATIVE POLICIES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The BOE believes that the best value for the tax dollar can best be achieved through consolidation of purchase requests which are coordinated through and acquired by a centralized professional staff.  Accordingly, the BOE charges the Logistics Department with the responsibility for achieving cost reductions through the administration of the District’s centralized procurement function in accordance with Board-adopted procurement policies.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These policies govern the procurement of all goods, services and equipment purchased with funds which are allocated or deposited within District accounts.</w:t>
      </w:r>
    </w:p>
    <w:p>
      <w:pPr>
        <w:tabs>
          <w:tab w:val="left" w:pos="720"/>
        </w:tabs>
        <w:spacing w:after="140" w:before="0"/>
        <w:ind w:left="0"/>
      </w:pPr>
      <w:r>
        <w:rPr>
          <w:rFonts w:ascii="Times New Roman" w:cs="Times New Roman" w:eastAsia="Times New Roman" w:hAnsi="Times New Roman"/>
          <w:b/>
          <w:bCs/>
          <w:sz w:val="24"/>
          <w:szCs w:val="24"/>
        </w:rPr>
        <w:t xml:space="preserve">B.	DEVELOPMENT, IMPLEMENTATION and ACCOUNTABILITY</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The BOE authorizes the Director of Logistics to establish a detailed internal procedures manual to specify rules, regulations, and procedures for procurement, warehousing and managing materials and equipment for the District.</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The following minimum parameters shall guide the development of the procurement procedures: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The Logistics (Procurement) Department shall provide vendors with information regarding the District’s procurement policies.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In accordance with the District’s policy concerning Small Purchases, buildings and departments may elect to directly purchase materials, supplies and services within dollar limits specified; provided that such purchases are obtained competitively when practical and do not conflict with existing District contracts.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All purchases which exceed dollar limits specified for Small Purchases shall be coordinated through the Logistics Department using appropriate methods and procedures for securing competitive prices based on dollar value parameters.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The Director of Logistics may waive the requirements of competitive bidding in the event that emergency materials, equipment and/or services must be purchased to protect the life, safety, or welfare of District employees, students or the community or to preserve the assets of the District; provided the BOE is retroactively notified of such emergency purchases.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Acceptable product and service standards shall be determined as the result of collaborative efforts which honor both the needs of the user and the value of centralized procurement.</w:t>
      </w:r>
    </w:p>
    <w:p>
      <w:pPr>
        <w:pageBreakBefore/>
        <w:spacing w:after="240" w:before="0"/>
        <w:jc w:val="center"/>
      </w:pPr>
      <w:r>
        <w:rPr>
          <w:rFonts w:ascii="Times New Roman" w:cs="Times New Roman" w:eastAsia="Times New Roman" w:hAnsi="Times New Roman"/>
          <w:b/>
          <w:bCs/>
          <w:sz w:val="24"/>
          <w:szCs w:val="24"/>
        </w:rPr>
        <w:t xml:space="preserve">II. PROCUREMENT POLICIES (Continued)</w:t>
      </w:r>
    </w:p>
    <w:p>
      <w:pPr>
        <w:tabs>
          <w:tab w:val="left" w:pos="720"/>
        </w:tabs>
        <w:spacing w:after="140" w:before="0"/>
        <w:ind w:left="0"/>
      </w:pPr>
      <w:r>
        <w:rPr>
          <w:rFonts w:ascii="Times New Roman" w:cs="Times New Roman" w:eastAsia="Times New Roman" w:hAnsi="Times New Roman"/>
          <w:b/>
          <w:bCs/>
          <w:sz w:val="24"/>
          <w:szCs w:val="24"/>
        </w:rPr>
        <w:t xml:space="preserve">B.	DEVELOPMENT, IMPLEMENTATION and ACCOUNTABILITY (Continued)</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Purchases shall be awarded by the Logistics Department through the issuance of a Purchase Order or Contract to the most responsive, responsible bidder offering the best value to the WPS, without prejudice or favor.</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Purchases shall be awarded to vendors which reside within District boundaries when all evaluation criteria find the price and product quality equal.</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Purchases shall be awarded in compliance with all applicable federal and state laws.</w:t>
      </w:r>
    </w:p>
    <w:p>
      <w:pPr>
        <w:tabs>
          <w:tab w:val="left" w:pos="1440"/>
        </w:tabs>
        <w:spacing w:after="140"/>
        <w:ind w:left="1440" w:hanging="36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Logistics (Procurement) Accountability</w:t>
      </w:r>
    </w:p>
    <w:p>
      <w:pPr>
        <w:keepNext w:val="false"/>
        <w:spacing w:after="140" w:before="0"/>
        <w:ind w:left="1440"/>
        <w:jc w:val="both"/>
      </w:pPr>
      <w:r>
        <w:rPr>
          <w:rFonts w:ascii="Times New Roman" w:cs="Times New Roman" w:eastAsia="Times New Roman" w:hAnsi="Times New Roman"/>
          <w:b w:val="false"/>
          <w:bCs w:val="false"/>
          <w:i w:val="false"/>
          <w:iCs w:val="false"/>
          <w:sz w:val="24"/>
          <w:szCs w:val="24"/>
        </w:rPr>
        <w:t xml:space="preserve">The Logistics (Procurement) Department is accountable for the following:</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Administering all District procurement policies, applicable procedures and reporting improprieties.</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Educating building/department administrators as to their responsibilities regarding procurement practices.</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Achieving cost efficiencies and savings to the fullest extent possible and for reporting information to the BOE on a periodic basis.</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Obtaining competitive bids and proposals to the fullest extent possible, and for reporting information to the BOE on a periodic basis.</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Administering all purchase orders and contracts issued by the District by monitoring vendor performance in conjunction with efforts by buildings/departments and terminating contracts for cause when poor performance is documented.</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Managing warehousing of commonly purchased/used materials and supplies when cost effective to the District.</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Managing the fixed assets and inventories of the District, including tracking, storage and disposal.</w:t>
      </w:r>
    </w:p>
    <w:p>
      <w:pPr>
        <w:pageBreakBefore/>
        <w:spacing w:after="240" w:before="0"/>
        <w:jc w:val="center"/>
      </w:pPr>
      <w:r>
        <w:rPr>
          <w:rFonts w:ascii="Times New Roman" w:cs="Times New Roman" w:eastAsia="Times New Roman" w:hAnsi="Times New Roman"/>
          <w:b/>
          <w:bCs/>
          <w:sz w:val="24"/>
          <w:szCs w:val="24"/>
        </w:rPr>
        <w:t xml:space="preserve">II. PROCUREMENT POLICIES (Continued)</w:t>
      </w:r>
    </w:p>
    <w:p>
      <w:pPr>
        <w:tabs>
          <w:tab w:val="left" w:pos="1440"/>
        </w:tabs>
        <w:spacing w:after="140"/>
        <w:ind w:left="1440" w:hanging="360"/>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Building/department Accountability</w:t>
      </w:r>
    </w:p>
    <w:p>
      <w:pPr>
        <w:keepNext w:val="false"/>
        <w:spacing w:after="140" w:before="0"/>
        <w:ind w:left="1440"/>
        <w:jc w:val="both"/>
      </w:pPr>
      <w:r>
        <w:rPr>
          <w:rFonts w:ascii="Times New Roman" w:cs="Times New Roman" w:eastAsia="Times New Roman" w:hAnsi="Times New Roman"/>
          <w:b w:val="false"/>
          <w:bCs w:val="false"/>
          <w:i w:val="false"/>
          <w:iCs w:val="false"/>
          <w:sz w:val="24"/>
          <w:szCs w:val="24"/>
        </w:rPr>
        <w:t xml:space="preserve">Building/department administrators shall be accountable for the following:</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Ensuring their employees adhere to all District procurement policies and applicable procedures.</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Ensuring that adequate planning and scheduling occurs at the building/department level to enable the Logistics Department to perform the procurement function.</w:t>
      </w:r>
    </w:p>
    <w:p>
      <w:pPr>
        <w:tabs>
          <w:tab w:val="left" w:pos="2160"/>
        </w:tabs>
        <w:spacing w:after="140"/>
        <w:ind w:left="21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Collaborating with the Director of Logistics in all contract negotiations.</w:t>
      </w:r>
    </w:p>
    <w:p>
      <w:pPr>
        <w:tabs>
          <w:tab w:val="left" w:pos="720"/>
        </w:tabs>
        <w:spacing w:after="140" w:before="0"/>
        <w:ind w:left="0"/>
      </w:pPr>
      <w:r>
        <w:rPr>
          <w:rFonts w:ascii="Times New Roman" w:cs="Times New Roman" w:eastAsia="Times New Roman" w:hAnsi="Times New Roman"/>
          <w:b/>
          <w:bCs/>
          <w:sz w:val="24"/>
          <w:szCs w:val="24"/>
        </w:rPr>
        <w:t xml:space="preserve">C.	REQUIRED PROCUREMENT SOURCES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The Logistics Department, in conjunction with Budget Holders, will cooperatively define and standardize requirements in satisfaction of building/department needs for recurring items (e.g. supplies, equipment, services, etc.).  As a result of competition, a contract may be awarded to one or more vendors, on a term basis, who completely satisfy the established quality and service requirements of the building/department.</w:t>
      </w:r>
    </w:p>
    <w:p>
      <w:pPr>
        <w:keepNext w:val="false"/>
        <w:spacing w:after="140" w:before="0"/>
        <w:ind w:left="720"/>
        <w:jc w:val="both"/>
      </w:pPr>
      <w:r>
        <w:rPr>
          <w:rFonts w:ascii="Times New Roman" w:cs="Times New Roman" w:eastAsia="Times New Roman" w:hAnsi="Times New Roman"/>
          <w:sz w:val="24"/>
          <w:szCs w:val="24"/>
        </w:rPr>
        <w:t xml:space="preserve">Benefits the building/department will receive from consolidating and standardizing similar quality requirements include more favorable prices through volume procurement; a reduction in procurement lead time and administrative effort; and receipt of consistent quality and service levels.  </w:t>
      </w:r>
      <w:r>
        <w:rPr>
          <w:rFonts w:ascii="Times New Roman" w:cs="Times New Roman" w:eastAsia="Times New Roman" w:hAnsi="Times New Roman"/>
          <w:i/>
          <w:iCs/>
          <w:sz w:val="24"/>
          <w:szCs w:val="24"/>
        </w:rPr>
        <w:t xml:space="preserve">If an item is available from one of these required procurement sources, buildings/departments do not have the authority to purchase this item elsewhere.</w:t>
      </w:r>
      <w:r>
        <w:rPr>
          <w:rFonts w:ascii="Times New Roman" w:cs="Times New Roman" w:eastAsia="Times New Roman" w:hAnsi="Times New Roman"/>
          <w:sz w:val="24"/>
          <w:szCs w:val="24"/>
        </w:rPr>
        <w:t xml:space="preserve">  However, the Director of Logistics may approve exceptions on a case-by-case basis when customer requirements differ and/or cannot be satisfied through existing contracts.</w:t>
      </w:r>
    </w:p>
    <w:p>
      <w:pPr>
        <w:tabs>
          <w:tab w:val="left" w:pos="720"/>
        </w:tabs>
        <w:spacing w:after="140" w:before="0"/>
        <w:ind w:left="0"/>
      </w:pPr>
      <w:r>
        <w:rPr>
          <w:rFonts w:ascii="Times New Roman" w:cs="Times New Roman" w:eastAsia="Times New Roman" w:hAnsi="Times New Roman"/>
          <w:b/>
          <w:bCs/>
          <w:sz w:val="24"/>
          <w:szCs w:val="24"/>
        </w:rPr>
        <w:t xml:space="preserve">D.	COOPERATIVE PROCUREMENT</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The Director of Logistics (Procurement) or designee for the District shall have the authority to join with other School Districts, the State of Colorado, or other units of government in cooperative procurement plans when such procurement is in the best interest of this District.  Competitive sealed bids or sealed proposals received by any other governmental agency or school district shall be the equivalent of bids or proposals received by this District and may be the basis for the purchase (of goods and services) by this District.</w:t>
      </w:r>
    </w:p>
    <w:p>
      <w:pPr>
        <w:pageBreakBefore/>
        <w:spacing w:after="140"/>
        <w:jc w:val="center"/>
      </w:pPr>
      <w:r>
        <w:rPr>
          <w:rFonts w:ascii="Times New Roman" w:cs="Times New Roman" w:eastAsia="Times New Roman" w:hAnsi="Times New Roman"/>
          <w:b/>
          <w:bCs/>
          <w:sz w:val="24"/>
          <w:szCs w:val="24"/>
        </w:rPr>
        <w:t xml:space="preserve">III.</w:t>
      </w:r>
      <w:r>
        <w:rPr>
          <w:rFonts w:ascii="Times New Roman" w:cs="Times New Roman" w:eastAsia="Times New Roman" w:hAnsi="Times New Roman"/>
          <w:b/>
          <w:bCs/>
          <w:sz w:val="24"/>
          <w:szCs w:val="24"/>
        </w:rPr>
        <w:t xml:space="preserve"> LOGISTICS ORGANIZATIONAL STRUCTURE</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The Logistics Department consists of one (1) Executive Director, two (2) Administrative Assistants, one (1) Buyer and one (1) Materials Management Lead assigned to the responsibility to assist all schools and departments in the purchase of goods and services.</w:t>
      </w:r>
    </w:p>
    <w:p>
      <w:pPr>
        <w:keepNext w:val="false"/>
        <w:spacing w:after="300" w:before="200"/>
        <w:jc w:val="center"/>
      </w:pPr>
      <w:r>
        <w:rPr>
          <w:rFonts w:ascii="Times New Roman" w:cs="Times New Roman" w:eastAsia="Times New Roman" w:hAnsi="Times New Roman"/>
          <w:b/>
          <w:bCs/>
          <w:i w:val="false"/>
          <w:iCs w:val="false"/>
          <w:sz w:val="26"/>
          <w:szCs w:val="26"/>
        </w:rPr>
        <w:t xml:space="preserve">Procurement &amp; Materials Management</w:t>
      </w:r>
    </w:p>
    <w:p>
      <w:pPr>
        <w:spacing w:after="140"/>
        <w:jc w:val="center"/>
      </w:pP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tblGrid>
      <w:tr>
        <w:tc>
          <w:tcPr>
            <w:tcW w:type="dxa" w:w="5600"/>
            <w:shd w:fill="0B69B7" w:color="auto" w:val="clear"/>
            <w:tcMar>
              <w:top w:type="dxa" w:w="400"/>
              <w:left w:type="dxa" w:w="200"/>
              <w:bottom w:type="dxa" w:w="400"/>
              <w:right w:type="dxa" w:w="200"/>
            </w:tcMar>
            <w:vAlign w:val="center"/>
          </w:tcPr>
          <w:p>
            <w:pPr>
              <w:spacing w:after="80"/>
              <w:jc w:val="center"/>
            </w:pPr>
            <w:r>
              <w:rPr>
                <w:rFonts w:ascii="Times New Roman" w:cs="Times New Roman" w:eastAsia="Times New Roman" w:hAnsi="Times New Roman"/>
                <w:color w:val="FFFFFF"/>
                <w:sz w:val="28"/>
                <w:szCs w:val="28"/>
              </w:rPr>
              <w:t xml:space="preserve">Eric Hodges</w:t>
            </w:r>
          </w:p>
          <w:p>
            <w:pPr>
              <w:jc w:val="center"/>
            </w:pPr>
            <w:r>
              <w:rPr>
                <w:rFonts w:ascii="Times New Roman" w:cs="Times New Roman" w:eastAsia="Times New Roman" w:hAnsi="Times New Roman"/>
                <w:color w:val="FFFFFF"/>
                <w:sz w:val="28"/>
                <w:szCs w:val="28"/>
              </w:rPr>
              <w:t xml:space="preserve">Executive Director</w:t>
            </w:r>
          </w:p>
        </w:tc>
      </w:tr>
    </w:tbl>
    <w:p>
      <w:pPr>
        <w:spacing w:after="1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580"/>
        <w:gridCol w:w="4580"/>
      </w:tblGrid>
      <w:tr>
        <w:tc>
          <w:tcPr>
            <w:tcW w:type="dxa" w:w="4580"/>
            <w:tcBorders>
              <w:top w:val="none" w:color="FFFFFF" w:sz="0"/>
              <w:left w:val="none" w:color="FFFFFF" w:sz="0"/>
              <w:bottom w:val="none" w:color="FFFFFF" w:sz="0"/>
              <w:right w:val="none" w:color="FFFFFF" w:sz="0"/>
            </w:tcBorders>
          </w:tcPr>
          <w:tbl>
            <w:tblPr>
              <w:tblW w:type="dxa" w:w="4480"/>
              <w:tblBorders>
                <w:top w:val="single" w:color="auto" w:sz="4"/>
                <w:left w:val="single" w:color="auto" w:sz="4"/>
                <w:bottom w:val="single" w:color="auto" w:sz="4"/>
                <w:right w:val="single" w:color="auto" w:sz="4"/>
                <w:insideH w:val="single" w:color="auto" w:sz="4"/>
                <w:insideV w:val="single" w:color="auto" w:sz="4"/>
              </w:tblBorders>
            </w:tblPr>
            <w:tblGrid>
              <w:gridCol w:w="4480"/>
            </w:tblGrid>
            <w:tr>
              <w:tc>
                <w:tcPr>
                  <w:tcW w:type="dxa" w:w="4480"/>
                  <w:shd w:fill="0B69B7" w:color="auto" w:val="clear"/>
                  <w:tcMar>
                    <w:top w:type="dxa" w:w="300"/>
                    <w:left w:type="dxa" w:w="200"/>
                    <w:bottom w:type="dxa" w:w="300"/>
                    <w:right w:type="dxa" w:w="200"/>
                  </w:tcMar>
                  <w:vAlign w:val="center"/>
                </w:tcPr>
                <w:p>
                  <w:pPr>
                    <w:spacing w:after="60"/>
                    <w:jc w:val="center"/>
                  </w:pPr>
                  <w:r>
                    <w:rPr>
                      <w:rFonts w:ascii="Times New Roman" w:cs="Times New Roman" w:eastAsia="Times New Roman" w:hAnsi="Times New Roman"/>
                      <w:color w:val="FFFFFF"/>
                      <w:sz w:val="24"/>
                      <w:szCs w:val="24"/>
                    </w:rPr>
                    <w:t xml:space="preserve">Deb Christensen</w:t>
                  </w:r>
                </w:p>
                <w:p>
                  <w:pPr>
                    <w:jc w:val="center"/>
                  </w:pPr>
                  <w:r>
                    <w:rPr>
                      <w:rFonts w:ascii="Times New Roman" w:cs="Times New Roman" w:eastAsia="Times New Roman" w:hAnsi="Times New Roman"/>
                      <w:color w:val="FFFFFF"/>
                      <w:sz w:val="24"/>
                      <w:szCs w:val="24"/>
                    </w:rPr>
                    <w:t xml:space="preserve">Administrative</w:t>
                  </w:r>
                  <w:r>
                    <w:rPr>
                      <w:rFonts w:ascii="Times New Roman" w:cs="Times New Roman" w:eastAsia="Times New Roman" w:hAnsi="Times New Roman"/>
                      <w:color w:val="FFFFFF"/>
                      <w:sz w:val="24"/>
                      <w:szCs w:val="24"/>
                    </w:rPr>
                    <w:br/>
                    <w:t xml:space="preserve">Assistant</w:t>
                  </w:r>
                </w:p>
              </w:tc>
            </w:tr>
          </w:tbl>
          <w:p>
            <w:pPr>
              <w:spacing w:after="0"/>
            </w:pPr>
            <w:r>
              <w:rPr>
                <w:sz w:val="16"/>
                <w:szCs w:val="16"/>
              </w:rPr>
              <w:t xml:space="preserve"/>
            </w:r>
          </w:p>
        </w:tc>
        <w:tc>
          <w:tcPr>
            <w:tcW w:type="dxa" w:w="4580"/>
            <w:tcBorders>
              <w:top w:val="none" w:color="FFFFFF" w:sz="0"/>
              <w:left w:val="none" w:color="FFFFFF" w:sz="0"/>
              <w:bottom w:val="none" w:color="FFFFFF" w:sz="0"/>
              <w:right w:val="none" w:color="FFFFFF" w:sz="0"/>
            </w:tcBorders>
          </w:tcPr>
          <w:tbl>
            <w:tblPr>
              <w:tblW w:type="dxa" w:w="4480"/>
              <w:tblBorders>
                <w:top w:val="single" w:color="auto" w:sz="4"/>
                <w:left w:val="single" w:color="auto" w:sz="4"/>
                <w:bottom w:val="single" w:color="auto" w:sz="4"/>
                <w:right w:val="single" w:color="auto" w:sz="4"/>
                <w:insideH w:val="single" w:color="auto" w:sz="4"/>
                <w:insideV w:val="single" w:color="auto" w:sz="4"/>
              </w:tblBorders>
            </w:tblPr>
            <w:tblGrid>
              <w:gridCol w:w="4480"/>
            </w:tblGrid>
            <w:tr>
              <w:tc>
                <w:tcPr>
                  <w:tcW w:type="dxa" w:w="4480"/>
                  <w:shd w:fill="0B69B7" w:color="auto" w:val="clear"/>
                  <w:tcMar>
                    <w:top w:type="dxa" w:w="300"/>
                    <w:left w:type="dxa" w:w="200"/>
                    <w:bottom w:type="dxa" w:w="300"/>
                    <w:right w:type="dxa" w:w="200"/>
                  </w:tcMar>
                  <w:vAlign w:val="center"/>
                </w:tcPr>
                <w:p>
                  <w:pPr>
                    <w:spacing w:after="60"/>
                    <w:jc w:val="center"/>
                  </w:pPr>
                  <w:r>
                    <w:rPr>
                      <w:rFonts w:ascii="Times New Roman" w:cs="Times New Roman" w:eastAsia="Times New Roman" w:hAnsi="Times New Roman"/>
                      <w:color w:val="FFFFFF"/>
                      <w:sz w:val="24"/>
                      <w:szCs w:val="24"/>
                    </w:rPr>
                    <w:t xml:space="preserve">Pablo Irizarry</w:t>
                  </w:r>
                </w:p>
                <w:p>
                  <w:pPr>
                    <w:jc w:val="center"/>
                  </w:pPr>
                  <w:r>
                    <w:rPr>
                      <w:rFonts w:ascii="Times New Roman" w:cs="Times New Roman" w:eastAsia="Times New Roman" w:hAnsi="Times New Roman"/>
                      <w:color w:val="FFFFFF"/>
                      <w:sz w:val="24"/>
                      <w:szCs w:val="24"/>
                    </w:rPr>
                    <w:t xml:space="preserve">Administrative</w:t>
                  </w:r>
                  <w:r>
                    <w:rPr>
                      <w:rFonts w:ascii="Times New Roman" w:cs="Times New Roman" w:eastAsia="Times New Roman" w:hAnsi="Times New Roman"/>
                      <w:color w:val="FFFFFF"/>
                      <w:sz w:val="24"/>
                      <w:szCs w:val="24"/>
                    </w:rPr>
                    <w:br/>
                    <w:t xml:space="preserve">Assistant</w:t>
                  </w:r>
                </w:p>
              </w:tc>
            </w:tr>
          </w:tbl>
          <w:p>
            <w:pPr>
              <w:spacing w:after="0"/>
            </w:pPr>
            <w:r>
              <w:rPr>
                <w:sz w:val="16"/>
                <w:szCs w:val="16"/>
              </w:rPr>
              <w:t xml:space="preserve"/>
            </w:r>
          </w:p>
        </w:tc>
      </w:tr>
      <w:tr>
        <w:tc>
          <w:tcPr>
            <w:tcW w:type="dxa" w:w="4580"/>
            <w:tcBorders>
              <w:top w:val="none" w:color="FFFFFF" w:sz="0"/>
              <w:left w:val="none" w:color="FFFFFF" w:sz="0"/>
              <w:bottom w:val="none" w:color="FFFFFF" w:sz="0"/>
              <w:right w:val="none" w:color="FFFFFF" w:sz="0"/>
            </w:tcBorders>
          </w:tcPr>
          <w:tbl>
            <w:tblPr>
              <w:tblW w:type="dxa" w:w="4480"/>
              <w:tblBorders>
                <w:top w:val="single" w:color="auto" w:sz="4"/>
                <w:left w:val="single" w:color="auto" w:sz="4"/>
                <w:bottom w:val="single" w:color="auto" w:sz="4"/>
                <w:right w:val="single" w:color="auto" w:sz="4"/>
                <w:insideH w:val="single" w:color="auto" w:sz="4"/>
                <w:insideV w:val="single" w:color="auto" w:sz="4"/>
              </w:tblBorders>
            </w:tblPr>
            <w:tblGrid>
              <w:gridCol w:w="4480"/>
            </w:tblGrid>
            <w:tr>
              <w:tc>
                <w:tcPr>
                  <w:tcW w:type="dxa" w:w="4480"/>
                  <w:shd w:fill="0B69B7" w:color="auto" w:val="clear"/>
                  <w:tcMar>
                    <w:top w:type="dxa" w:w="300"/>
                    <w:left w:type="dxa" w:w="200"/>
                    <w:bottom w:type="dxa" w:w="300"/>
                    <w:right w:type="dxa" w:w="200"/>
                  </w:tcMar>
                  <w:vAlign w:val="center"/>
                </w:tcPr>
                <w:p>
                  <w:pPr>
                    <w:spacing w:after="60"/>
                    <w:jc w:val="center"/>
                  </w:pPr>
                  <w:r>
                    <w:rPr>
                      <w:rFonts w:ascii="Times New Roman" w:cs="Times New Roman" w:eastAsia="Times New Roman" w:hAnsi="Times New Roman"/>
                      <w:color w:val="FFFFFF"/>
                      <w:sz w:val="24"/>
                      <w:szCs w:val="24"/>
                    </w:rPr>
                    <w:t xml:space="preserve">Pam Nelson</w:t>
                  </w:r>
                </w:p>
                <w:p>
                  <w:pPr>
                    <w:jc w:val="center"/>
                  </w:pPr>
                  <w:r>
                    <w:rPr>
                      <w:rFonts w:ascii="Times New Roman" w:cs="Times New Roman" w:eastAsia="Times New Roman" w:hAnsi="Times New Roman"/>
                      <w:color w:val="FFFFFF"/>
                      <w:sz w:val="24"/>
                      <w:szCs w:val="24"/>
                    </w:rPr>
                    <w:t xml:space="preserve">District Buyer</w:t>
                  </w:r>
                </w:p>
              </w:tc>
            </w:tr>
          </w:tbl>
          <w:p/>
        </w:tc>
        <w:tc>
          <w:tcPr>
            <w:tcW w:type="dxa" w:w="4580"/>
            <w:tcBorders>
              <w:top w:val="none" w:color="FFFFFF" w:sz="0"/>
              <w:left w:val="none" w:color="FFFFFF" w:sz="0"/>
              <w:bottom w:val="none" w:color="FFFFFF" w:sz="0"/>
              <w:right w:val="none" w:color="FFFFFF" w:sz="0"/>
            </w:tcBorders>
          </w:tcPr>
          <w:tbl>
            <w:tblPr>
              <w:tblW w:type="dxa" w:w="4480"/>
              <w:tblBorders>
                <w:top w:val="single" w:color="auto" w:sz="4"/>
                <w:left w:val="single" w:color="auto" w:sz="4"/>
                <w:bottom w:val="single" w:color="auto" w:sz="4"/>
                <w:right w:val="single" w:color="auto" w:sz="4"/>
                <w:insideH w:val="single" w:color="auto" w:sz="4"/>
                <w:insideV w:val="single" w:color="auto" w:sz="4"/>
              </w:tblBorders>
            </w:tblPr>
            <w:tblGrid>
              <w:gridCol w:w="4480"/>
            </w:tblGrid>
            <w:tr>
              <w:tc>
                <w:tcPr>
                  <w:tcW w:type="dxa" w:w="4480"/>
                  <w:shd w:fill="0B69B7" w:color="auto" w:val="clear"/>
                  <w:tcMar>
                    <w:top w:type="dxa" w:w="300"/>
                    <w:left w:type="dxa" w:w="200"/>
                    <w:bottom w:type="dxa" w:w="300"/>
                    <w:right w:type="dxa" w:w="200"/>
                  </w:tcMar>
                  <w:vAlign w:val="center"/>
                </w:tcPr>
                <w:p>
                  <w:pPr>
                    <w:spacing w:after="60"/>
                    <w:jc w:val="center"/>
                  </w:pPr>
                  <w:r>
                    <w:rPr>
                      <w:rFonts w:ascii="Times New Roman" w:cs="Times New Roman" w:eastAsia="Times New Roman" w:hAnsi="Times New Roman"/>
                      <w:color w:val="FFFFFF"/>
                      <w:sz w:val="24"/>
                      <w:szCs w:val="24"/>
                    </w:rPr>
                    <w:t xml:space="preserve">Bob Newell</w:t>
                  </w:r>
                </w:p>
                <w:p>
                  <w:pPr>
                    <w:jc w:val="center"/>
                  </w:pPr>
                  <w:r>
                    <w:rPr>
                      <w:rFonts w:ascii="Times New Roman" w:cs="Times New Roman" w:eastAsia="Times New Roman" w:hAnsi="Times New Roman"/>
                      <w:color w:val="FFFFFF"/>
                      <w:sz w:val="24"/>
                      <w:szCs w:val="24"/>
                    </w:rPr>
                    <w:t xml:space="preserve">Materials</w:t>
                  </w:r>
                  <w:r>
                    <w:rPr>
                      <w:rFonts w:ascii="Times New Roman" w:cs="Times New Roman" w:eastAsia="Times New Roman" w:hAnsi="Times New Roman"/>
                      <w:color w:val="FFFFFF"/>
                      <w:sz w:val="24"/>
                      <w:szCs w:val="24"/>
                    </w:rPr>
                    <w:br/>
                    <w:t xml:space="preserve">Management Lead</w:t>
                  </w:r>
                </w:p>
              </w:tc>
            </w:tr>
          </w:tbl>
          <w:p/>
        </w:tc>
      </w:tr>
    </w:tbl>
    <w:p>
      <w:pPr>
        <w:spacing w:after="300"/>
      </w:pPr>
    </w:p>
    <w:p>
      <w:pPr>
        <w:tabs>
          <w:tab w:val="left" w:pos="3600"/>
          <w:tab w:val="left" w:pos="6300"/>
        </w:tabs>
        <w:spacing w:after="100"/>
      </w:pPr>
      <w:r>
        <w:rPr>
          <w:rFonts w:ascii="Times New Roman" w:cs="Times New Roman" w:eastAsia="Times New Roman" w:hAnsi="Times New Roman"/>
          <w:sz w:val="24"/>
          <w:szCs w:val="24"/>
        </w:rPr>
        <w:t xml:space="preserve">Executive Director	</w:t>
      </w:r>
      <w:r>
        <w:rPr>
          <w:rFonts w:ascii="Times New Roman" w:cs="Times New Roman" w:eastAsia="Times New Roman" w:hAnsi="Times New Roman"/>
          <w:sz w:val="24"/>
          <w:szCs w:val="24"/>
        </w:rPr>
        <w:t xml:space="preserve">Eric Hodges	</w:t>
      </w:r>
      <w:r>
        <w:rPr>
          <w:rFonts w:ascii="Times New Roman" w:cs="Times New Roman" w:eastAsia="Times New Roman" w:hAnsi="Times New Roman"/>
          <w:sz w:val="24"/>
          <w:szCs w:val="24"/>
        </w:rPr>
        <w:t xml:space="preserve">303.428.3535</w:t>
      </w:r>
    </w:p>
    <w:p>
      <w:pPr>
        <w:tabs>
          <w:tab w:val="left" w:pos="3600"/>
          <w:tab w:val="left" w:pos="6300"/>
        </w:tabs>
        <w:spacing w:after="100"/>
      </w:pPr>
      <w:r>
        <w:rPr>
          <w:rFonts w:ascii="Times New Roman" w:cs="Times New Roman" w:eastAsia="Times New Roman" w:hAnsi="Times New Roman"/>
          <w:sz w:val="24"/>
          <w:szCs w:val="24"/>
        </w:rPr>
        <w:t xml:space="preserve">Administrative Assistant	</w:t>
      </w:r>
      <w:r>
        <w:rPr>
          <w:rFonts w:ascii="Times New Roman" w:cs="Times New Roman" w:eastAsia="Times New Roman" w:hAnsi="Times New Roman"/>
          <w:sz w:val="24"/>
          <w:szCs w:val="24"/>
        </w:rPr>
        <w:t xml:space="preserve">Deb Christensen	</w:t>
      </w:r>
      <w:r>
        <w:rPr>
          <w:rFonts w:ascii="Times New Roman" w:cs="Times New Roman" w:eastAsia="Times New Roman" w:hAnsi="Times New Roman"/>
          <w:sz w:val="24"/>
          <w:szCs w:val="24"/>
        </w:rPr>
        <w:t xml:space="preserve">303.428.3535</w:t>
      </w:r>
    </w:p>
    <w:p>
      <w:pPr>
        <w:tabs>
          <w:tab w:val="left" w:pos="3600"/>
          <w:tab w:val="left" w:pos="6300"/>
        </w:tabs>
        <w:spacing w:after="100"/>
      </w:pPr>
      <w:r>
        <w:rPr>
          <w:rFonts w:ascii="Times New Roman" w:cs="Times New Roman" w:eastAsia="Times New Roman" w:hAnsi="Times New Roman"/>
          <w:sz w:val="24"/>
          <w:szCs w:val="24"/>
        </w:rPr>
        <w:t xml:space="preserve">Administrative Assistant	</w:t>
      </w:r>
      <w:r>
        <w:rPr>
          <w:rFonts w:ascii="Times New Roman" w:cs="Times New Roman" w:eastAsia="Times New Roman" w:hAnsi="Times New Roman"/>
          <w:sz w:val="24"/>
          <w:szCs w:val="24"/>
        </w:rPr>
        <w:t xml:space="preserve">Pablo Irizarry	</w:t>
      </w:r>
      <w:r>
        <w:rPr>
          <w:rFonts w:ascii="Times New Roman" w:cs="Times New Roman" w:eastAsia="Times New Roman" w:hAnsi="Times New Roman"/>
          <w:sz w:val="24"/>
          <w:szCs w:val="24"/>
        </w:rPr>
        <w:t xml:space="preserve">303.428.3535</w:t>
      </w:r>
    </w:p>
    <w:p>
      <w:pPr>
        <w:tabs>
          <w:tab w:val="left" w:pos="3600"/>
          <w:tab w:val="left" w:pos="6300"/>
        </w:tabs>
        <w:spacing w:after="100"/>
      </w:pPr>
      <w:r>
        <w:rPr>
          <w:rFonts w:ascii="Times New Roman" w:cs="Times New Roman" w:eastAsia="Times New Roman" w:hAnsi="Times New Roman"/>
          <w:sz w:val="24"/>
          <w:szCs w:val="24"/>
        </w:rPr>
        <w:t xml:space="preserve">Buyer	</w:t>
      </w:r>
      <w:r>
        <w:rPr>
          <w:rFonts w:ascii="Times New Roman" w:cs="Times New Roman" w:eastAsia="Times New Roman" w:hAnsi="Times New Roman"/>
          <w:sz w:val="24"/>
          <w:szCs w:val="24"/>
        </w:rPr>
        <w:t xml:space="preserve">Pam Nelson	</w:t>
      </w:r>
      <w:r>
        <w:rPr>
          <w:rFonts w:ascii="Times New Roman" w:cs="Times New Roman" w:eastAsia="Times New Roman" w:hAnsi="Times New Roman"/>
          <w:sz w:val="24"/>
          <w:szCs w:val="24"/>
        </w:rPr>
        <w:t xml:space="preserve">303.428.3535</w:t>
      </w:r>
    </w:p>
    <w:p>
      <w:pPr>
        <w:tabs>
          <w:tab w:val="left" w:pos="3600"/>
          <w:tab w:val="left" w:pos="6300"/>
        </w:tabs>
        <w:spacing w:after="100"/>
      </w:pPr>
      <w:r>
        <w:rPr>
          <w:rFonts w:ascii="Times New Roman" w:cs="Times New Roman" w:eastAsia="Times New Roman" w:hAnsi="Times New Roman"/>
          <w:sz w:val="24"/>
          <w:szCs w:val="24"/>
        </w:rPr>
        <w:t xml:space="preserve">Materials Management Lead	</w:t>
      </w:r>
      <w:r>
        <w:rPr>
          <w:rFonts w:ascii="Times New Roman" w:cs="Times New Roman" w:eastAsia="Times New Roman" w:hAnsi="Times New Roman"/>
          <w:sz w:val="24"/>
          <w:szCs w:val="24"/>
        </w:rPr>
        <w:t xml:space="preserve">Bob Newell	</w:t>
      </w:r>
      <w:r>
        <w:rPr>
          <w:rFonts w:ascii="Times New Roman" w:cs="Times New Roman" w:eastAsia="Times New Roman" w:hAnsi="Times New Roman"/>
          <w:sz w:val="24"/>
          <w:szCs w:val="24"/>
        </w:rPr>
        <w:t xml:space="preserve">720.542.5147</w:t>
      </w:r>
    </w:p>
    <w:p>
      <w:pPr>
        <w:pageBreakBefore/>
        <w:spacing w:after="240" w:before="0"/>
        <w:jc w:val="center"/>
      </w:pPr>
      <w:r>
        <w:rPr>
          <w:rFonts w:ascii="Times New Roman" w:cs="Times New Roman" w:eastAsia="Times New Roman" w:hAnsi="Times New Roman"/>
          <w:b/>
          <w:bCs/>
          <w:sz w:val="24"/>
          <w:szCs w:val="24"/>
        </w:rPr>
        <w:t xml:space="preserve">IV. PROCUREMENT METHODS</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The following methods used for the purchase of all goods and services are outlined herein:</w:t>
      </w:r>
    </w:p>
    <w:p>
      <w:pPr>
        <w:tabs>
          <w:tab w:val="left" w:pos="720"/>
        </w:tabs>
        <w:spacing w:after="60"/>
        <w:ind w:left="720" w:hanging="360"/>
      </w:pPr>
      <w:r>
        <w:rPr>
          <w:rFonts w:ascii="Times New Roman" w:cs="Times New Roman" w:eastAsia="Times New Roman" w:hAnsi="Times New Roman"/>
          <w:sz w:val="24"/>
          <w:szCs w:val="24"/>
        </w:rPr>
        <w:t xml:space="preserve">A.	Small Purchases</w:t>
      </w:r>
    </w:p>
    <w:p>
      <w:pPr>
        <w:tabs>
          <w:tab w:val="left" w:pos="720"/>
        </w:tabs>
        <w:spacing w:after="60"/>
        <w:ind w:left="720" w:hanging="360"/>
      </w:pPr>
      <w:r>
        <w:rPr>
          <w:rFonts w:ascii="Times New Roman" w:cs="Times New Roman" w:eastAsia="Times New Roman" w:hAnsi="Times New Roman"/>
          <w:sz w:val="24"/>
          <w:szCs w:val="24"/>
        </w:rPr>
        <w:t xml:space="preserve">B.	Competitive Sealed Bidding</w:t>
      </w:r>
    </w:p>
    <w:p>
      <w:pPr>
        <w:tabs>
          <w:tab w:val="left" w:pos="720"/>
        </w:tabs>
        <w:spacing w:after="60"/>
        <w:ind w:left="720" w:hanging="360"/>
      </w:pPr>
      <w:r>
        <w:rPr>
          <w:rFonts w:ascii="Times New Roman" w:cs="Times New Roman" w:eastAsia="Times New Roman" w:hAnsi="Times New Roman"/>
          <w:sz w:val="24"/>
          <w:szCs w:val="24"/>
        </w:rPr>
        <w:t xml:space="preserve">C.	Competitive Negotiations</w:t>
      </w:r>
    </w:p>
    <w:p>
      <w:pPr>
        <w:tabs>
          <w:tab w:val="left" w:pos="720"/>
        </w:tabs>
        <w:spacing w:after="60"/>
        <w:ind w:left="720" w:hanging="360"/>
      </w:pPr>
      <w:r>
        <w:rPr>
          <w:rFonts w:ascii="Times New Roman" w:cs="Times New Roman" w:eastAsia="Times New Roman" w:hAnsi="Times New Roman"/>
          <w:sz w:val="24"/>
          <w:szCs w:val="24"/>
        </w:rPr>
        <w:t xml:space="preserve">D.	Sole Source Purchase</w:t>
      </w:r>
    </w:p>
    <w:p>
      <w:pPr>
        <w:tabs>
          <w:tab w:val="left" w:pos="720"/>
        </w:tabs>
        <w:spacing w:after="60"/>
        <w:ind w:left="720" w:hanging="360"/>
      </w:pPr>
      <w:r>
        <w:rPr>
          <w:rFonts w:ascii="Times New Roman" w:cs="Times New Roman" w:eastAsia="Times New Roman" w:hAnsi="Times New Roman"/>
          <w:sz w:val="24"/>
          <w:szCs w:val="24"/>
        </w:rPr>
        <w:t xml:space="preserve">E.	Contracts</w:t>
      </w:r>
    </w:p>
    <w:p>
      <w:pPr>
        <w:spacing w:after="140"/>
      </w:pP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200"/>
        <w:gridCol w:w="2620"/>
      </w:tblGrid>
      <w:tr>
        <w:tc>
          <w:tcPr>
            <w:tcW w:type="dxa" w:w="1700"/>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Type</w:t>
            </w:r>
          </w:p>
        </w:tc>
        <w:tc>
          <w:tcPr>
            <w:tcW w:type="dxa" w:w="1900"/>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 Amount</w:t>
            </w:r>
          </w:p>
        </w:tc>
        <w:tc>
          <w:tcPr>
            <w:tcW w:type="dxa" w:w="3200"/>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Preferred method of Purchase</w:t>
            </w:r>
          </w:p>
        </w:tc>
        <w:tc>
          <w:tcPr>
            <w:tcW w:type="dxa" w:w="2620"/>
            <w:tcMar>
              <w:top w:type="dxa" w:w="100"/>
              <w:left w:type="dxa" w:w="100"/>
              <w:bottom w:type="dxa" w:w="100"/>
              <w:right w:type="dxa" w:w="100"/>
            </w:tcMar>
            <w:vAlign w:val="center"/>
          </w:tcPr>
          <w:p>
            <w:pPr>
              <w:jc w:val="center"/>
            </w:pPr>
            <w:r>
              <w:rPr>
                <w:rFonts w:ascii="Times New Roman" w:cs="Times New Roman" w:eastAsia="Times New Roman" w:hAnsi="Times New Roman"/>
                <w:b/>
                <w:bCs/>
                <w:sz w:val="20"/>
                <w:szCs w:val="20"/>
              </w:rPr>
              <w:t xml:space="preserve">Budget Approval Required By</w:t>
            </w:r>
          </w:p>
        </w:tc>
      </w:tr>
      <w:tr>
        <w:tc>
          <w:tcPr>
            <w:tcW w:type="dxa" w:w="9420"/>
            <w:gridSpan w:val="4"/>
            <w:shd w:fill="D9D9D9" w:color="auto" w:val="clear"/>
            <w:tcMar>
              <w:top w:type="dxa" w:w="100"/>
              <w:left w:type="dxa" w:w="100"/>
              <w:bottom w:type="dxa" w:w="100"/>
              <w:right w:type="dxa" w:w="100"/>
            </w:tcMar>
            <w:vAlign w:val="center"/>
          </w:tcPr>
          <w:p>
            <w:pPr>
              <w:jc w:val="left"/>
            </w:pPr>
            <w:r>
              <w:rPr>
                <w:rFonts w:ascii="Times New Roman" w:cs="Times New Roman" w:eastAsia="Times New Roman" w:hAnsi="Times New Roman"/>
                <w:sz w:val="20"/>
                <w:szCs w:val="20"/>
              </w:rPr>
              <w:t xml:space="preserve">Purchases of materials, supplies, and/or services will be processed as follows:</w:t>
            </w:r>
          </w:p>
        </w:tc>
      </w:tr>
      <w:tr>
        <w:tc>
          <w:tcPr>
            <w:tcW w:type="dxa" w:w="170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Any total purchase (cumulative)</w:t>
            </w:r>
          </w:p>
        </w:tc>
        <w:tc>
          <w:tcPr>
            <w:tcW w:type="dxa" w:w="190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Up to $3,000 schools</w:t>
            </w:r>
          </w:p>
          <w:p>
            <w:pPr>
              <w:jc w:val="center"/>
            </w:pPr>
            <w:r>
              <w:rPr>
                <w:rFonts w:ascii="Times New Roman" w:cs="Times New Roman" w:eastAsia="Times New Roman" w:hAnsi="Times New Roman"/>
                <w:sz w:val="20"/>
                <w:szCs w:val="20"/>
              </w:rPr>
              <w:t xml:space="preserve">Up to $5,000 departments</w:t>
            </w:r>
          </w:p>
        </w:tc>
        <w:tc>
          <w:tcPr>
            <w:tcW w:type="dxa" w:w="320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Purchasing Card (P-card)</w:t>
            </w:r>
          </w:p>
        </w:tc>
        <w:tc>
          <w:tcPr>
            <w:tcW w:type="dxa" w:w="262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Approval from appropriate budget authority such as principal, director, program manager or designee.</w:t>
            </w:r>
          </w:p>
        </w:tc>
      </w:tr>
      <w:tr>
        <w:tc>
          <w:tcPr>
            <w:tcW w:type="dxa" w:w="170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Any total purchase (cumulative)</w:t>
            </w:r>
          </w:p>
        </w:tc>
        <w:tc>
          <w:tcPr>
            <w:tcW w:type="dxa" w:w="190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$5,001 to $74,999</w:t>
            </w:r>
          </w:p>
        </w:tc>
        <w:tc>
          <w:tcPr>
            <w:tcW w:type="dxa" w:w="3200"/>
            <w:tcMar>
              <w:top w:type="dxa" w:w="100"/>
              <w:left w:type="dxa" w:w="100"/>
              <w:bottom w:type="dxa" w:w="100"/>
              <w:right w:type="dxa" w:w="100"/>
            </w:tcMar>
            <w:vAlign w:val="center"/>
          </w:tcPr>
          <w:p>
            <w:pPr>
              <w:jc w:val="left"/>
            </w:pPr>
            <w:r>
              <w:rPr>
                <w:rFonts w:ascii="Times New Roman" w:cs="Times New Roman" w:eastAsia="Times New Roman" w:hAnsi="Times New Roman"/>
                <w:sz w:val="20"/>
                <w:szCs w:val="20"/>
              </w:rPr>
              <w:t xml:space="preserve">Purchase Order</w:t>
            </w:r>
          </w:p>
          <w:p>
            <w:pPr>
              <w:jc w:val="left"/>
            </w:pPr>
            <w:r>
              <w:rPr>
                <w:rFonts w:ascii="Times New Roman" w:cs="Times New Roman" w:eastAsia="Times New Roman" w:hAnsi="Times New Roman"/>
                <w:sz w:val="20"/>
                <w:szCs w:val="20"/>
              </w:rPr>
              <w:t xml:space="preserve">A different purchasing method may be used if authorized by the superintendent or designee.</w:t>
            </w:r>
          </w:p>
        </w:tc>
        <w:tc>
          <w:tcPr>
            <w:tcW w:type="dxa" w:w="262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Approval from appropriate budget authority such as principal, director, program manager or designee.</w:t>
            </w:r>
          </w:p>
        </w:tc>
      </w:tr>
      <w:tr>
        <w:tc>
          <w:tcPr>
            <w:tcW w:type="dxa" w:w="170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Any total purchase (cumulative)</w:t>
            </w:r>
          </w:p>
        </w:tc>
        <w:tc>
          <w:tcPr>
            <w:tcW w:type="dxa" w:w="190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$75,000 to $149,999</w:t>
            </w:r>
          </w:p>
        </w:tc>
        <w:tc>
          <w:tcPr>
            <w:tcW w:type="dxa" w:w="3200"/>
            <w:tcMar>
              <w:top w:type="dxa" w:w="100"/>
              <w:left w:type="dxa" w:w="100"/>
              <w:bottom w:type="dxa" w:w="100"/>
              <w:right w:type="dxa" w:w="100"/>
            </w:tcMar>
            <w:vAlign w:val="center"/>
          </w:tcPr>
          <w:p>
            <w:pPr>
              <w:jc w:val="left"/>
            </w:pPr>
            <w:r>
              <w:rPr>
                <w:rFonts w:ascii="Times New Roman" w:cs="Times New Roman" w:eastAsia="Times New Roman" w:hAnsi="Times New Roman"/>
                <w:sz w:val="20"/>
                <w:szCs w:val="20"/>
              </w:rPr>
              <w:t xml:space="preserve">Purchase Order</w:t>
            </w:r>
          </w:p>
          <w:p>
            <w:pPr>
              <w:jc w:val="left"/>
            </w:pPr>
            <w:r>
              <w:rPr>
                <w:rFonts w:ascii="Times New Roman" w:cs="Times New Roman" w:eastAsia="Times New Roman" w:hAnsi="Times New Roman"/>
                <w:sz w:val="20"/>
                <w:szCs w:val="20"/>
              </w:rPr>
              <w:t xml:space="preserve">A different purchasing method may be used if authorized by the superintendent or designee.</w:t>
            </w:r>
          </w:p>
        </w:tc>
        <w:tc>
          <w:tcPr>
            <w:tcW w:type="dxa" w:w="262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Must be approved by appropriate division chief.</w:t>
            </w:r>
          </w:p>
        </w:tc>
      </w:tr>
      <w:tr>
        <w:tc>
          <w:tcPr>
            <w:tcW w:type="dxa" w:w="170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Any total purchase (cumulative)</w:t>
            </w:r>
          </w:p>
        </w:tc>
        <w:tc>
          <w:tcPr>
            <w:tcW w:type="dxa" w:w="190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$150,000 and over</w:t>
            </w:r>
          </w:p>
        </w:tc>
        <w:tc>
          <w:tcPr>
            <w:tcW w:type="dxa" w:w="320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Purchase Order</w:t>
            </w:r>
          </w:p>
        </w:tc>
        <w:tc>
          <w:tcPr>
            <w:tcW w:type="dxa" w:w="2620"/>
            <w:tcMar>
              <w:top w:type="dxa" w:w="100"/>
              <w:left w:type="dxa" w:w="100"/>
              <w:bottom w:type="dxa" w:w="100"/>
              <w:right w:type="dxa" w:w="100"/>
            </w:tcMar>
            <w:vAlign w:val="center"/>
          </w:tcPr>
          <w:p>
            <w:pPr>
              <w:jc w:val="center"/>
            </w:pPr>
            <w:r>
              <w:rPr>
                <w:rFonts w:ascii="Times New Roman" w:cs="Times New Roman" w:eastAsia="Times New Roman" w:hAnsi="Times New Roman"/>
                <w:sz w:val="20"/>
                <w:szCs w:val="20"/>
              </w:rPr>
              <w:t xml:space="preserve">Must be approved by the Board. Reference to Policy DJB.</w:t>
            </w:r>
          </w:p>
        </w:tc>
      </w:tr>
    </w:tbl>
    <w:p>
      <w:pPr>
        <w:spacing w:after="300"/>
      </w:pPr>
    </w:p>
    <w:p>
      <w:pPr>
        <w:keepNext w:val="false"/>
        <w:spacing w:after="140" w:before="0"/>
        <w:jc w:val="both"/>
      </w:pPr>
      <w:r>
        <w:rPr>
          <w:rFonts w:ascii="Times New Roman" w:cs="Times New Roman" w:eastAsia="Times New Roman" w:hAnsi="Times New Roman"/>
          <w:b w:val="false"/>
          <w:bCs w:val="false"/>
          <w:i w:val="false"/>
          <w:iCs w:val="false"/>
          <w:sz w:val="24"/>
          <w:szCs w:val="24"/>
        </w:rPr>
        <w:t xml:space="preserve">The Superintendent or his/her designee shall have the responsibility and authority to issue purchase orders for those items and services authorized in the District’s adopted budget and purchased in conformity with the District’s purchasing procedures.  If the purchase of items or services is $100,000 or more and is not included in the District’s Approved Budget, the purchase must be approved by the Board of Education.  The Director of Finance shall provide a quarterly report to the Board of Education listing all purchases of $150,000 or more.</w:t>
      </w:r>
    </w:p>
    <w:p>
      <w:pPr>
        <w:keepNext w:val="false"/>
        <w:spacing w:after="140" w:before="0"/>
        <w:jc w:val="both"/>
      </w:pPr>
      <w:r>
        <w:rPr>
          <w:rFonts w:ascii="Times New Roman" w:cs="Times New Roman" w:eastAsia="Times New Roman" w:hAnsi="Times New Roman"/>
          <w:b w:val="false"/>
          <w:bCs w:val="false"/>
          <w:i w:val="false"/>
          <w:iCs w:val="false"/>
          <w:sz w:val="24"/>
          <w:szCs w:val="24"/>
        </w:rPr>
        <w:t xml:space="preserve">The Superintendent or his/her designee shall have the responsibility and authority to administer the District’s purchasing procedures, and shall provide for central control and accounting concerning purchase and delivery of materials, supplies, and equipment for the District.</w:t>
      </w:r>
    </w:p>
    <w:p>
      <w:pPr>
        <w:keepNext w:val="false"/>
        <w:spacing w:after="140" w:before="0"/>
        <w:jc w:val="both"/>
      </w:pPr>
      <w:r>
        <w:rPr>
          <w:rFonts w:ascii="Times New Roman" w:cs="Times New Roman" w:eastAsia="Times New Roman" w:hAnsi="Times New Roman"/>
          <w:b w:val="false"/>
          <w:bCs w:val="false"/>
          <w:i w:val="false"/>
          <w:iCs w:val="false"/>
          <w:sz w:val="24"/>
          <w:szCs w:val="24"/>
        </w:rPr>
        <w:t xml:space="preserve">The Superintendent or his/her designee shall be responsible for committing District funds for all purchases in accordance with the Approved Budget and Board of Education and District policies and procedures.</w:t>
      </w:r>
    </w:p>
    <w:p>
      <w:pPr>
        <w:pageBreakBefore/>
        <w:spacing w:after="240" w:before="0"/>
        <w:jc w:val="center"/>
      </w:pPr>
      <w:r>
        <w:rPr>
          <w:rFonts w:ascii="Times New Roman" w:cs="Times New Roman" w:eastAsia="Times New Roman" w:hAnsi="Times New Roman"/>
          <w:b/>
          <w:bCs/>
          <w:sz w:val="24"/>
          <w:szCs w:val="24"/>
        </w:rPr>
        <w:t xml:space="preserve">IV. PROCUREMENT METHODS (Continued)</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Exceptions may be made by the Superintendent of Schools in cases of emergencies, which shall be reported to the Board no later than its next regular meeting.</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The local site administrator or budget coordinator has the authority to delegate temporary purchasing authority in circumstances where he/she may be unavailable, but shall be ultimately responsible for procurement transactions regardless of further delegation.</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Expenditures or disbursements from all District funds shall be approved/authorized according to all Board of Education and District policies and the following criteria:</w:t>
      </w:r>
    </w:p>
    <w:p>
      <w:pPr>
        <w:keepNext w:val="false"/>
        <w:spacing w:after="140" w:before="0"/>
        <w:jc w:val="both"/>
      </w:pPr>
      <w:r>
        <w:rPr>
          <w:rFonts w:ascii="Times New Roman" w:cs="Times New Roman" w:eastAsia="Times New Roman" w:hAnsi="Times New Roman"/>
          <w:b w:val="false"/>
          <w:bCs w:val="false"/>
          <w:i w:val="false"/>
          <w:iCs w:val="false"/>
          <w:sz w:val="24"/>
          <w:szCs w:val="24"/>
        </w:rPr>
        <w:t xml:space="preserve">1. All regular petty cash disbursements, warehouse requisitions and purchasing card transactions must be approved by the budget holder, i.e., appropriate local school site administrator, director, budget coordinator, or supervisor.</w:t>
      </w:r>
    </w:p>
    <w:p>
      <w:pPr>
        <w:keepNext w:val="false"/>
        <w:spacing w:after="140" w:before="0"/>
        <w:jc w:val="both"/>
      </w:pPr>
      <w:r>
        <w:rPr>
          <w:rFonts w:ascii="Times New Roman" w:cs="Times New Roman" w:eastAsia="Times New Roman" w:hAnsi="Times New Roman"/>
          <w:b w:val="false"/>
          <w:bCs w:val="false"/>
          <w:i w:val="false"/>
          <w:iCs w:val="false"/>
          <w:sz w:val="24"/>
          <w:szCs w:val="24"/>
        </w:rPr>
        <w:t xml:space="preserve">2. All requests for payment, purchase requisitions and payment made pursuant to contracted agreements up to $150,000 must be approved by budget managers and the Chief Financial Officer or his/her designee.</w:t>
      </w:r>
    </w:p>
    <w:p>
      <w:pPr>
        <w:keepNext w:val="false"/>
        <w:spacing w:after="140" w:before="0"/>
        <w:jc w:val="both"/>
      </w:pPr>
      <w:r>
        <w:rPr>
          <w:rFonts w:ascii="Times New Roman" w:cs="Times New Roman" w:eastAsia="Times New Roman" w:hAnsi="Times New Roman"/>
          <w:b w:val="false"/>
          <w:bCs w:val="false"/>
          <w:i w:val="false"/>
          <w:iCs w:val="false"/>
          <w:sz w:val="24"/>
          <w:szCs w:val="24"/>
        </w:rPr>
        <w:t xml:space="preserve">3. All requests for payment, purchase requisitions, acceptance of bids/contracts and construction agreements, or acceptance of bids for design/construction contracts and professional services contracts up to $150,000 must be approved by the District’s Director of Logistics (Procurement) and the Chief Financial Officer or his/her designee.</w:t>
      </w:r>
    </w:p>
    <w:p>
      <w:pPr>
        <w:keepNext w:val="false"/>
        <w:spacing w:after="140" w:before="0"/>
        <w:jc w:val="both"/>
      </w:pPr>
      <w:r>
        <w:rPr>
          <w:rFonts w:ascii="Times New Roman" w:cs="Times New Roman" w:eastAsia="Times New Roman" w:hAnsi="Times New Roman"/>
          <w:b w:val="false"/>
          <w:bCs w:val="false"/>
          <w:i w:val="false"/>
          <w:iCs w:val="false"/>
          <w:sz w:val="24"/>
          <w:szCs w:val="24"/>
        </w:rPr>
        <w:t xml:space="preserve">4. Personal expense and travel reimbursements for all employees must be approved by their direct supervisor, in accordance with District policy DKC, Expense Reimbursements, and its accompanying regulation.</w:t>
      </w:r>
    </w:p>
    <w:p>
      <w:pPr>
        <w:keepNext w:val="false"/>
        <w:spacing w:after="140" w:before="0"/>
        <w:jc w:val="both"/>
      </w:pPr>
      <w:r>
        <w:rPr>
          <w:rFonts w:ascii="Times New Roman" w:cs="Times New Roman" w:eastAsia="Times New Roman" w:hAnsi="Times New Roman"/>
          <w:b w:val="false"/>
          <w:bCs w:val="false"/>
          <w:i w:val="false"/>
          <w:iCs w:val="false"/>
          <w:sz w:val="24"/>
          <w:szCs w:val="24"/>
        </w:rPr>
        <w:t xml:space="preserve">5. Contracts that involve E-Rate funding must be approved by the Board of Education if the contract requires the expenditure of district funds in excess of $150,000 per fiscal year and if the expenditures required for the contract are not included in the district’s approved budget. Funds that are or will be received from E-Rate funding are not considered “district funds” as used in this policy.</w:t>
      </w:r>
    </w:p>
    <w:p>
      <w:pPr>
        <w:keepNext w:val="false"/>
        <w:spacing w:after="200" w:before="0"/>
        <w:jc w:val="left"/>
      </w:pPr>
      <w:r>
        <w:rPr>
          <w:rFonts w:ascii="Times New Roman" w:cs="Times New Roman" w:eastAsia="Times New Roman" w:hAnsi="Times New Roman"/>
          <w:b/>
          <w:bCs/>
          <w:i w:val="false"/>
          <w:iCs w:val="false"/>
          <w:sz w:val="24"/>
          <w:szCs w:val="24"/>
        </w:rPr>
        <w:t xml:space="preserve">Federal grant awards</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All federal grant awards are to be in compliance with the Office of Management and Budget's Uniform Administrative Requirements, Cost Principles, and Audit Requirements for Federal Awards, commonly known as Uniform Grant Guidance.</w:t>
      </w:r>
    </w:p>
    <w:p>
      <w:pPr>
        <w:pageBreakBefore/>
        <w:spacing w:after="240" w:before="0"/>
        <w:jc w:val="center"/>
      </w:pPr>
      <w:r>
        <w:rPr>
          <w:rFonts w:ascii="Times New Roman" w:cs="Times New Roman" w:eastAsia="Times New Roman" w:hAnsi="Times New Roman"/>
          <w:b/>
          <w:bCs/>
          <w:sz w:val="24"/>
          <w:szCs w:val="24"/>
        </w:rPr>
        <w:t xml:space="preserve">IV. PROCUREMENT METHODS (Continued)</w:t>
      </w:r>
    </w:p>
    <w:p>
      <w:pPr>
        <w:tabs>
          <w:tab w:val="left" w:pos="720"/>
        </w:tabs>
        <w:spacing w:after="140" w:before="0"/>
        <w:ind w:left="0"/>
      </w:pPr>
      <w:r>
        <w:rPr>
          <w:rFonts w:ascii="Times New Roman" w:cs="Times New Roman" w:eastAsia="Times New Roman" w:hAnsi="Times New Roman"/>
          <w:b/>
          <w:bCs/>
          <w:sz w:val="24"/>
          <w:szCs w:val="24"/>
        </w:rPr>
        <w:t xml:space="preserve">A.	SMALL PURCHASES</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All contracted services, except professional grant-funded services, and all supplies, materials and equipment in the amount of $5,000.00 or more shall be purchased through competitive bidding procedures.</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The Director of Purchasing and Materials Management shall establish bid/proposal terms and conditions that govern all procurement transactions.  Unsolicited bids/proposals and bids/proposals from unapproved or non-prequalified vendors shall not be considered unless it is determined by the Director of Purchasing and Materials Management that it is in the best interest of the District to accept such bids or proposals.</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Procurements shall be awarded as follows:</w:t>
      </w:r>
    </w:p>
    <w:p>
      <w:pPr>
        <w:keepNext w:val="false"/>
        <w:spacing w:after="0" w:before="0"/>
        <w:jc w:val="left"/>
      </w:pPr>
      <w:r>
        <w:rPr>
          <w:rFonts w:ascii="Times New Roman" w:cs="Times New Roman" w:eastAsia="Times New Roman" w:hAnsi="Times New Roman"/>
          <w:b/>
          <w:bCs/>
          <w:i w:val="false"/>
          <w:iCs w:val="false"/>
          <w:sz w:val="24"/>
          <w:szCs w:val="24"/>
        </w:rPr>
        <w:t xml:space="preserve">Small Purchases – Goods:</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Purchases where the estimated total cost of the goods or services is less than $15,000.00 may be sent directly to the vendor by the Purchasing Department or budget holder after purchase order number assignment.  Purchasing Cards may be utilized for purchases less than $5,000, unless otherwise allowed.</w:t>
      </w:r>
    </w:p>
    <w:p>
      <w:pPr>
        <w:keepNext w:val="false"/>
        <w:spacing w:after="0" w:before="0"/>
        <w:jc w:val="left"/>
      </w:pPr>
      <w:r>
        <w:rPr>
          <w:rFonts w:ascii="Times New Roman" w:cs="Times New Roman" w:eastAsia="Times New Roman" w:hAnsi="Times New Roman"/>
          <w:b/>
          <w:bCs/>
          <w:i w:val="false"/>
          <w:iCs w:val="false"/>
          <w:sz w:val="24"/>
          <w:szCs w:val="24"/>
        </w:rPr>
        <w:t xml:space="preserve">Competitive Sealed Bids:</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Defined as quotes and bids where detailed specifications which describe the materials, equipment, and/or service are available.  Formal bids are opened at public openings.  Prices and relevant information is read to those in attendance.  Award is made to the lowest responsible and responsive bidder whose bid meets the requirements and criteria set forth in the invitation to bid.</w:t>
      </w:r>
    </w:p>
    <w:p>
      <w:pPr>
        <w:keepNext w:val="false"/>
        <w:spacing w:after="0" w:before="0"/>
        <w:jc w:val="left"/>
      </w:pPr>
      <w:r>
        <w:rPr>
          <w:rFonts w:ascii="Times New Roman" w:cs="Times New Roman" w:eastAsia="Times New Roman" w:hAnsi="Times New Roman"/>
          <w:b/>
          <w:bCs/>
          <w:i w:val="false"/>
          <w:iCs w:val="false"/>
          <w:sz w:val="24"/>
          <w:szCs w:val="24"/>
        </w:rPr>
        <w:t xml:space="preserve">Competitive Sealed Proposals:</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Defined as instances when the products, services or projects are of a complex nature or when the expertise of the marketplace is required.  Only the identities of those who have responded will be read at proposal opening.  Award is made to the responsible offer or the proposal determined to be the most advantageous to the District, taking into consideration price and other evaluation factors set forth in the request for proposal.</w:t>
      </w:r>
    </w:p>
    <w:p>
      <w:pPr>
        <w:keepNext w:val="false"/>
        <w:spacing w:after="0" w:before="0"/>
        <w:jc w:val="left"/>
      </w:pPr>
      <w:r>
        <w:rPr>
          <w:rFonts w:ascii="Times New Roman" w:cs="Times New Roman" w:eastAsia="Times New Roman" w:hAnsi="Times New Roman"/>
          <w:b/>
          <w:bCs/>
          <w:i w:val="false"/>
          <w:iCs w:val="false"/>
          <w:sz w:val="24"/>
          <w:szCs w:val="24"/>
        </w:rPr>
        <w:t xml:space="preserve">Sole Source:</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On occasion, because of the need to maintain uniformity or to satisfy certain technical requirements, it may be appropriate to seek a product or service from a single source.  Any deviation from bidding requirements must be authorized by the Purchasing Department.</w:t>
      </w:r>
    </w:p>
    <w:p>
      <w:pPr>
        <w:keepNext w:val="false"/>
        <w:spacing w:after="0" w:before="0"/>
        <w:jc w:val="left"/>
      </w:pPr>
      <w:r>
        <w:rPr>
          <w:rFonts w:ascii="Times New Roman" w:cs="Times New Roman" w:eastAsia="Times New Roman" w:hAnsi="Times New Roman"/>
          <w:b/>
          <w:bCs/>
          <w:i w:val="false"/>
          <w:iCs w:val="false"/>
          <w:sz w:val="24"/>
          <w:szCs w:val="24"/>
        </w:rPr>
        <w:t xml:space="preserve">Negotiations:</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Competitive or noncompetitive negotiations may be used in place of proposals or may be used as part of any proposal process when it is determined by the Director of Purchasing and Materials Management that it is in the best interest of the District.</w:t>
      </w:r>
    </w:p>
    <w:p>
      <w:pPr>
        <w:keepNext w:val="false"/>
        <w:spacing w:after="0" w:before="0"/>
        <w:jc w:val="left"/>
      </w:pPr>
      <w:r>
        <w:rPr>
          <w:rFonts w:ascii="Times New Roman" w:cs="Times New Roman" w:eastAsia="Times New Roman" w:hAnsi="Times New Roman"/>
          <w:b/>
          <w:bCs/>
          <w:i w:val="false"/>
          <w:iCs w:val="false"/>
          <w:sz w:val="24"/>
          <w:szCs w:val="24"/>
        </w:rPr>
        <w:t xml:space="preserve">Dispute Resolution:</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The Director of Purchasing and Materials Management is authorized to settle and resolve questions regarding any protest concerning the solicitation, consideration, or award of a bid/proposal, or controversies arising between the District and a vendor with regard to contracts.  If deemed necessary, District counsel shall be consulted.</w:t>
      </w:r>
    </w:p>
    <w:p>
      <w:pPr>
        <w:pageBreakBefore/>
        <w:spacing w:after="240" w:before="0"/>
        <w:jc w:val="center"/>
      </w:pPr>
      <w:r>
        <w:rPr>
          <w:rFonts w:ascii="Times New Roman" w:cs="Times New Roman" w:eastAsia="Times New Roman" w:hAnsi="Times New Roman"/>
          <w:b/>
          <w:bCs/>
          <w:sz w:val="24"/>
          <w:szCs w:val="24"/>
        </w:rPr>
        <w:t xml:space="preserve">IV. PROCUREMENT METHODS (Continued)</w:t>
      </w:r>
    </w:p>
    <w:p>
      <w:pPr>
        <w:keepNext w:val="false"/>
        <w:spacing w:after="0" w:before="0"/>
        <w:jc w:val="left"/>
      </w:pPr>
      <w:r>
        <w:rPr>
          <w:rFonts w:ascii="Times New Roman" w:cs="Times New Roman" w:eastAsia="Times New Roman" w:hAnsi="Times New Roman"/>
          <w:b/>
          <w:bCs/>
          <w:i w:val="false"/>
          <w:iCs w:val="false"/>
          <w:sz w:val="24"/>
          <w:szCs w:val="24"/>
        </w:rPr>
        <w:t xml:space="preserve">Public Access:</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Quotes and bids shall be subject to public inspection throughout the evaluation process. Requests for Proposals shall be considered working documents that may be negotiated and therefore shall not be subject to public inspection during the evaluation process.  These documents will be available for review once an award has been made.</w:t>
      </w:r>
    </w:p>
    <w:p>
      <w:pPr>
        <w:keepNext w:val="false"/>
        <w:spacing w:after="200" w:before="0"/>
        <w:jc w:val="left"/>
      </w:pPr>
      <w:r>
        <w:rPr>
          <w:rFonts w:ascii="Times New Roman" w:cs="Times New Roman" w:eastAsia="Times New Roman" w:hAnsi="Times New Roman"/>
          <w:b/>
          <w:bCs/>
          <w:i w:val="false"/>
          <w:iCs w:val="false"/>
          <w:sz w:val="24"/>
          <w:szCs w:val="24"/>
        </w:rPr>
        <w:t xml:space="preserve">Bid/Proposal/Quotation Award Authorization:</w:t>
      </w:r>
    </w:p>
    <w:p>
      <w:pPr>
        <w:tabs>
          <w:tab w:val="left" w:pos="1440"/>
        </w:tabs>
        <w:spacing w:after="140"/>
        <w:ind w:left="14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$15,000.00 to $74,999.99:  e-mail, or scan three quotes as deemed appropriate by the Purchasing Department buyer.</w:t>
      </w:r>
    </w:p>
    <w:p>
      <w:pPr>
        <w:tabs>
          <w:tab w:val="left" w:pos="1440"/>
        </w:tabs>
        <w:spacing w:after="140"/>
        <w:ind w:left="14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$75,000.00 to $149,999.99:  formal bid or proposal.  Award must be approved by the budget holders, Director of Construction (where applicable) and the Director of Logistics (Purchasing and Materials Management) or designee.</w:t>
      </w:r>
    </w:p>
    <w:p>
      <w:pPr>
        <w:tabs>
          <w:tab w:val="left" w:pos="1440"/>
        </w:tabs>
        <w:spacing w:after="140"/>
        <w:ind w:left="14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$150,000.00 and above award of bids, proposals, and/or contracts, must be approved by the Board of Education.</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No requirements shall be divided for the purpose of circumventing this policy.</w:t>
      </w:r>
    </w:p>
    <w:p>
      <w:pPr>
        <w:pageBreakBefore/>
        <w:spacing w:after="240" w:before="0"/>
        <w:jc w:val="center"/>
      </w:pPr>
      <w:r>
        <w:rPr>
          <w:rFonts w:ascii="Times New Roman" w:cs="Times New Roman" w:eastAsia="Times New Roman" w:hAnsi="Times New Roman"/>
          <w:b/>
          <w:bCs/>
          <w:sz w:val="24"/>
          <w:szCs w:val="24"/>
        </w:rPr>
        <w:t xml:space="preserve">V. PURCHASE REQUISITIONS PROCEDURES</w:t>
      </w:r>
    </w:p>
    <w:p>
      <w:pPr>
        <w:tabs>
          <w:tab w:val="left" w:pos="720"/>
        </w:tabs>
        <w:spacing w:after="140" w:before="0"/>
        <w:ind w:left="0"/>
      </w:pPr>
      <w:r>
        <w:rPr>
          <w:rFonts w:ascii="Times New Roman" w:cs="Times New Roman" w:eastAsia="Times New Roman" w:hAnsi="Times New Roman"/>
          <w:b/>
          <w:bCs/>
          <w:sz w:val="24"/>
          <w:szCs w:val="24"/>
        </w:rPr>
        <w:t xml:space="preserve">A.	PURCHASE REQUSITIONS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A Budget Holder requesting the Logistics (Procurement) Department to procure goods or services, including sole source or emergency requirements, must be submitted electronically on a Purchase Requisition.</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Upon receipt of requisitions, the Logistics (Procurement) Department will review for completeness of information and specifications, availability of items on existing contracts or from required sources.</w:t>
      </w:r>
    </w:p>
    <w:p>
      <w:pPr>
        <w:tabs>
          <w:tab w:val="left" w:pos="720"/>
        </w:tabs>
        <w:spacing w:after="140" w:before="0"/>
        <w:ind w:left="0"/>
      </w:pPr>
      <w:r>
        <w:rPr>
          <w:rFonts w:ascii="Times New Roman" w:cs="Times New Roman" w:eastAsia="Times New Roman" w:hAnsi="Times New Roman"/>
          <w:b/>
          <w:bCs/>
          <w:sz w:val="24"/>
          <w:szCs w:val="24"/>
        </w:rPr>
        <w:t xml:space="preserve">B.	PROCUREMENT PLANNING</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Proper planning is an essential element of good procurement.  The primary mission of the procurement function is to provide goods and/or services for schools/departments in the proper quality, of the proper quality, at the right time and place needed, and at the lowest possible cost.  It is therefore imperative that customers thoroughly plan for their needs.  Determining in advance what is needed, how much, where, and when will assist the Logistics (Procurement) Department in effectively and efficiently satisfying customer needs and obtaining quantity discounts.</w:t>
      </w:r>
    </w:p>
    <w:p>
      <w:pPr>
        <w:tabs>
          <w:tab w:val="left" w:pos="720"/>
        </w:tabs>
        <w:spacing w:after="140" w:before="0"/>
        <w:ind w:left="0"/>
      </w:pPr>
      <w:r>
        <w:rPr>
          <w:rFonts w:ascii="Times New Roman" w:cs="Times New Roman" w:eastAsia="Times New Roman" w:hAnsi="Times New Roman"/>
          <w:b/>
          <w:bCs/>
          <w:sz w:val="24"/>
          <w:szCs w:val="24"/>
        </w:rPr>
        <w:t xml:space="preserve">C.	SPECIFICATIONS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Specifications define precise requirements of commodities (i.e., goods and services) sought through a solicitation process. The Logistics (Procurement) Department will assist schools and departments in describing goods and services in a manner that will not only meet the customer’s needs, but that will also encourage competition.</w:t>
      </w:r>
    </w:p>
    <w:p>
      <w:pPr>
        <w:tabs>
          <w:tab w:val="left" w:pos="720"/>
        </w:tabs>
        <w:spacing w:after="140" w:before="0"/>
        <w:ind w:left="0"/>
      </w:pPr>
      <w:r>
        <w:rPr>
          <w:rFonts w:ascii="Times New Roman" w:cs="Times New Roman" w:eastAsia="Times New Roman" w:hAnsi="Times New Roman"/>
          <w:b/>
          <w:bCs/>
          <w:sz w:val="24"/>
          <w:szCs w:val="24"/>
        </w:rPr>
        <w:t xml:space="preserve">D.	CAPITAL EQUIPMENT</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Capital equipment consists of non-expendable property that retains its identity and utility during use, has parts that are repairable or replaceable, has a useful expectancy of several years, contributes to the productivity of the organization, and has a total unit value greater than $5,000; e.g., furnishings and equipment.  Accountability for capital equipment is maintained from initial acquisition to final disposition.</w:t>
      </w:r>
    </w:p>
    <w:p>
      <w:pPr>
        <w:tabs>
          <w:tab w:val="left" w:pos="720"/>
        </w:tabs>
        <w:spacing w:after="140" w:before="0"/>
        <w:ind w:left="0"/>
      </w:pPr>
      <w:r>
        <w:rPr>
          <w:rFonts w:ascii="Times New Roman" w:cs="Times New Roman" w:eastAsia="Times New Roman" w:hAnsi="Times New Roman"/>
          <w:b/>
          <w:bCs/>
          <w:sz w:val="24"/>
          <w:szCs w:val="24"/>
        </w:rPr>
        <w:t xml:space="preserve">E.	ORDER SPLITTING</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The intentional splitting of a known purchase requirement into smaller lots with the intention of spreading the purchases over a period of days, weeks, or months in order to circumvent bidding requirements is strictly prohibited.  When the Logistics (Procurement) Department reviews Purchase Requisitions and finds them being intentionally split, these separate orders will be canceled and consolidated into one Purchase Requisition, causing further delays in the procurement process.  Delegated procurement authority may also be terminated and the Budget Holder will be held responsible if splitting of orders is detected as a result of audit or procurement review procedures.</w:t>
      </w:r>
    </w:p>
    <w:p>
      <w:pPr>
        <w:pageBreakBefore/>
        <w:spacing w:after="240" w:before="0"/>
        <w:jc w:val="center"/>
      </w:pPr>
      <w:r>
        <w:rPr>
          <w:rFonts w:ascii="Times New Roman" w:cs="Times New Roman" w:eastAsia="Times New Roman" w:hAnsi="Times New Roman"/>
          <w:b/>
          <w:bCs/>
          <w:sz w:val="24"/>
          <w:szCs w:val="24"/>
        </w:rPr>
        <w:t xml:space="preserve">VI. VENDOR RELATIONS</w:t>
      </w:r>
    </w:p>
    <w:p>
      <w:pPr>
        <w:tabs>
          <w:tab w:val="left" w:pos="720"/>
        </w:tabs>
        <w:spacing w:after="140" w:before="0"/>
        <w:ind w:left="0"/>
      </w:pPr>
      <w:r>
        <w:rPr>
          <w:rFonts w:ascii="Times New Roman" w:cs="Times New Roman" w:eastAsia="Times New Roman" w:hAnsi="Times New Roman"/>
          <w:b/>
          <w:bCs/>
          <w:sz w:val="24"/>
          <w:szCs w:val="24"/>
        </w:rPr>
        <w:t xml:space="preserve">A.	VENDOR RELATIONS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All transactions relating to the expenditure of appropriated and activity funds require the highest degree of public trust.  To eliminate conflicts of interest or inappropriate standards of conduct, WPS personnel are not authorized to solicit, demand, accept, or agree to accept from any vendor, any payment, loan, subscription, advance, deposit of money, services and/or goods, except by approval of the BOE.  Additionally, WPS personnel are not authorized to obtain WPS discounts for personal purchases.</w:t>
      </w:r>
    </w:p>
    <w:p>
      <w:pPr>
        <w:tabs>
          <w:tab w:val="left" w:pos="720"/>
        </w:tabs>
        <w:spacing w:after="140" w:before="0"/>
        <w:ind w:left="0"/>
      </w:pPr>
      <w:r>
        <w:rPr>
          <w:rFonts w:ascii="Times New Roman" w:cs="Times New Roman" w:eastAsia="Times New Roman" w:hAnsi="Times New Roman"/>
          <w:b/>
          <w:bCs/>
          <w:sz w:val="24"/>
          <w:szCs w:val="24"/>
        </w:rPr>
        <w:t xml:space="preserve">B.	CONFLICT OF INTEREST</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Per BOE Policy GBEA: No employee of the District shall engage in or have a financial interest, directly or indirectly, in any activity that conflicts or raises a reasonable question of conflict with his duties and responsibilities in the school system, or is contrary to law.  Employees are expected to perform the duties of the position to which they are assigned and to observe rules of conduct and ethical principles established by state law and district policies and regulations.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It shall be understood that all confidential information an employee is privy to as a result of district employment shall be kept strictly confidential.  In addition, employees shall not utilize information solely available to them through school sources to engage in any type of work outside of the school district.  This includes information concerning potential customers, clients or employers.</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An employee shall not sell any books, instructional supplies, musical instruments, equipment, or other school supplies to any student, or that person’s parents/guardian, who attends the school served by the employee unless written consent has been obtained from the District.</w:t>
      </w:r>
    </w:p>
    <w:p>
      <w:pPr>
        <w:keepNext w:val="false"/>
        <w:spacing w:after="140" w:before="0"/>
        <w:ind w:left="720"/>
        <w:jc w:val="both"/>
      </w:pPr>
      <w:r>
        <w:rPr>
          <w:rFonts w:ascii="Times New Roman" w:cs="Times New Roman" w:eastAsia="Times New Roman" w:hAnsi="Times New Roman"/>
          <w:b w:val="false"/>
          <w:bCs w:val="false"/>
          <w:i w:val="false"/>
          <w:iCs w:val="false"/>
          <w:sz w:val="24"/>
          <w:szCs w:val="24"/>
        </w:rPr>
        <w:t xml:space="preserve">Moreover, to avoid a conflict of interest, the District prohibits an employee from exercising supervisory, appointment, dismissal authority, or disciplinary action over a member of the employee’s immediate family.  For purposes of this policy, an employee’s “immediate family” includes his or her spouse, children and parents.  In addition, an employee may not audit, verify, receive or be entrusted with moneys received or handled by a member of the employee’s immediate family.  An employee shall not have access to the employer’s confidential information concerning a member of the employee’s immediate family, including payroll and personnel records.</w:t>
      </w:r>
    </w:p>
    <w:p>
      <w:pPr>
        <w:keepNext w:val="false"/>
        <w:pageBreakBefore/>
        <w:spacing w:after="0" w:before="0"/>
        <w:jc w:val="center"/>
      </w:pPr>
      <w:r>
        <w:rPr>
          <w:rFonts w:ascii="Times New Roman" w:cs="Times New Roman" w:eastAsia="Times New Roman" w:hAnsi="Times New Roman"/>
          <w:b/>
          <w:bCs/>
          <w:i w:val="false"/>
          <w:iCs w:val="false"/>
          <w:sz w:val="24"/>
          <w:szCs w:val="24"/>
        </w:rPr>
        <w:t xml:space="preserve">Westminster Public School District Procurement Department - Debarment and Suspension Rules</w:t>
      </w:r>
    </w:p>
    <w:p>
      <w:pPr>
        <w:keepNext w:val="false"/>
        <w:spacing w:after="300" w:before="0"/>
        <w:jc w:val="center"/>
      </w:pPr>
      <w:r>
        <w:rPr>
          <w:rFonts w:ascii="Times New Roman" w:cs="Times New Roman" w:eastAsia="Times New Roman" w:hAnsi="Times New Roman"/>
          <w:b/>
          <w:bCs/>
          <w:i w:val="false"/>
          <w:iCs w:val="false"/>
          <w:sz w:val="24"/>
          <w:szCs w:val="24"/>
        </w:rPr>
        <w:t xml:space="preserve">(Based on Colorado Revised Statutes 24-109-105)</w:t>
      </w:r>
    </w:p>
    <w:p>
      <w:pPr>
        <w:keepNext w:val="false"/>
        <w:spacing w:after="140" w:before="0"/>
        <w:jc w:val="left"/>
      </w:pPr>
      <w:r>
        <w:rPr>
          <w:rFonts w:ascii="Times New Roman" w:cs="Times New Roman" w:eastAsia="Times New Roman" w:hAnsi="Times New Roman"/>
          <w:b w:val="false"/>
          <w:bCs w:val="false"/>
          <w:i w:val="false"/>
          <w:iCs w:val="false"/>
          <w:sz w:val="24"/>
          <w:szCs w:val="24"/>
        </w:rPr>
        <w:t xml:space="preserve">C.R.S. 204-109-105 Debarment and Suspension.</w:t>
      </w:r>
    </w:p>
    <w:p>
      <w:pPr>
        <w:spacing w:after="100"/>
      </w:pPr>
      <w:r>
        <w:rPr>
          <w:rFonts w:ascii="Times New Roman" w:cs="Times New Roman" w:eastAsia="Times New Roman" w:hAnsi="Times New Roman"/>
          <w:sz w:val="24"/>
          <w:szCs w:val="24"/>
        </w:rPr>
        <w:t xml:space="preserve">1.</w:t>
      </w:r>
    </w:p>
    <w:p>
      <w:pPr>
        <w:tabs>
          <w:tab w:val="left" w:pos="1440"/>
        </w:tabs>
        <w:spacing w:after="140"/>
        <w:ind w:left="144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After reasonable notice to the person involved and reasonable opportunity for that person to be heard, the procurement official or his or her designee, after consultation with the using agency and the attorney general, shall have authority to debar a person for any of the reasons set forth in subsection (2) of this section from consideration for award of contracts. The debarment shall not be for a period of more than three years; except that, if a person is convicted of a crime specified in subsection (2) of this section, the length of the debarment period must equal the length of the confinement sentence including the period of mandatory parole if imposed or the length of the probation sentence.</w:t>
      </w:r>
    </w:p>
    <w:p>
      <w:pPr>
        <w:tabs>
          <w:tab w:val="left" w:pos="1440"/>
        </w:tabs>
        <w:spacing w:after="140"/>
        <w:ind w:left="144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The procurement official or his or her designee, after consultation with the using agency and the attorney general, shall have authority to suspend a person from consideration for award of contracts if there is probable cause to believe that such person has engaged in activities that may lead to debarment. The suspension shall not be for a period exceeding three months. However, if a criminal charge has been issued for an offense that would be a cause for debarment under subsection (2) of this section, the suspension shall, at the request of the attorney general, remain in effect until after the trial of the suspended person. If a person is suspended because a criminal charge has been issued against an officer, director, partner, manager, key employee, or other principal of the suspended person, the suspension may remain in effect until after the trial of the officer, director, partner, manager, key employee, or other principal or until after the charges against such officer, director, partner, manager, key employee, or other principal have been dismissed.</w:t>
      </w:r>
    </w:p>
    <w:p>
      <w:pPr>
        <w:tabs>
          <w:tab w:val="left" w:pos="1440"/>
        </w:tabs>
        <w:spacing w:after="140"/>
        <w:ind w:left="144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The authority to debar or suspend shall be exercised pursuant to rules which shall provide for an expeditious resolution of the issue of debarment or suspension.</w:t>
      </w:r>
    </w:p>
    <w:p>
      <w:pPr>
        <w:tabs>
          <w:tab w:val="left" w:pos="720"/>
        </w:tabs>
        <w:spacing w:after="100"/>
        <w:ind w:left="720" w:hanging="720"/>
      </w:pPr>
      <w:r>
        <w:rPr>
          <w:rFonts w:ascii="Times New Roman" w:cs="Times New Roman" w:eastAsia="Times New Roman" w:hAnsi="Times New Roman"/>
          <w:sz w:val="24"/>
          <w:szCs w:val="24"/>
        </w:rPr>
        <w:t xml:space="preserve">2.	A person may be debarred for any of the following reasons:</w:t>
      </w:r>
    </w:p>
    <w:p>
      <w:pPr>
        <w:tabs>
          <w:tab w:val="left" w:pos="1440"/>
        </w:tabs>
        <w:spacing w:after="140"/>
        <w:ind w:left="144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Conviction of a criminal offense as an incident to obtaining or attempting to obtain a public or private contract or subcontract or in the performance of such contract or subcontract;</w:t>
      </w:r>
    </w:p>
    <w:p>
      <w:pPr>
        <w:tabs>
          <w:tab w:val="left" w:pos="1440"/>
        </w:tabs>
        <w:spacing w:after="140"/>
        <w:ind w:left="144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Conviction under state or federal statutes of embezzlement theft, forgery, bribery, falsification or destruction of records, or receiving stolen property;</w:t>
      </w:r>
    </w:p>
    <w:p>
      <w:pPr>
        <w:tabs>
          <w:tab w:val="left" w:pos="1440"/>
        </w:tabs>
        <w:spacing w:after="140"/>
        <w:ind w:left="144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Conviction under state or federal antitrust statues arising out of submission of bids or proposals;</w:t>
      </w:r>
    </w:p>
    <w:p>
      <w:pPr>
        <w:tabs>
          <w:tab w:val="left" w:pos="1440"/>
        </w:tabs>
        <w:spacing w:after="140"/>
        <w:ind w:left="144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Willful material failure to perform in accordance with the terms of one or more contracts, following notice of such failure, or a history of material failure to perform, or of materially unsatisfactory performance of, one or more contracts;</w:t>
      </w:r>
    </w:p>
    <w:p>
      <w:pPr>
        <w:pageBreakBefore/>
        <w:tabs>
          <w:tab w:val="left" w:pos="1440"/>
        </w:tabs>
        <w:spacing w:after="140"/>
        <w:ind w:left="1440" w:hanging="36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The person is currently under debarment by any other governmental entity which is based upon a settlement agreement or a final administrative or judicial determination issued by a federal, state, or local governmental entity;</w:t>
      </w:r>
    </w:p>
    <w:p>
      <w:pPr>
        <w:tabs>
          <w:tab w:val="left" w:pos="1440"/>
        </w:tabs>
        <w:spacing w:after="140"/>
        <w:ind w:left="1440" w:hanging="36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The department of labor and employment has imposed three fines on a contractor within five years pursuant to section § 8-17-104, C.R.S., for failure to satisfy Colorado labor requirements; or</w:t>
      </w:r>
    </w:p>
    <w:p>
      <w:pPr>
        <w:tabs>
          <w:tab w:val="left" w:pos="1440"/>
        </w:tabs>
        <w:spacing w:after="140"/>
        <w:ind w:left="1440" w:hanging="36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rPr>
        <w:t xml:space="preserve">The person willfully falsified documentation or willfully misrepresented their qualifications required to comply with the contract.</w:t>
      </w:r>
    </w:p>
    <w:sectPr>
      <w:headerReference w:type="default" r:id="rId13"/>
      <w:footerReference w:type="default" r:id="rId14"/>
      <w:type w:val="nextPage"/>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p>
    <w:pPr>
      <w:spacing w:before="0"/>
      <w:jc w:val="right"/>
    </w:pPr>
    <w:r>
      <w:rPr>
        <w:rFonts w:ascii="Times New Roman" w:cs="Times New Roman" w:eastAsia="Times New Roman" w:hAnsi="Times New Roman"/>
        <w:sz w:val="20"/>
        <w:szCs w:val="20"/>
      </w:rPr>
      <w:t xml:space="preserve">Revised January 2024</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360"/>
      </w:tabs>
    </w:pPr>
    <w:r>
      <w:rPr>
        <w:rFonts w:ascii="Times New Roman" w:cs="Times New Roman" w:eastAsia="Times New Roman" w:hAnsi="Times New Roman"/>
        <w:sz w:val="20"/>
        <w:szCs w:val="20"/>
        <w:u w:val="single"/>
      </w:rPr>
      <w:t xml:space="preserve">Westminster Public Schools</w:t>
    </w:r>
    <w:r>
      <w:t xml:space="preserve">	</w:t>
    </w:r>
    <w:r>
      <w:rPr>
        <w:rFonts w:ascii="Times New Roman" w:cs="Times New Roman" w:eastAsia="Times New Roman" w:hAnsi="Times New Roman"/>
        <w:sz w:val="20"/>
        <w:szCs w:val="20"/>
        <w:u w:val="single"/>
      </w:rPr>
      <w:t xml:space="preserve">Logistics/Procurement Procedures Manual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360"/>
      </w:tabs>
    </w:pPr>
    <w:r>
      <w:rPr>
        <w:rFonts w:ascii="Times New Roman" w:cs="Times New Roman" w:eastAsia="Times New Roman" w:hAnsi="Times New Roman"/>
        <w:sz w:val="20"/>
        <w:szCs w:val="20"/>
        <w:u w:val="single"/>
      </w:rPr>
      <w:t xml:space="preserve">Westminster Public Schools</w:t>
    </w:r>
    <w:r>
      <w:t xml:space="preserve">	</w:t>
    </w:r>
    <w:r>
      <w:rPr>
        <w:rFonts w:ascii="Times New Roman" w:cs="Times New Roman" w:eastAsia="Times New Roman" w:hAnsi="Times New Roman"/>
        <w:sz w:val="20"/>
        <w:szCs w:val="20"/>
        <w:u w:val="single"/>
      </w:rPr>
      <w:t xml:space="preserve">Logistics/Procurement Procedures Manual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360"/>
      </w:tabs>
    </w:pPr>
    <w:r>
      <w:rPr>
        <w:rFonts w:ascii="Times New Roman" w:cs="Times New Roman" w:eastAsia="Times New Roman" w:hAnsi="Times New Roman"/>
        <w:sz w:val="20"/>
        <w:szCs w:val="20"/>
        <w:u w:val="single"/>
      </w:rPr>
      <w:t xml:space="preserve">Westminster Public Schools</w:t>
    </w:r>
    <w:r>
      <w:t xml:space="preserve">	</w:t>
    </w:r>
    <w:r>
      <w:rPr>
        <w:rFonts w:ascii="Times New Roman" w:cs="Times New Roman" w:eastAsia="Times New Roman" w:hAnsi="Times New Roman"/>
        <w:sz w:val="20"/>
        <w:szCs w:val="20"/>
        <w:u w:val="single"/>
      </w:rPr>
      <w:t xml:space="preserve">Logistics/Procurement Procedures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27db33fdba5ae23470a30999f32a57871610da7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2026-08-28T16:02:57.908Z</dcterms:created>
  <dcterms:modified xsi:type="dcterms:W3CDTF">2026-08-28T16:02:57.908Z</dcterms:modified>
</cp:coreProperties>
</file>

<file path=docProps/custom.xml><?xml version="1.0" encoding="utf-8"?>
<Properties xmlns="http://schemas.openxmlformats.org/officeDocument/2006/custom-properties" xmlns:vt="http://schemas.openxmlformats.org/officeDocument/2006/docPropsVTypes"/>
</file>