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110"/>
      </w:tblPr>
      <w:tblGrid>
        <w:gridCol w:w="7555"/>
        <w:gridCol w:w="7555"/>
      </w:tblGrid>
      <w:tr>
        <w:tc>
          <w:tcPr>
            <w:tcW w:type="dxa" w:w="1511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2F1A" w:val="clear"/>
            <w:tcMar>
              <w:top w:type="dxa" w:w="180"/>
              <w:left w:type="dxa" w:w="260"/>
              <w:bottom w:type="dxa" w:w="180"/>
              <w:right w:type="dxa" w:w="2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Migreringsflöde — Byggsamordnaren till Next</w:t>
            </w:r>
            <w:r>
              <w:rPr>
                <w:rFonts w:ascii="Arial" w:cs="Arial" w:eastAsia="Arial" w:hAnsi="Arial"/>
                <w:b w:val="false"/>
                <w:bCs w:val="false"/>
                <w:color w:val="BDD78F"/>
                <w:sz w:val="24"/>
                <w:szCs w:val="24"/>
              </w:rPr>
              <w:t xml:space="preserve">          Aceve PS</w:t>
            </w:r>
          </w:p>
        </w:tc>
      </w:tr>
      <w:tr>
        <w:tc>
          <w:tcPr>
            <w:tcW w:type="dxa" w:w="7555"/>
            <w:tcBorders>
              <w:top w:val="none" w:color="FFFFFF" w:sz="0"/>
              <w:left w:val="none" w:color="FFFFFF" w:sz="0"/>
              <w:bottom w:val="none" w:color="FFFFFF" w:sz="0"/>
              <w:right w:val="dashed" w:color="457951" w:sz="4"/>
            </w:tcBorders>
            <w:shd w:fill="E1FFA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52F1A"/>
                <w:sz w:val="24"/>
                <w:szCs w:val="24"/>
              </w:rPr>
              <w:t xml:space="preserve">Kund</w:t>
            </w:r>
          </w:p>
        </w:tc>
        <w:tc>
          <w:tcPr>
            <w:tcW w:type="dxa" w:w="7555"/>
            <w:tcBorders>
              <w:top w:val="none" w:color="FFFFFF" w:sz="0"/>
              <w:left w:val="dashed" w:color="457951" w:sz="4"/>
              <w:bottom w:val="none" w:color="FFFFFF" w:sz="0"/>
              <w:right w:val="none" w:color="FFFFFF" w:sz="0"/>
            </w:tcBorders>
            <w:shd w:fill="BDD7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52F1A"/>
                <w:sz w:val="24"/>
                <w:szCs w:val="24"/>
              </w:rPr>
              <w:t xml:space="preserve">Aceve-konsult</w:t>
            </w:r>
          </w:p>
        </w:tc>
      </w:tr>
      <w:tr>
        <w:tc>
          <w:tcPr>
            <w:tcW w:type="dxa" w:w="1511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462B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 1 — FÖRBEREDELSE</w:t>
            </w:r>
          </w:p>
        </w:tc>
      </w:tr>
      <w:tr>
        <w:tc>
          <w:tcPr>
            <w:tcW w:type="dxa" w:w="1511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FF0" w:val="clear"/>
            <w:tcMar>
              <w:top w:type="dxa" w:w="200"/>
              <w:left w:type="dxa" w:w="3777"/>
              <w:bottom w:type="dxa" w:w="200"/>
              <w:right w:type="dxa" w:w="3777"/>
            </w:tcMar>
            <w:vAlign w:val="center"/>
          </w:tcPr>
          <w:p>
            <w:pPr>
              <w:pBdr>
                <w:top w:val="single" w:color="152F1A" w:sz="1"/>
                <w:bottom w:val="single" w:color="152F1A" w:sz="1"/>
                <w:left w:val="single" w:color="152F1A" w:sz="1"/>
                <w:right w:val="single" w:color="152F1A" w:sz="1"/>
              </w:pBdr>
              <w:shd w:fill="152F1A" w:val="clear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Kickoff-möte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7951"/>
                <w:sz w:val="18"/>
                <w:szCs w:val="18"/>
              </w:rPr>
              <w:t xml:space="preserve">Genomgång av scope, tidplan och ansvar</w:t>
            </w:r>
          </w:p>
        </w:tc>
      </w:tr>
      <w:tr>
        <w:tc>
          <w:tcPr>
            <w:tcW w:type="dxa" w:w="7555"/>
            <w:tcBorders>
              <w:top w:val="single" w:color="BDD78F" w:sz="4"/>
              <w:left w:val="single" w:color="BDD78F" w:sz="4"/>
              <w:bottom w:val="single" w:color="BDD78F" w:sz="4"/>
              <w:right w:val="dashed" w:color="457951" w:sz="4"/>
            </w:tcBorders>
            <w:shd w:fill="FFFFFF" w:val="clear"/>
            <w:tcMar>
              <w:top w:type="dxa" w:w="24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2F1A"/>
                <w:sz w:val="22"/>
                <w:szCs w:val="22"/>
              </w:rPr>
              <w:t xml:space="preserve">Städa Byggsamordnaren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7951"/>
                <w:sz w:val="18"/>
                <w:szCs w:val="18"/>
              </w:rPr>
              <w:t xml:space="preserve">Avsluta/arkivera inaktiva projekt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7951"/>
                <w:sz w:val="18"/>
                <w:szCs w:val="18"/>
              </w:rPr>
              <w:t xml:space="preserve">Identifiera pågående projekt att migrera</w:t>
            </w:r>
          </w:p>
        </w:tc>
        <w:tc>
          <w:tcPr>
            <w:tcW w:type="dxa" w:w="7555"/>
            <w:tcBorders>
              <w:top w:val="single" w:color="BDD78F" w:sz="4"/>
              <w:left w:val="dashed" w:color="457951" w:sz="4"/>
              <w:bottom w:val="single" w:color="BDD78F" w:sz="4"/>
              <w:right w:val="single" w:color="BDD78F" w:sz="4"/>
            </w:tcBorders>
            <w:shd w:fill="FFFFFF" w:val="clear"/>
            <w:tcMar>
              <w:top w:type="dxa" w:w="24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2F1A"/>
                <w:sz w:val="22"/>
                <w:szCs w:val="22"/>
              </w:rPr>
              <w:t xml:space="preserve">Planering &amp; förberedelse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7951"/>
                <w:sz w:val="18"/>
                <w:szCs w:val="18"/>
              </w:rPr>
              <w:t xml:space="preserve">Sätt upp Next-miljö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7951"/>
                <w:sz w:val="18"/>
                <w:szCs w:val="18"/>
              </w:rPr>
              <w:t xml:space="preserve">Boka exportprogramstillfälle med kund</w:t>
            </w:r>
          </w:p>
        </w:tc>
      </w:tr>
      <w:tr>
        <w:tc>
          <w:tcPr>
            <w:tcW w:type="dxa" w:w="1511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FF0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7951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1511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462B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 2 — DATAUTTAG FRÅN BYGGSAMORDNAREN</w:t>
            </w:r>
          </w:p>
        </w:tc>
      </w:tr>
      <w:tr>
        <w:tc>
          <w:tcPr>
            <w:tcW w:type="dxa" w:w="7555"/>
            <w:tcBorders>
              <w:top w:val="single" w:color="BDD78F" w:sz="4"/>
              <w:left w:val="single" w:color="BDD78F" w:sz="4"/>
              <w:bottom w:val="single" w:color="BDD78F" w:sz="4"/>
              <w:right w:val="dashed" w:color="457951" w:sz="4"/>
            </w:tcBorders>
            <w:shd w:fill="FFFFFF" w:val="clear"/>
            <w:tcMar>
              <w:top w:type="dxa" w:w="24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2F1A"/>
                <w:sz w:val="22"/>
                <w:szCs w:val="22"/>
              </w:rPr>
              <w:t xml:space="preserve">Kund exporterar &amp; levererar data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7951"/>
                <w:sz w:val="18"/>
                <w:szCs w:val="18"/>
              </w:rPr>
              <w:t xml:space="preserve">Kör exportprogrammet med konsult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7951"/>
                <w:sz w:val="18"/>
                <w:szCs w:val="18"/>
              </w:rPr>
              <w:t xml:space="preserve">Exporterar Excel-filer (bokföring, timmar m.m.)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7951"/>
                <w:sz w:val="18"/>
                <w:szCs w:val="18"/>
              </w:rPr>
              <w:t xml:space="preserve">Säkerställer IT-tillgång för exportprogram</w:t>
            </w:r>
          </w:p>
        </w:tc>
        <w:tc>
          <w:tcPr>
            <w:tcW w:type="dxa" w:w="7555"/>
            <w:tcBorders>
              <w:top w:val="single" w:color="BDD78F" w:sz="4"/>
              <w:left w:val="dashed" w:color="457951" w:sz="4"/>
              <w:bottom w:val="single" w:color="BDD78F" w:sz="4"/>
              <w:right w:val="single" w:color="BDD78F" w:sz="4"/>
            </w:tcBorders>
            <w:shd w:fill="FFFFFF" w:val="clear"/>
            <w:tcMar>
              <w:top w:type="dxa" w:w="24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2F1A"/>
                <w:sz w:val="22"/>
                <w:szCs w:val="22"/>
              </w:rPr>
              <w:t xml:space="preserve">Konsult stöttar export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7951"/>
                <w:sz w:val="18"/>
                <w:szCs w:val="18"/>
              </w:rPr>
              <w:t xml:space="preserve">Kör exportprogrammet på plats/distans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7951"/>
                <w:sz w:val="18"/>
                <w:szCs w:val="18"/>
              </w:rPr>
              <w:t xml:space="preserve">Säkerställer att rätt data tas ut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7951"/>
                <w:sz w:val="18"/>
                <w:szCs w:val="18"/>
              </w:rPr>
              <w:t xml:space="preserve">Verifierar fil- och datakvalitet</w:t>
            </w:r>
          </w:p>
        </w:tc>
      </w:tr>
      <w:tr>
        <w:tc>
          <w:tcPr>
            <w:tcW w:type="dxa" w:w="1511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FF0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7951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1511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462B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 3 — IMPORT TILL NEXT</w:t>
            </w:r>
          </w:p>
        </w:tc>
      </w:tr>
      <w:tr>
        <w:tc>
          <w:tcPr>
            <w:tcW w:type="dxa" w:w="7555"/>
            <w:tcBorders>
              <w:top w:val="single" w:color="BDD78F" w:sz="4"/>
              <w:left w:val="single" w:color="BDD78F" w:sz="4"/>
              <w:bottom w:val="single" w:color="BDD78F" w:sz="4"/>
              <w:right w:val="dashed" w:color="457951" w:sz="4"/>
            </w:tcBorders>
            <w:shd w:fill="FFFFFF" w:val="clear"/>
            <w:tcMar>
              <w:top w:type="dxa" w:w="24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2F1A"/>
                <w:sz w:val="22"/>
                <w:szCs w:val="22"/>
              </w:rPr>
              <w:t xml:space="preserve">Kund bidrar &amp; verifierar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7951"/>
                <w:sz w:val="18"/>
                <w:szCs w:val="18"/>
              </w:rPr>
              <w:t xml:space="preserve">Fyller i Excel-mallar (vid behov)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7951"/>
                <w:sz w:val="18"/>
                <w:szCs w:val="18"/>
              </w:rPr>
              <w:t xml:space="preserve">Stämmer av att projektnr matchar ekonomisystem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7951"/>
                <w:sz w:val="18"/>
                <w:szCs w:val="18"/>
              </w:rPr>
              <w:t xml:space="preserve">Granskar importerade register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7951"/>
                <w:sz w:val="18"/>
                <w:szCs w:val="18"/>
              </w:rPr>
              <w:t xml:space="preserve">Godkänner data eller återkopplar fel</w:t>
            </w:r>
          </w:p>
        </w:tc>
        <w:tc>
          <w:tcPr>
            <w:tcW w:type="dxa" w:w="7555"/>
            <w:tcBorders>
              <w:top w:val="single" w:color="BDD78F" w:sz="4"/>
              <w:left w:val="dashed" w:color="457951" w:sz="4"/>
              <w:bottom w:val="single" w:color="BDD78F" w:sz="4"/>
              <w:right w:val="single" w:color="BDD78F" w:sz="4"/>
            </w:tcBorders>
            <w:shd w:fill="FFFFFF" w:val="clear"/>
            <w:tcMar>
              <w:top w:type="dxa" w:w="24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2F1A"/>
                <w:sz w:val="22"/>
                <w:szCs w:val="22"/>
              </w:rPr>
              <w:t xml:space="preserve">Aceve genomför import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7951"/>
                <w:sz w:val="18"/>
                <w:szCs w:val="18"/>
              </w:rPr>
              <w:t xml:space="preserve">Importerar register (timpriser, projekt, mallar...)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7951"/>
                <w:sz w:val="18"/>
                <w:szCs w:val="18"/>
              </w:rPr>
              <w:t xml:space="preserve">Sätter upp ekonomisystemsintegration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7951"/>
                <w:sz w:val="18"/>
                <w:szCs w:val="18"/>
              </w:rPr>
              <w:t xml:space="preserve">Importerar projektdata (ÄTA, fråga/svar m.m.)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7951"/>
                <w:sz w:val="18"/>
                <w:szCs w:val="18"/>
              </w:rPr>
              <w:t xml:space="preserve">Åtgärdar avvikelser efter kundgranskning</w:t>
            </w:r>
          </w:p>
        </w:tc>
      </w:tr>
      <w:tr>
        <w:tc>
          <w:tcPr>
            <w:tcW w:type="dxa" w:w="1511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FF0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7951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1511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462B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 4 — DRIFTSÄTTNING &amp; AVSLUT</w:t>
            </w:r>
          </w:p>
        </w:tc>
      </w:tr>
      <w:tr>
        <w:tc>
          <w:tcPr>
            <w:tcW w:type="dxa" w:w="7555"/>
            <w:tcBorders>
              <w:top w:val="single" w:color="BDD78F" w:sz="4"/>
              <w:left w:val="single" w:color="BDD78F" w:sz="4"/>
              <w:bottom w:val="single" w:color="BDD78F" w:sz="4"/>
              <w:right w:val="dashed" w:color="457951" w:sz="4"/>
            </w:tcBorders>
            <w:shd w:fill="FFFFFF" w:val="clear"/>
            <w:tcMar>
              <w:top w:type="dxa" w:w="24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2F1A"/>
                <w:sz w:val="22"/>
                <w:szCs w:val="22"/>
              </w:rPr>
              <w:t xml:space="preserve">Kund driftsätter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7951"/>
                <w:sz w:val="18"/>
                <w:szCs w:val="18"/>
              </w:rPr>
              <w:t xml:space="preserve">Börjar använda Next för nya aktiviteter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7951"/>
                <w:sz w:val="18"/>
                <w:szCs w:val="18"/>
              </w:rPr>
              <w:t xml:space="preserve">Manuell flytt av dokument, tidsplaner, dagbok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7951"/>
                <w:sz w:val="18"/>
                <w:szCs w:val="18"/>
              </w:rPr>
              <w:t xml:space="preserve">BSO kvarstår som arkiv (ingen kostnad)</w:t>
            </w:r>
          </w:p>
        </w:tc>
        <w:tc>
          <w:tcPr>
            <w:tcW w:type="dxa" w:w="7555"/>
            <w:tcBorders>
              <w:top w:val="single" w:color="BDD78F" w:sz="4"/>
              <w:left w:val="dashed" w:color="457951" w:sz="4"/>
              <w:bottom w:val="single" w:color="BDD78F" w:sz="4"/>
              <w:right w:val="single" w:color="BDD78F" w:sz="4"/>
            </w:tcBorders>
            <w:shd w:fill="FFFFFF" w:val="clear"/>
            <w:tcMar>
              <w:top w:type="dxa" w:w="24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2F1A"/>
                <w:sz w:val="22"/>
                <w:szCs w:val="22"/>
              </w:rPr>
              <w:t xml:space="preserve">Aceve avslutar projekt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7951"/>
                <w:sz w:val="18"/>
                <w:szCs w:val="18"/>
              </w:rPr>
              <w:t xml:space="preserve">Slutkontroll och överlämning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7951"/>
                <w:sz w:val="18"/>
                <w:szCs w:val="18"/>
              </w:rPr>
              <w:t xml:space="preserve">Dokumenterar vad som ej migrerats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7951"/>
                <w:sz w:val="18"/>
                <w:szCs w:val="18"/>
              </w:rPr>
              <w:t xml:space="preserve">Bekräftar att BSO-arkiv är tillgängligt</w:t>
            </w:r>
          </w:p>
        </w:tc>
      </w:tr>
      <w:tr>
        <w:tc>
          <w:tcPr>
            <w:tcW w:type="dxa" w:w="15110"/>
            <w:gridSpan w:val="2"/>
            <w:tcBorders>
              <w:top w:val="single" w:color="457951" w:sz="6"/>
              <w:left w:val="single" w:color="457951" w:sz="6"/>
              <w:bottom w:val="single" w:color="457951" w:sz="6"/>
              <w:right w:val="single" w:color="457951" w:sz="6"/>
            </w:tcBorders>
            <w:shd w:fill="E1FFAE" w:val="clear"/>
            <w:tcMar>
              <w:top w:type="dxa" w:w="140"/>
              <w:left w:type="dxa" w:w="260"/>
              <w:bottom w:type="dxa" w:w="140"/>
              <w:right w:type="dxa" w:w="26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2F1A"/>
                <w:sz w:val="20"/>
                <w:szCs w:val="20"/>
              </w:rPr>
              <w:t xml:space="preserve">⚠  Viktigt för kund inför fas 2:  </w:t>
            </w:r>
            <w:r>
              <w:rPr>
                <w:rFonts w:ascii="Arial" w:cs="Arial" w:eastAsia="Arial" w:hAnsi="Arial"/>
                <w:b w:val="false"/>
                <w:bCs w:val="false"/>
                <w:color w:val="24462B"/>
                <w:sz w:val="20"/>
                <w:szCs w:val="20"/>
              </w:rPr>
              <w:t xml:space="preserve">Ju färre aktiva projekt i Byggsamordnaren, desto kortare migrering.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4462B"/>
                <w:sz w:val="20"/>
                <w:szCs w:val="20"/>
              </w:rPr>
              <w:t xml:space="preserve">Arkivera alla avslutade projekt innan exporttillfället bokas.</w:t>
            </w:r>
          </w:p>
        </w:tc>
      </w:tr>
      <w:tr>
        <w:tc>
          <w:tcPr>
            <w:tcW w:type="dxa" w:w="15110"/>
            <w:gridSpan w:val="2"/>
            <w:tcBorders>
              <w:top w:val="single" w:color="457951" w:sz="6"/>
              <w:left w:val="none" w:color="FFFFFF" w:sz="0"/>
              <w:bottom w:val="none" w:color="FFFFFF" w:sz="0"/>
              <w:right w:val="none" w:color="FFFFFF" w:sz="0"/>
            </w:tcBorders>
            <w:shd w:fill="FBFFF0" w:val="clear"/>
            <w:tcMar>
              <w:top w:type="dxa" w:w="100"/>
              <w:left w:type="dxa" w:w="260"/>
              <w:bottom w:type="dxa" w:w="100"/>
              <w:right w:type="dxa" w:w="2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7951"/>
                <w:sz w:val="16"/>
                <w:szCs w:val="16"/>
              </w:rPr>
              <w:t>Strikt konfidentiellt — endast för internt bruk                                                                                          aceve.com</w:t>
            </w:r>
          </w:p>
        </w:tc>
      </w:tr>
    </w:tbl>
    <w:sectPr>
      <w:pgSz w:w="11906" w:h="16838" w:orient="landscape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4462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2026-06-09T13:32:52.613Z</dcterms:created>
  <dcterms:modified xsi:type="dcterms:W3CDTF">2026-06-09T13:32:52.614Z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