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6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120"/>
            </w:pPr>
            <w:r>
              <w:drawing>
                <wp:inline distT="0" distB="0" distL="0" distR="0">
                  <wp:extent cx="1238250" cy="295275"/>
                  <wp:effectExtent t="0" r="0" b="0" l="0"/>
                  <wp:docPr id="1" name="Aceve" descr="Aceve logotype" title="Ace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color w:val="152F1A"/>
                <w:sz w:val="36"/>
                <w:szCs w:val="36"/>
              </w:rPr>
              <w:t xml:space="preserve">Customer Preboarding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57951"/>
                <w:sz w:val="22"/>
                <w:szCs w:val="22"/>
              </w:rPr>
              <w:t xml:space="preserve">Salesforce Integration — Use Case</w:t>
            </w:r>
          </w:p>
        </w:tc>
        <w:tc>
          <w:tcPr>
            <w:tcW w:type="dxa" w:w="4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Carl Bäckström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Professional Services · Aceve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June 2026</w:t>
            </w:r>
          </w:p>
        </w:tc>
      </w:tr>
    </w:tbl>
    <w:p>
      <w:pPr>
        <w:pBdr>
          <w:bottom w:val="single" w:color="152F1A" w:sz="12" w:space="1"/>
        </w:pBdr>
        <w:spacing w:after="200" w:before="120"/>
      </w:pPr>
    </w:p>
    <w:p>
      <w:pPr>
        <w:pBdr>
          <w:bottom w:val="single" w:color="457951" w:sz="6" w:space="2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52F1A"/>
          <w:sz w:val="18"/>
          <w:szCs w:val="18"/>
        </w:rPr>
        <w:t xml:space="preserve">Context</w:t>
      </w:r>
    </w:p>
    <w:p>
      <w:pPr>
        <w:spacing w:after="100" w:before="0"/>
      </w:pPr>
      <w:r>
        <w:rPr>
          <w:rFonts w:ascii="Arial" w:cs="Arial" w:eastAsia="Arial" w:hAnsi="Arial"/>
          <w:color w:val="24462B"/>
          <w:sz w:val="20"/>
          <w:szCs w:val="20"/>
        </w:rPr>
        <w:t xml:space="preserve">Aceve has customers on BSO [figure removed — belongs to the BSO Sunset project] (Byggsamordnaren), a legacy on-premise product being sunset [date removed — belongs to the BSO Sunset project]. Not all will migrate to Next Project — a realistic conversion target is a subset [figure removed — belongs to the BSO Sunset project]: those who fit our ICP and are prioritized for migration. The remainder are out of scope, whether due to product fit, size, or commercial priority.</w:t>
      </w:r>
    </w:p>
    <w:p>
      <w:pPr>
        <w:spacing w:after="6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24462B"/>
          <w:sz w:val="20"/>
          <w:szCs w:val="20"/>
        </w:rPr>
        <w:t xml:space="preserve">Getting the converted customers across the line efficiently [conversion volume and ARR-uplift figures removed — they belong to the BSO Sunset project] — without proportionally scaling PS headcount — is the core challenge.</w:t>
      </w:r>
    </w:p>
    <w:p>
      <w:pPr>
        <w:spacing w:after="6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24462B"/>
          <w:sz w:val="20"/>
          <w:szCs w:val="20"/>
        </w:rPr>
        <w:t xml:space="preserve">To do that, we are building a self-service preboarding and data-migration tool. The customer completes a guided flow on the web — company profile, superusers, training, responsibility, and data import — with no consultant involvement. When done, a ticket is created automatically on our side. Ingestro, a data-migration platform we have under contract, provides the engine for the data transfer into Next Project.</w:t>
      </w:r>
    </w:p>
    <w:p>
      <w:pPr>
        <w:spacing w:after="60" w:before="0"/>
      </w:pPr>
      <w:r>
        <w:t xml:space="preserve"/>
      </w:r>
    </w:p>
    <w:p>
      <w:pPr>
        <w:pBdr>
          <w:bottom w:val="single" w:color="457951" w:sz="6" w:space="2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52F1A"/>
          <w:sz w:val="18"/>
          <w:szCs w:val="18"/>
        </w:rPr>
        <w:t xml:space="preserve">Why we need a Salesforce integration</w:t>
      </w:r>
    </w:p>
    <w:p>
      <w:pPr>
        <w:spacing w:after="100" w:before="0"/>
      </w:pPr>
      <w:r>
        <w:rPr>
          <w:rFonts w:ascii="Arial" w:cs="Arial" w:eastAsia="Arial" w:hAnsi="Arial"/>
          <w:color w:val="24462B"/>
          <w:sz w:val="20"/>
          <w:szCs w:val="20"/>
        </w:rPr>
        <w:t xml:space="preserve">Salesforce holds the customer record — account, contacts, products owned, deal stage, region — from lead to contract. The preboarding tool picks up that journey from the moment the contract is signed. Without a connection between the two systems, the same data is re-entered manually at every handoff, generating errors and consuming time we cannot spare.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2B97A" w:sz="1"/>
              <w:left w:val="single" w:color="92B97A" w:sz="1"/>
              <w:bottom w:val="single" w:color="92B97A" w:sz="1"/>
              <w:right w:val="single" w:color="92B97A" w:sz="1"/>
            </w:tcBorders>
            <w:shd w:fill="E1FFA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2F1A"/>
                <w:sz w:val="18"/>
                <w:szCs w:val="18"/>
              </w:rPr>
              <w:t xml:space="preserve">CRM → Tool (pre-fill)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4462B"/>
                <w:sz w:val="18"/>
                <w:szCs w:val="18"/>
              </w:rPr>
              <w:t xml:space="preserve">Account name, org. number, country/region, products owned, deal/opportunity stage, existing contacts — the tool opens pre-populated and loads the right product template.</w:t>
            </w:r>
          </w:p>
        </w:tc>
        <w:tc>
          <w:tcPr>
            <w:tcW w:type="dxa" w:w="4500"/>
            <w:tcBorders>
              <w:top w:val="single" w:color="92B97A" w:sz="1"/>
              <w:left w:val="single" w:color="92B97A" w:sz="1"/>
              <w:bottom w:val="single" w:color="92B97A" w:sz="1"/>
              <w:right w:val="single" w:color="92B97A" w:sz="1"/>
            </w:tcBorders>
            <w:shd w:fill="FBFF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2F1A"/>
                <w:sz w:val="18"/>
                <w:szCs w:val="18"/>
              </w:rPr>
              <w:t xml:space="preserve">Tool → CRM (enrich)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4462B"/>
                <w:sz w:val="18"/>
                <w:szCs w:val="18"/>
              </w:rPr>
              <w:t xml:space="preserve">Company profile (industry, size, geography, work types), superusers and contacts, product and add-on choices, onboarding progress and status, go-live milestone.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24462B"/>
          <w:sz w:val="20"/>
          <w:szCs w:val="20"/>
        </w:rPr>
        <w:t xml:space="preserve">Net effect: Salesforce seeds the tool so the customer never re-enters known data. The tool continuously enriches Salesforce as the customer moves from lead → preboarding → onboarding → live. One source of truth, no manual re-entry.</w:t>
      </w:r>
    </w:p>
    <w:p>
      <w:pPr>
        <w:spacing w:after="60" w:before="0"/>
      </w:pPr>
      <w:r>
        <w:t xml:space="preserve"/>
      </w:r>
    </w:p>
    <w:p>
      <w:pPr>
        <w:pBdr>
          <w:bottom w:val="single" w:color="457951" w:sz="6" w:space="2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52F1A"/>
          <w:sz w:val="18"/>
          <w:szCs w:val="18"/>
        </w:rPr>
        <w:t xml:space="preserve">Scope and phasing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462B"/>
          <w:sz w:val="20"/>
          <w:szCs w:val="20"/>
        </w:rPr>
        <w:t xml:space="preserve">Phase 1 — BSO Sunset (immediate): the ICP-fit Next Project customers. [volume and deadline removed — belong to the BSO Sunset project]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462B"/>
          <w:sz w:val="20"/>
          <w:szCs w:val="20"/>
        </w:rPr>
        <w:t xml:space="preserve">Phase 2 — Aceve portfolio: extend to Entré, Craftnote, and other products. The tool is architected for Aceve, not Next alone.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462B"/>
          <w:sz w:val="20"/>
          <w:szCs w:val="20"/>
        </w:rPr>
        <w:t xml:space="preserve">Future — lead generation: customer profile qualifies the lead and pre-populates Salesforce before a contract is signed.</w:t>
      </w:r>
    </w:p>
    <w:p>
      <w:pPr>
        <w:spacing w:after="60" w:before="0"/>
      </w:pPr>
      <w:r>
        <w:t xml:space="preserve"/>
      </w:r>
    </w:p>
    <w:p>
      <w:pPr>
        <w:pBdr>
          <w:bottom w:val="single" w:color="457951" w:sz="6" w:space="2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52F1A"/>
          <w:sz w:val="18"/>
          <w:szCs w:val="18"/>
        </w:rPr>
        <w:t xml:space="preserve">What we are asking for</w:t>
      </w:r>
    </w:p>
    <w:p>
      <w:pPr>
        <w:spacing w:after="100" w:before="0"/>
      </w:pPr>
      <w:r>
        <w:rPr>
          <w:rFonts w:ascii="Arial" w:cs="Arial" w:eastAsia="Arial" w:hAnsi="Arial"/>
          <w:color w:val="24462B"/>
          <w:sz w:val="20"/>
          <w:szCs w:val="20"/>
        </w:rPr>
        <w:t xml:space="preserve">We want this use case included in the integration strategy that Miguel and Andrew are defining. We are not asking for a point-to-point workaround — we want the right architecture. If an iPaaS/middleware layer is the direction, we want to be an early use case that the solution is designed to support from day one.</w:t>
      </w:r>
    </w:p>
    <w:p>
      <w:pPr>
        <w:spacing w:after="6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24462B"/>
          <w:sz w:val="20"/>
          <w:szCs w:val="20"/>
        </w:rPr>
        <w:t xml:space="preserve">Immediate next step: 30 minutes to align on feasibility, integration pattern, and how to get this into the prioritization pipeline.</w:t>
      </w:r>
    </w:p>
    <w:p>
      <w:pPr>
        <w:spacing w:after="80" w:before="0"/>
      </w:pPr>
      <w:r>
        <w:t xml:space="preserve"/>
      </w:r>
    </w:p>
    <w:p>
      <w:pPr>
        <w:pBdr>
          <w:top w:val="single" w:color="92B97A" w:sz="4" w:space="4"/>
        </w:pBdr>
        <w:spacing w:after="0" w:before="160"/>
        <w:jc w:val="center"/>
      </w:pPr>
      <w:r>
        <w:rPr>
          <w:rFonts w:ascii="Arial" w:cs="Arial" w:eastAsia="Arial" w:hAnsi="Arial"/>
          <w:color w:val="457951"/>
          <w:sz w:val="16"/>
          <w:szCs w:val="16"/>
        </w:rPr>
        <w:t xml:space="preserve">carl.backstrom@aceve.com</w:t>
      </w:r>
      <w:r>
        <w:rPr>
          <w:rFonts w:ascii="Arial" w:cs="Arial" w:eastAsia="Arial" w:hAnsi="Arial"/>
          <w:color w:val="457951"/>
          <w:sz w:val="16"/>
          <w:szCs w:val="16"/>
        </w:rPr>
        <w:t xml:space="preserve">  ·  Professional Services Hub · Aceve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46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12ba6cf4660668cc85342453f39ca3711c14c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2026-06-26T10:28:49.101Z</dcterms:created>
  <dcterms:modified xsi:type="dcterms:W3CDTF">2026-06-26T10:28:49.101Z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