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0"/>
      </w:pPr>
    </w:p>
    <w:p>
      <w:pPr>
        <w:spacing w:after="200"/>
        <w:jc w:val="center"/>
      </w:pPr>
      <w:r>
        <w:rPr>
          <w:rFonts w:ascii="Arial" w:cs="Arial" w:eastAsia="Arial" w:hAnsi="Arial"/>
          <w:b/>
          <w:bCs/>
          <w:color w:val="0E1B38"/>
          <w:sz w:val="52"/>
          <w:szCs w:val="52"/>
        </w:rPr>
        <w:t xml:space="preserve">Simulador UX Dual</w:t>
      </w:r>
    </w:p>
    <w:p>
      <w:pPr>
        <w:spacing w:after="120"/>
        <w:jc w:val="center"/>
      </w:pPr>
      <w:r>
        <w:rPr>
          <w:rFonts w:ascii="Arial" w:cs="Arial" w:eastAsia="Arial" w:hAnsi="Arial"/>
          <w:color w:val="3BB273"/>
          <w:sz w:val="32"/>
          <w:szCs w:val="32"/>
        </w:rPr>
        <w:t xml:space="preserve">Metodología de cálculo</w:t>
      </w:r>
    </w:p>
    <w:p>
      <w:pPr>
        <w:spacing w:after="600"/>
        <w:jc w:val="center"/>
      </w:pPr>
      <w:r>
        <w:rPr>
          <w:rFonts w:ascii="Arial" w:cs="Arial" w:eastAsia="Arial" w:hAnsi="Arial"/>
          <w:color w:val="888888"/>
          <w:sz w:val="22"/>
          <w:szCs w:val="22"/>
        </w:rPr>
        <w:t xml:space="preserve">Documento interno — Marzo 2026</w:t>
      </w:r>
    </w:p>
    <w:p>
      <w:pPr>
        <w:jc w:val="center"/>
      </w:pPr>
      <w:r>
        <w:rPr>
          <w:rFonts w:ascii="Arial" w:cs="Arial" w:eastAsia="Arial" w:hAnsi="Arial"/>
          <w:b/>
          <w:bCs/>
          <w:color w:val="0E1B38"/>
          <w:sz w:val="24"/>
          <w:szCs w:val="24"/>
        </w:rPr>
        <w:t xml:space="preserve">UX Capital</w:t>
      </w:r>
    </w:p>
    <w:r>
      <w:br w:type="page"/>
    </w:r>
    <w:p>
      <w:pPr>
        <w:pStyle w:val="Heading1"/>
        <w:spacing w:after="200" w:before="360"/>
      </w:pPr>
      <w:r>
        <w:rPr>
          <w:rFonts w:ascii="Arial" w:cs="Arial" w:eastAsia="Arial" w:hAnsi="Arial"/>
          <w:b/>
          <w:bCs/>
          <w:color w:val="0E1B38"/>
          <w:sz w:val="28"/>
          <w:szCs w:val="28"/>
        </w:rPr>
        <w:t xml:space="preserve">1. Objetivo del simulador</w:t>
      </w:r>
    </w:p>
    <w:p>
      <w:pPr>
        <w:spacing w:after="160"/>
      </w:pPr>
      <w:r>
        <w:rPr>
          <w:rFonts w:ascii="Arial" w:cs="Arial" w:eastAsia="Arial" w:hAnsi="Arial"/>
          <w:color w:val="333333"/>
          <w:sz w:val="22"/>
          <w:szCs w:val="22"/>
        </w:rPr>
        <w:t xml:space="preserve">El simulador compara cuánto rendimiento genera el dinero de una persona en dos escenarios durante un mes: usando una </w:t>
      </w:r>
      <w:r>
        <w:rPr>
          <w:rFonts w:ascii="Arial" w:cs="Arial" w:eastAsia="Arial" w:hAnsi="Arial"/>
          <w:b/>
          <w:bCs/>
          <w:color w:val="333333"/>
          <w:sz w:val="22"/>
          <w:szCs w:val="22"/>
        </w:rPr>
        <w:t xml:space="preserve">billetera virtual tradicional</w:t>
      </w:r>
      <w:r>
        <w:rPr>
          <w:rFonts w:ascii="Arial" w:cs="Arial" w:eastAsia="Arial" w:hAnsi="Arial"/>
          <w:color w:val="333333"/>
          <w:sz w:val="22"/>
          <w:szCs w:val="22"/>
        </w:rPr>
        <w:t xml:space="preserve"> y usando </w:t>
      </w:r>
      <w:r>
        <w:rPr>
          <w:rFonts w:ascii="Arial" w:cs="Arial" w:eastAsia="Arial" w:hAnsi="Arial"/>
          <w:b/>
          <w:bCs/>
          <w:color w:val="333333"/>
          <w:sz w:val="22"/>
          <w:szCs w:val="22"/>
        </w:rPr>
        <w:t xml:space="preserve">UX Dual</w:t>
      </w:r>
      <w:r>
        <w:rPr>
          <w:rFonts w:ascii="Arial" w:cs="Arial" w:eastAsia="Arial" w:hAnsi="Arial"/>
          <w:color w:val="333333"/>
          <w:sz w:val="22"/>
          <w:szCs w:val="22"/>
        </w:rPr>
        <w:t xml:space="preserve">.</w:t>
      </w:r>
    </w:p>
    <w:p>
      <w:pPr>
        <w:spacing w:after="160"/>
      </w:pPr>
      <w:r>
        <w:rPr>
          <w:rFonts w:ascii="Arial" w:cs="Arial" w:eastAsia="Arial" w:hAnsi="Arial"/>
          <w:color w:val="333333"/>
          <w:sz w:val="22"/>
          <w:szCs w:val="22"/>
        </w:rPr>
        <w:t xml:space="preserve">La diferencia central es lo que ocurre con el dinero después de gastarse. En una billetera tradicional, el dinero gastado deja de rendir. En UX Dual, ese dinero queda invertido hasta fin de mes y el usuario recibe el </w:t>
      </w:r>
      <w:r>
        <w:rPr>
          <w:rFonts w:ascii="Arial" w:cs="Arial" w:eastAsia="Arial" w:hAnsi="Arial"/>
          <w:b/>
          <w:bCs/>
          <w:color w:val="333333"/>
          <w:sz w:val="22"/>
          <w:szCs w:val="22"/>
        </w:rPr>
        <w:t xml:space="preserve">67%</w:t>
      </w:r>
      <w:r>
        <w:rPr>
          <w:rFonts w:ascii="Arial" w:cs="Arial" w:eastAsia="Arial" w:hAnsi="Arial"/>
          <w:color w:val="333333"/>
          <w:sz w:val="22"/>
          <w:szCs w:val="22"/>
        </w:rPr>
        <w:t xml:space="preserve"> del rendimiento que genera en ese tramo.</w:t>
      </w:r>
    </w:p>
    <w:p>
      <w:pPr>
        <w:pStyle w:val="Heading1"/>
        <w:spacing w:after="200" w:before="360"/>
      </w:pPr>
      <w:r>
        <w:rPr>
          <w:rFonts w:ascii="Arial" w:cs="Arial" w:eastAsia="Arial" w:hAnsi="Arial"/>
          <w:b/>
          <w:bCs/>
          <w:color w:val="0E1B38"/>
          <w:sz w:val="28"/>
          <w:szCs w:val="28"/>
        </w:rPr>
        <w:t xml:space="preserve">2. Datos que ingresa el usuario</w:t>
      </w:r>
    </w:p>
    <w:p>
      <w:pPr>
        <w:pStyle w:val="ListParagraph"/>
        <w:numPr>
          <w:ilvl w:val="0"/>
          <w:numId w:val="2"/>
        </w:numPr>
        <w:spacing w:after="80"/>
      </w:pPr>
      <w:r>
        <w:rPr>
          <w:rFonts w:ascii="Arial" w:cs="Arial" w:eastAsia="Arial" w:hAnsi="Arial"/>
          <w:sz w:val="22"/>
          <w:szCs w:val="22"/>
        </w:rPr>
        <w:t xml:space="preserve"/>
      </w:r>
      <w:r>
        <w:rPr>
          <w:rFonts w:ascii="Arial" w:cs="Arial" w:eastAsia="Arial" w:hAnsi="Arial"/>
          <w:b/>
          <w:bCs/>
          <w:sz w:val="22"/>
          <w:szCs w:val="22"/>
        </w:rPr>
        <w:t xml:space="preserve">Dinero disponible al inicio del mes</w:t>
      </w:r>
      <w:r>
        <w:rPr>
          <w:rFonts w:ascii="Arial" w:cs="Arial" w:eastAsia="Arial" w:hAnsi="Arial"/>
          <w:sz w:val="22"/>
          <w:szCs w:val="22"/>
        </w:rPr>
        <w:t xml:space="preserve">: cuánto tiene en la cuenta el día 1.</w:t>
      </w:r>
    </w:p>
    <w:p>
      <w:pPr>
        <w:pStyle w:val="ListParagraph"/>
        <w:numPr>
          <w:ilvl w:val="0"/>
          <w:numId w:val="2"/>
        </w:numPr>
        <w:spacing w:after="80"/>
      </w:pPr>
      <w:r>
        <w:rPr>
          <w:rFonts w:ascii="Arial" w:cs="Arial" w:eastAsia="Arial" w:hAnsi="Arial"/>
          <w:sz w:val="22"/>
          <w:szCs w:val="22"/>
        </w:rPr>
        <w:t xml:space="preserve"/>
      </w:r>
      <w:r>
        <w:rPr>
          <w:rFonts w:ascii="Arial" w:cs="Arial" w:eastAsia="Arial" w:hAnsi="Arial"/>
          <w:b/>
          <w:bCs/>
          <w:sz w:val="22"/>
          <w:szCs w:val="22"/>
        </w:rPr>
        <w:t xml:space="preserve">Gasto total del mes</w:t>
      </w:r>
      <w:r>
        <w:rPr>
          <w:rFonts w:ascii="Arial" w:cs="Arial" w:eastAsia="Arial" w:hAnsi="Arial"/>
          <w:sz w:val="22"/>
          <w:szCs w:val="22"/>
        </w:rPr>
        <w:t xml:space="preserve">: la suma de todos los pagos que hará en el mes.</w:t>
      </w:r>
    </w:p>
    <w:p>
      <w:pPr>
        <w:pStyle w:val="ListParagraph"/>
        <w:numPr>
          <w:ilvl w:val="0"/>
          <w:numId w:val="2"/>
        </w:numPr>
        <w:spacing w:after="80"/>
      </w:pPr>
      <w:r>
        <w:rPr>
          <w:rFonts w:ascii="Arial" w:cs="Arial" w:eastAsia="Arial" w:hAnsi="Arial"/>
          <w:sz w:val="22"/>
          <w:szCs w:val="22"/>
        </w:rPr>
        <w:t xml:space="preserve"/>
      </w:r>
      <w:r>
        <w:rPr>
          <w:rFonts w:ascii="Arial" w:cs="Arial" w:eastAsia="Arial" w:hAnsi="Arial"/>
          <w:b/>
          <w:bCs/>
          <w:sz w:val="22"/>
          <w:szCs w:val="22"/>
        </w:rPr>
        <w:t xml:space="preserve">Momento de gasto</w:t>
      </w:r>
      <w:r>
        <w:rPr>
          <w:rFonts w:ascii="Arial" w:cs="Arial" w:eastAsia="Arial" w:hAnsi="Arial"/>
          <w:sz w:val="22"/>
          <w:szCs w:val="22"/>
        </w:rPr>
        <w:t xml:space="preserve">: si concentra sus pagos a principio (día 5), mitad (día 15) o fin de mes (día 25).</w:t>
      </w:r>
    </w:p>
    <w:p>
      <w:pPr>
        <w:pStyle w:val="Heading1"/>
        <w:spacing w:after="200" w:before="360"/>
      </w:pPr>
      <w:r>
        <w:rPr>
          <w:rFonts w:ascii="Arial" w:cs="Arial" w:eastAsia="Arial" w:hAnsi="Arial"/>
          <w:b/>
          <w:bCs/>
          <w:color w:val="0E1B38"/>
          <w:sz w:val="28"/>
          <w:szCs w:val="28"/>
        </w:rPr>
        <w:t xml:space="preserve">3. Modelo de distribución del gasto</w:t>
      </w:r>
    </w:p>
    <w:p>
      <w:pPr>
        <w:spacing w:after="160"/>
      </w:pPr>
      <w:r>
        <w:rPr>
          <w:rFonts w:ascii="Arial" w:cs="Arial" w:eastAsia="Arial" w:hAnsi="Arial"/>
          <w:color w:val="333333"/>
          <w:sz w:val="22"/>
          <w:szCs w:val="22"/>
        </w:rPr>
        <w:t xml:space="preserve">El simulador no asume que el usuario gasta todo en un solo día. El gasto total se distribuye en partes iguales entre el día 1 y el día seleccionado:</w:t>
      </w:r>
    </w:p>
    <w:p>
      <w:pPr>
        <w:shd w:fill="F4F6F8" w:val="clear"/>
        <w:spacing w:after="160" w:before="160"/>
        <w:ind w:left="720" w:right="720"/>
        <w:jc w:val="center"/>
      </w:pPr>
      <w:r>
        <w:rPr>
          <w:rFonts w:ascii="Consolas" w:cs="Consolas" w:eastAsia="Consolas" w:hAnsi="Consolas"/>
          <w:b/>
          <w:bCs/>
          <w:color w:val="0E1B38"/>
          <w:sz w:val="22"/>
          <w:szCs w:val="22"/>
        </w:rPr>
        <w:t xml:space="preserve">Gasto diario = Gasto total / día seleccionado</w:t>
      </w:r>
    </w:p>
    <w:p>
      <w:pPr>
        <w:spacing w:after="160"/>
      </w:pPr>
      <w:r>
        <w:rPr>
          <w:rFonts w:ascii="Arial" w:cs="Arial" w:eastAsia="Arial" w:hAnsi="Arial"/>
          <w:color w:val="333333"/>
          <w:sz w:val="22"/>
          <w:szCs w:val="22"/>
        </w:rPr>
        <w:t xml:space="preserve">Ejemplo: si el usuario selecciona "mitad de mes" y gasta $900.000, el simulador asume $60.000 por día durante los primeros 15 días. Del día 16 al 30 no se agrega nuevo gasto.</w:t>
      </w:r>
    </w:p>
    <w:p>
      <w:pPr>
        <w:pStyle w:val="Heading1"/>
        <w:spacing w:after="200" w:before="360"/>
      </w:pPr>
      <w:r>
        <w:rPr>
          <w:rFonts w:ascii="Arial" w:cs="Arial" w:eastAsia="Arial" w:hAnsi="Arial"/>
          <w:b/>
          <w:bCs/>
          <w:color w:val="0E1B38"/>
          <w:sz w:val="28"/>
          <w:szCs w:val="28"/>
        </w:rPr>
        <w:t xml:space="preserve">4. Tasas utilizadas</w:t>
      </w:r>
    </w:p>
    <w:p>
      <w:pPr>
        <w:pStyle w:val="Heading2"/>
        <w:spacing w:after="160" w:before="280"/>
      </w:pPr>
      <w:r>
        <w:rPr>
          <w:rFonts w:ascii="Arial" w:cs="Arial" w:eastAsia="Arial" w:hAnsi="Arial"/>
          <w:b/>
          <w:bCs/>
          <w:color w:val="3BB273"/>
          <w:sz w:val="24"/>
          <w:szCs w:val="24"/>
        </w:rPr>
        <w:t xml:space="preserve">4.1 Tipo de tasa</w:t>
      </w:r>
    </w:p>
    <w:p>
      <w:pPr>
        <w:spacing w:after="160"/>
      </w:pPr>
      <w:r>
        <w:rPr>
          <w:rFonts w:ascii="Arial" w:cs="Arial" w:eastAsia="Arial" w:hAnsi="Arial"/>
          <w:color w:val="333333"/>
          <w:sz w:val="22"/>
          <w:szCs w:val="22"/>
        </w:rPr>
        <w:t xml:space="preserve">Todas las tasas se expresan como </w:t>
      </w:r>
      <w:r>
        <w:rPr>
          <w:rFonts w:ascii="Arial" w:cs="Arial" w:eastAsia="Arial" w:hAnsi="Arial"/>
          <w:b/>
          <w:bCs/>
          <w:color w:val="333333"/>
          <w:sz w:val="22"/>
          <w:szCs w:val="22"/>
        </w:rPr>
        <w:t xml:space="preserve">TNA</w:t>
      </w:r>
      <w:r>
        <w:rPr>
          <w:rFonts w:ascii="Arial" w:cs="Arial" w:eastAsia="Arial" w:hAnsi="Arial"/>
          <w:color w:val="333333"/>
          <w:sz w:val="22"/>
          <w:szCs w:val="22"/>
        </w:rPr>
        <w:t xml:space="preserve"> (Tasa Nominal Anual). Una TNA del 23% significa que, si el dinero permanece invertido un año completo, el rendimiento anual es del 23%.</w:t>
      </w:r>
    </w:p>
    <w:p>
      <w:pPr>
        <w:pStyle w:val="Heading2"/>
        <w:spacing w:after="160" w:before="280"/>
      </w:pPr>
      <w:r>
        <w:rPr>
          <w:rFonts w:ascii="Arial" w:cs="Arial" w:eastAsia="Arial" w:hAnsi="Arial"/>
          <w:b/>
          <w:bCs/>
          <w:color w:val="3BB273"/>
          <w:sz w:val="24"/>
          <w:szCs w:val="24"/>
        </w:rPr>
        <w:t xml:space="preserve">4.2 Origen de las tasas</w:t>
      </w:r>
    </w:p>
    <w:p>
      <w:pPr>
        <w:spacing w:after="160"/>
      </w:pPr>
      <w:r>
        <w:rPr>
          <w:rFonts w:ascii="Arial" w:cs="Arial" w:eastAsia="Arial" w:hAnsi="Arial"/>
          <w:color w:val="333333"/>
          <w:sz w:val="22"/>
          <w:szCs w:val="22"/>
        </w:rPr>
        <w:t xml:space="preserve">Las tasas se obtienen automáticamente desde un servicio tercero conectado a </w:t>
      </w:r>
      <w:r>
        <w:rPr>
          <w:rFonts w:ascii="Arial" w:cs="Arial" w:eastAsia="Arial" w:hAnsi="Arial"/>
          <w:b/>
          <w:bCs/>
          <w:color w:val="333333"/>
          <w:sz w:val="22"/>
          <w:szCs w:val="22"/>
        </w:rPr>
        <w:t xml:space="preserve">CAFCI</w:t>
      </w:r>
      <w:r>
        <w:rPr>
          <w:rFonts w:ascii="Arial" w:cs="Arial" w:eastAsia="Arial" w:hAnsi="Arial"/>
          <w:color w:val="333333"/>
          <w:sz w:val="22"/>
          <w:szCs w:val="22"/>
        </w:rPr>
        <w:t xml:space="preserve"> (Cámara Argentina de Fondos Comunes de Inversión). Específicamente:</w:t>
      </w:r>
    </w:p>
    <w:p>
      <w:pPr>
        <w:pStyle w:val="ListParagraph"/>
        <w:numPr>
          <w:ilvl w:val="0"/>
          <w:numId w:val="2"/>
        </w:numPr>
        <w:spacing w:after="80"/>
      </w:pPr>
      <w:r>
        <w:rPr>
          <w:rFonts w:ascii="Arial" w:cs="Arial" w:eastAsia="Arial" w:hAnsi="Arial"/>
          <w:sz w:val="22"/>
          <w:szCs w:val="22"/>
        </w:rPr>
        <w:t xml:space="preserve"/>
      </w:r>
      <w:r>
        <w:rPr>
          <w:rFonts w:ascii="Arial" w:cs="Arial" w:eastAsia="Arial" w:hAnsi="Arial"/>
          <w:b/>
          <w:bCs/>
          <w:sz w:val="22"/>
          <w:szCs w:val="22"/>
        </w:rPr>
        <w:t xml:space="preserve">Naranja X y Ualá</w:t>
      </w:r>
      <w:r>
        <w:rPr>
          <w:rFonts w:ascii="Arial" w:cs="Arial" w:eastAsia="Arial" w:hAnsi="Arial"/>
          <w:sz w:val="22"/>
          <w:szCs w:val="22"/>
        </w:rPr>
        <w:t xml:space="preserve">: se toman de la sección de tasas garantizadas publicadas por el agregador.</w:t>
      </w:r>
    </w:p>
    <w:p>
      <w:pPr>
        <w:pStyle w:val="ListParagraph"/>
        <w:numPr>
          <w:ilvl w:val="0"/>
          <w:numId w:val="2"/>
        </w:numPr>
        <w:spacing w:after="80"/>
      </w:pPr>
      <w:r>
        <w:rPr>
          <w:rFonts w:ascii="Arial" w:cs="Arial" w:eastAsia="Arial" w:hAnsi="Arial"/>
          <w:sz w:val="22"/>
          <w:szCs w:val="22"/>
        </w:rPr>
        <w:t xml:space="preserve"/>
      </w:r>
      <w:r>
        <w:rPr>
          <w:rFonts w:ascii="Arial" w:cs="Arial" w:eastAsia="Arial" w:hAnsi="Arial"/>
          <w:b/>
          <w:bCs/>
          <w:sz w:val="22"/>
          <w:szCs w:val="22"/>
        </w:rPr>
        <w:t xml:space="preserve">Mercado Pago</w:t>
      </w:r>
      <w:r>
        <w:rPr>
          <w:rFonts w:ascii="Arial" w:cs="Arial" w:eastAsia="Arial" w:hAnsi="Arial"/>
          <w:sz w:val="22"/>
          <w:szCs w:val="22"/>
        </w:rPr>
        <w:t xml:space="preserve"> (Mercado Fondo - Clase A) y </w:t>
      </w:r>
      <w:r>
        <w:rPr>
          <w:rFonts w:ascii="Arial" w:cs="Arial" w:eastAsia="Arial" w:hAnsi="Arial"/>
          <w:b/>
          <w:bCs/>
          <w:sz w:val="22"/>
          <w:szCs w:val="22"/>
        </w:rPr>
        <w:t xml:space="preserve">Personal Pay</w:t>
      </w:r>
      <w:r>
        <w:rPr>
          <w:rFonts w:ascii="Arial" w:cs="Arial" w:eastAsia="Arial" w:hAnsi="Arial"/>
          <w:sz w:val="22"/>
          <w:szCs w:val="22"/>
        </w:rPr>
        <w:t xml:space="preserve"> (Delta Pesos - Clase A): se toman del listado de rendimientos de FCIs del mismo agregador.</w:t>
      </w:r>
    </w:p>
    <w:p>
      <w:pPr>
        <w:pStyle w:val="ListParagraph"/>
        <w:numPr>
          <w:ilvl w:val="0"/>
          <w:numId w:val="2"/>
        </w:numPr>
        <w:spacing w:after="80"/>
      </w:pPr>
      <w:r>
        <w:rPr>
          <w:rFonts w:ascii="Arial" w:cs="Arial" w:eastAsia="Arial" w:hAnsi="Arial"/>
          <w:sz w:val="22"/>
          <w:szCs w:val="22"/>
        </w:rPr>
        <w:t xml:space="preserve"/>
      </w:r>
      <w:r>
        <w:rPr>
          <w:rFonts w:ascii="Arial" w:cs="Arial" w:eastAsia="Arial" w:hAnsi="Arial"/>
          <w:b/>
          <w:bCs/>
          <w:sz w:val="22"/>
          <w:szCs w:val="22"/>
        </w:rPr>
        <w:t xml:space="preserve">Tasa de UX Dual</w:t>
      </w:r>
      <w:r>
        <w:rPr>
          <w:rFonts w:ascii="Arial" w:cs="Arial" w:eastAsia="Arial" w:hAnsi="Arial"/>
          <w:sz w:val="22"/>
          <w:szCs w:val="22"/>
        </w:rPr>
        <w:t xml:space="preserve">: se toma del rendimiento de Delta Pesos - Clase A, el fondo subyacente que utiliza UX Dual.</w:t>
      </w:r>
    </w:p>
    <w:p>
      <w:pPr>
        <w:pStyle w:val="Heading2"/>
        <w:spacing w:after="160" w:before="280"/>
      </w:pPr>
      <w:r>
        <w:rPr>
          <w:rFonts w:ascii="Arial" w:cs="Arial" w:eastAsia="Arial" w:hAnsi="Arial"/>
          <w:b/>
          <w:bCs/>
          <w:color w:val="3BB273"/>
          <w:sz w:val="24"/>
          <w:szCs w:val="24"/>
        </w:rPr>
        <w:t xml:space="preserve">4.3 Actualización y fallback</w:t>
      </w:r>
    </w:p>
    <w:p>
      <w:pPr>
        <w:spacing w:after="160"/>
      </w:pPr>
      <w:r>
        <w:rPr>
          <w:rFonts w:ascii="Arial" w:cs="Arial" w:eastAsia="Arial" w:hAnsi="Arial"/>
          <w:color w:val="333333"/>
          <w:sz w:val="22"/>
          <w:szCs w:val="22"/>
        </w:rPr>
        <w:t xml:space="preserve">Cada vez que alguien abre el simulador, este consulta las fuentes externas. Si responden correctamente, las tasas se consideran </w:t>
      </w:r>
      <w:r>
        <w:rPr>
          <w:rFonts w:ascii="Arial" w:cs="Arial" w:eastAsia="Arial" w:hAnsi="Arial"/>
          <w:b/>
          <w:bCs/>
          <w:color w:val="333333"/>
          <w:sz w:val="22"/>
          <w:szCs w:val="22"/>
        </w:rPr>
        <w:t xml:space="preserve">actualizadas</w:t>
      </w:r>
      <w:r>
        <w:rPr>
          <w:rFonts w:ascii="Arial" w:cs="Arial" w:eastAsia="Arial" w:hAnsi="Arial"/>
          <w:color w:val="333333"/>
          <w:sz w:val="22"/>
          <w:szCs w:val="22"/>
        </w:rPr>
        <w:t xml:space="preserve">. Si la fuente no responde, el simulador utiliza </w:t>
      </w:r>
      <w:r>
        <w:rPr>
          <w:rFonts w:ascii="Arial" w:cs="Arial" w:eastAsia="Arial" w:hAnsi="Arial"/>
          <w:b/>
          <w:bCs/>
          <w:color w:val="333333"/>
          <w:sz w:val="22"/>
          <w:szCs w:val="22"/>
        </w:rPr>
        <w:t xml:space="preserve">valores de referencia</w:t>
      </w:r>
      <w:r>
        <w:rPr>
          <w:rFonts w:ascii="Arial" w:cs="Arial" w:eastAsia="Arial" w:hAnsi="Arial"/>
          <w:color w:val="333333"/>
          <w:sz w:val="22"/>
          <w:szCs w:val="22"/>
        </w:rPr>
        <w:t xml:space="preserve"> guardados previamente. Esto garantiza que el simulador siempre funcione, aunque las tasas podrían no reflejar el valor exacto del día.</w:t>
      </w:r>
    </w:p>
    <w:p>
      <w:pPr>
        <w:spacing w:after="160"/>
      </w:pPr>
      <w:r>
        <w:rPr>
          <w:rFonts w:ascii="Arial" w:cs="Arial" w:eastAsia="Arial" w:hAnsi="Arial"/>
          <w:color w:val="333333"/>
          <w:sz w:val="22"/>
          <w:szCs w:val="22"/>
        </w:rPr>
        <w:t xml:space="preserve">Cadena de prioridad:</w:t>
      </w:r>
    </w:p>
    <w:p>
      <w:pPr>
        <w:pStyle w:val="ListParagraph"/>
        <w:numPr>
          <w:ilvl w:val="0"/>
          <w:numId w:val="3"/>
        </w:numPr>
        <w:spacing w:after="80"/>
      </w:pPr>
      <w:r>
        <w:rPr>
          <w:rFonts w:ascii="Arial" w:cs="Arial" w:eastAsia="Arial" w:hAnsi="Arial"/>
          <w:sz w:val="22"/>
          <w:szCs w:val="22"/>
        </w:rPr>
        <w:t xml:space="preserve">1º Fuente externa en vivo (tercero conectado a CAFCI).</w:t>
      </w:r>
    </w:p>
    <w:p>
      <w:pPr>
        <w:pStyle w:val="ListParagraph"/>
        <w:numPr>
          <w:ilvl w:val="0"/>
          <w:numId w:val="3"/>
        </w:numPr>
        <w:spacing w:after="80"/>
      </w:pPr>
      <w:r>
        <w:rPr>
          <w:rFonts w:ascii="Arial" w:cs="Arial" w:eastAsia="Arial" w:hAnsi="Arial"/>
          <w:sz w:val="22"/>
          <w:szCs w:val="22"/>
        </w:rPr>
        <w:t xml:space="preserve">2º Archivo de tasas local actualizado periódicamente.</w:t>
      </w:r>
    </w:p>
    <w:p>
      <w:pPr>
        <w:pStyle w:val="ListParagraph"/>
        <w:numPr>
          <w:ilvl w:val="0"/>
          <w:numId w:val="3"/>
        </w:numPr>
        <w:spacing w:after="80"/>
      </w:pPr>
      <w:r>
        <w:rPr>
          <w:rFonts w:ascii="Arial" w:cs="Arial" w:eastAsia="Arial" w:hAnsi="Arial"/>
          <w:sz w:val="22"/>
          <w:szCs w:val="22"/>
        </w:rPr>
        <w:t xml:space="preserve">3º Valores estáticos de referencia codificados en la aplicación.</w:t>
      </w:r>
    </w:p>
    <w:p>
      <w:pPr>
        <w:pStyle w:val="Heading1"/>
        <w:spacing w:after="200" w:before="360"/>
      </w:pPr>
      <w:r>
        <w:rPr>
          <w:rFonts w:ascii="Arial" w:cs="Arial" w:eastAsia="Arial" w:hAnsi="Arial"/>
          <w:b/>
          <w:bCs/>
          <w:color w:val="0E1B38"/>
          <w:sz w:val="28"/>
          <w:szCs w:val="28"/>
        </w:rPr>
        <w:t xml:space="preserve">5. Fórmula de interés compuesto</w:t>
      </w:r>
    </w:p>
    <w:p>
      <w:pPr>
        <w:spacing w:after="160"/>
      </w:pPr>
      <w:r>
        <w:rPr>
          <w:rFonts w:ascii="Arial" w:cs="Arial" w:eastAsia="Arial" w:hAnsi="Arial"/>
          <w:color w:val="333333"/>
          <w:sz w:val="22"/>
          <w:szCs w:val="22"/>
        </w:rPr>
        <w:t xml:space="preserve">El simulador usa interés compuesto, que es como realmente capitalizan los fondos comunes de inversión. La fórmula para convertir una TNA a rendimiento efectivo para un período de N días es:</w:t>
      </w:r>
    </w:p>
    <w:p>
      <w:pPr>
        <w:shd w:fill="F4F6F8" w:val="clear"/>
        <w:spacing w:after="160" w:before="160"/>
        <w:ind w:left="720" w:right="720"/>
        <w:jc w:val="center"/>
      </w:pPr>
      <w:r>
        <w:rPr>
          <w:rFonts w:ascii="Consolas" w:cs="Consolas" w:eastAsia="Consolas" w:hAnsi="Consolas"/>
          <w:b/>
          <w:bCs/>
          <w:color w:val="0E1B38"/>
          <w:sz w:val="22"/>
          <w:szCs w:val="22"/>
        </w:rPr>
        <w:t xml:space="preserve">Tasa efectiva = (1 + TNA) ^ (días / 365) − 1</w:t>
      </w:r>
    </w:p>
    <w:p>
      <w:pPr>
        <w:spacing w:after="160"/>
      </w:pPr>
      <w:r>
        <w:rPr>
          <w:rFonts w:ascii="Arial" w:cs="Arial" w:eastAsia="Arial" w:hAnsi="Arial"/>
          <w:color w:val="333333"/>
          <w:sz w:val="22"/>
          <w:szCs w:val="22"/>
        </w:rPr>
        <w:t xml:space="preserve">Ejemplo: TNA 23%, período 30 días → (1,23)^(30/365) − 1 ≈ 1,71%. Es decir, $1.000.000 invertidos 30 días al 23% TNA generan ~$17.100.</w:t>
      </w:r>
    </w:p>
    <w:p>
      <w:pPr>
        <w:pStyle w:val="Heading1"/>
        <w:spacing w:after="200" w:before="360"/>
      </w:pPr>
      <w:r>
        <w:rPr>
          <w:rFonts w:ascii="Arial" w:cs="Arial" w:eastAsia="Arial" w:hAnsi="Arial"/>
          <w:b/>
          <w:bCs/>
          <w:color w:val="0E1B38"/>
          <w:sz w:val="28"/>
          <w:szCs w:val="28"/>
        </w:rPr>
        <w:t xml:space="preserve">6. Cálculo: billetera tradicional</w:t>
      </w:r>
    </w:p>
    <w:p>
      <w:pPr>
        <w:spacing w:after="160"/>
      </w:pPr>
      <w:r>
        <w:rPr>
          <w:rFonts w:ascii="Arial" w:cs="Arial" w:eastAsia="Arial" w:hAnsi="Arial"/>
          <w:color w:val="333333"/>
          <w:sz w:val="22"/>
          <w:szCs w:val="22"/>
        </w:rPr>
        <w:t xml:space="preserve">El rendimiento se calcula en dos partes:</w:t>
      </w:r>
    </w:p>
    <w:p>
      <w:pPr>
        <w:pStyle w:val="Heading2"/>
        <w:spacing w:after="160" w:before="280"/>
      </w:pPr>
      <w:r>
        <w:rPr>
          <w:rFonts w:ascii="Arial" w:cs="Arial" w:eastAsia="Arial" w:hAnsi="Arial"/>
          <w:b/>
          <w:bCs/>
          <w:color w:val="3BB273"/>
          <w:sz w:val="24"/>
          <w:szCs w:val="24"/>
        </w:rPr>
        <w:t xml:space="preserve">Dinero no gastado</w:t>
      </w:r>
    </w:p>
    <w:p>
      <w:pPr>
        <w:spacing w:after="160"/>
      </w:pPr>
      <w:r>
        <w:rPr>
          <w:rFonts w:ascii="Arial" w:cs="Arial" w:eastAsia="Arial" w:hAnsi="Arial"/>
          <w:color w:val="333333"/>
          <w:sz w:val="22"/>
          <w:szCs w:val="22"/>
        </w:rPr>
        <w:t xml:space="preserve">Permanece invertido los 30 días completos:</w:t>
      </w:r>
    </w:p>
    <w:p>
      <w:pPr>
        <w:shd w:fill="F4F6F8" w:val="clear"/>
        <w:spacing w:after="160" w:before="160"/>
        <w:ind w:left="720" w:right="720"/>
        <w:jc w:val="center"/>
      </w:pPr>
      <w:r>
        <w:rPr>
          <w:rFonts w:ascii="Consolas" w:cs="Consolas" w:eastAsia="Consolas" w:hAnsi="Consolas"/>
          <w:b/>
          <w:bCs/>
          <w:color w:val="0E1B38"/>
          <w:sz w:val="22"/>
          <w:szCs w:val="22"/>
        </w:rPr>
        <w:t xml:space="preserve">Rendimiento = monto no gastado × tasa efectiva a 30 días</w:t>
      </w:r>
    </w:p>
    <w:p>
      <w:pPr>
        <w:pStyle w:val="Heading2"/>
        <w:spacing w:after="160" w:before="280"/>
      </w:pPr>
      <w:r>
        <w:rPr>
          <w:rFonts w:ascii="Arial" w:cs="Arial" w:eastAsia="Arial" w:hAnsi="Arial"/>
          <w:b/>
          <w:bCs/>
          <w:color w:val="3BB273"/>
          <w:sz w:val="24"/>
          <w:szCs w:val="24"/>
        </w:rPr>
        <w:t xml:space="preserve">Dinero gastado</w:t>
      </w:r>
    </w:p>
    <w:p>
      <w:pPr>
        <w:spacing w:after="160"/>
      </w:pPr>
      <w:r>
        <w:rPr>
          <w:rFonts w:ascii="Arial" w:cs="Arial" w:eastAsia="Arial" w:hAnsi="Arial"/>
          <w:color w:val="333333"/>
          <w:sz w:val="22"/>
          <w:szCs w:val="22"/>
        </w:rPr>
        <w:t xml:space="preserve">Cada porción diaria de gasto solo genera rendimiento hasta el día en que se gasta. Una vez que se usa, </w:t>
      </w:r>
      <w:r>
        <w:rPr>
          <w:rFonts w:ascii="Arial" w:cs="Arial" w:eastAsia="Arial" w:hAnsi="Arial"/>
          <w:b/>
          <w:bCs/>
          <w:color w:val="333333"/>
          <w:sz w:val="22"/>
          <w:szCs w:val="22"/>
        </w:rPr>
        <w:t xml:space="preserve">deja de rendir</w:t>
      </w:r>
      <w:r>
        <w:rPr>
          <w:rFonts w:ascii="Arial" w:cs="Arial" w:eastAsia="Arial" w:hAnsi="Arial"/>
          <w:color w:val="333333"/>
          <w:sz w:val="22"/>
          <w:szCs w:val="22"/>
        </w:rPr>
        <w:t xml:space="preserve">:</w:t>
      </w:r>
    </w:p>
    <w:p>
      <w:pPr>
        <w:shd w:fill="F4F6F8" w:val="clear"/>
        <w:spacing w:after="160" w:before="160"/>
        <w:ind w:left="720" w:right="720"/>
        <w:jc w:val="center"/>
      </w:pPr>
      <w:r>
        <w:rPr>
          <w:rFonts w:ascii="Consolas" w:cs="Consolas" w:eastAsia="Consolas" w:hAnsi="Consolas"/>
          <w:b/>
          <w:bCs/>
          <w:color w:val="0E1B38"/>
          <w:sz w:val="22"/>
          <w:szCs w:val="22"/>
        </w:rPr>
        <w:t xml:space="preserve">Para cada día t: rendimiento = gasto diario × tasa efectiva a t días</w:t>
      </w:r>
    </w:p>
    <w:p>
      <w:pPr>
        <w:spacing w:after="160"/>
      </w:pPr>
      <w:r>
        <w:rPr>
          <w:rFonts w:ascii="Arial" w:cs="Arial" w:eastAsia="Arial" w:hAnsi="Arial"/>
          <w:color w:val="333333"/>
          <w:sz w:val="22"/>
          <w:szCs w:val="22"/>
        </w:rPr>
        <w:t xml:space="preserve">El rendimiento total es la suma de ambas partes.</w:t>
      </w:r>
    </w:p>
    <w:p>
      <w:pPr>
        <w:pStyle w:val="Heading1"/>
        <w:spacing w:after="200" w:before="360"/>
      </w:pPr>
      <w:r>
        <w:rPr>
          <w:rFonts w:ascii="Arial" w:cs="Arial" w:eastAsia="Arial" w:hAnsi="Arial"/>
          <w:b/>
          <w:bCs/>
          <w:color w:val="0E1B38"/>
          <w:sz w:val="28"/>
          <w:szCs w:val="28"/>
        </w:rPr>
        <w:t xml:space="preserve">7. Cálculo: UX Dual</w:t>
      </w:r>
    </w:p>
    <w:p>
      <w:pPr>
        <w:spacing w:after="160"/>
      </w:pPr>
      <w:r>
        <w:rPr>
          <w:rFonts w:ascii="Arial" w:cs="Arial" w:eastAsia="Arial" w:hAnsi="Arial"/>
          <w:color w:val="333333"/>
          <w:sz w:val="22"/>
          <w:szCs w:val="22"/>
        </w:rPr>
        <w:t xml:space="preserve">El dinero no gastado se comporta igual (rinde 30 días). La diferencia está en el dinero gastado, que tiene </w:t>
      </w:r>
      <w:r>
        <w:rPr>
          <w:rFonts w:ascii="Arial" w:cs="Arial" w:eastAsia="Arial" w:hAnsi="Arial"/>
          <w:b/>
          <w:bCs/>
          <w:color w:val="333333"/>
          <w:sz w:val="22"/>
          <w:szCs w:val="22"/>
        </w:rPr>
        <w:t xml:space="preserve">dos tramos de rendimiento</w:t>
      </w:r>
      <w:r>
        <w:rPr>
          <w:rFonts w:ascii="Arial" w:cs="Arial" w:eastAsia="Arial" w:hAnsi="Arial"/>
          <w:color w:val="333333"/>
          <w:sz w:val="22"/>
          <w:szCs w:val="22"/>
        </w:rPr>
        <w:t xml:space="preserve">:</w:t>
      </w:r>
    </w:p>
    <w:p>
      <w:pPr>
        <w:pStyle w:val="Heading2"/>
        <w:spacing w:after="160" w:before="280"/>
      </w:pPr>
      <w:r>
        <w:rPr>
          <w:rFonts w:ascii="Arial" w:cs="Arial" w:eastAsia="Arial" w:hAnsi="Arial"/>
          <w:b/>
          <w:bCs/>
          <w:color w:val="3BB273"/>
          <w:sz w:val="24"/>
          <w:szCs w:val="24"/>
        </w:rPr>
        <w:t xml:space="preserve">Tramo PRE-gasto (100% usuario)</w:t>
      </w:r>
    </w:p>
    <w:p>
      <w:pPr>
        <w:spacing w:after="160"/>
      </w:pPr>
      <w:r>
        <w:rPr>
          <w:rFonts w:ascii="Arial" w:cs="Arial" w:eastAsia="Arial" w:hAnsi="Arial"/>
          <w:color w:val="333333"/>
          <w:sz w:val="22"/>
          <w:szCs w:val="22"/>
        </w:rPr>
        <w:t xml:space="preserve">Rendimiento desde el inicio del mes hasta el día del gasto. Igual que en una billetera tradicional:</w:t>
      </w:r>
    </w:p>
    <w:p>
      <w:pPr>
        <w:shd w:fill="F4F6F8" w:val="clear"/>
        <w:spacing w:after="160" w:before="160"/>
        <w:ind w:left="720" w:right="720"/>
        <w:jc w:val="center"/>
      </w:pPr>
      <w:r>
        <w:rPr>
          <w:rFonts w:ascii="Consolas" w:cs="Consolas" w:eastAsia="Consolas" w:hAnsi="Consolas"/>
          <w:b/>
          <w:bCs/>
          <w:color w:val="0E1B38"/>
          <w:sz w:val="22"/>
          <w:szCs w:val="22"/>
        </w:rPr>
        <w:t xml:space="preserve">PRE = gasto diario × tasa efectiva a t días</w:t>
      </w:r>
    </w:p>
    <w:p>
      <w:pPr>
        <w:pStyle w:val="Heading2"/>
        <w:spacing w:after="160" w:before="280"/>
      </w:pPr>
      <w:r>
        <w:rPr>
          <w:rFonts w:ascii="Arial" w:cs="Arial" w:eastAsia="Arial" w:hAnsi="Arial"/>
          <w:b/>
          <w:bCs/>
          <w:color w:val="3BB273"/>
          <w:sz w:val="24"/>
          <w:szCs w:val="24"/>
        </w:rPr>
        <w:t xml:space="preserve">Tramo POST-gasto (67% usuario)</w:t>
      </w:r>
    </w:p>
    <w:p>
      <w:pPr>
        <w:spacing w:after="160"/>
      </w:pPr>
      <w:r>
        <w:rPr>
          <w:rFonts w:ascii="Arial" w:cs="Arial" w:eastAsia="Arial" w:hAnsi="Arial"/>
          <w:color w:val="333333"/>
          <w:sz w:val="22"/>
          <w:szCs w:val="22"/>
        </w:rPr>
        <w:t xml:space="preserve">El dinero gastado queda congelado e invertido hasta fin de mes. Del rendimiento que genera, el usuario recibe el 67%:</w:t>
      </w:r>
    </w:p>
    <w:p>
      <w:pPr>
        <w:shd w:fill="F4F6F8" w:val="clear"/>
        <w:spacing w:after="160" w:before="160"/>
        <w:ind w:left="720" w:right="720"/>
        <w:jc w:val="center"/>
      </w:pPr>
      <w:r>
        <w:rPr>
          <w:rFonts w:ascii="Consolas" w:cs="Consolas" w:eastAsia="Consolas" w:hAnsi="Consolas"/>
          <w:b/>
          <w:bCs/>
          <w:color w:val="0E1B38"/>
          <w:sz w:val="22"/>
          <w:szCs w:val="22"/>
        </w:rPr>
        <w:t xml:space="preserve">POST = gasto diario × tasa efectiva a (30 − t) días × 0,67</w:t>
      </w:r>
    </w:p>
    <w:p>
      <w:pPr>
        <w:spacing w:after="160"/>
      </w:pPr>
      <w:r>
        <w:rPr>
          <w:rFonts w:ascii="Arial" w:cs="Arial" w:eastAsia="Arial" w:hAnsi="Arial"/>
          <w:color w:val="333333"/>
          <w:sz w:val="22"/>
          <w:szCs w:val="22"/>
        </w:rPr>
        <w:t xml:space="preserve">El rendimiento total UX Dual = dinero no gastado + Σ (PRE + POST) de cada día de gasto.</w:t>
      </w:r>
    </w:p>
    <w:p>
      <w:pPr>
        <w:pStyle w:val="Heading1"/>
        <w:spacing w:after="200" w:before="360"/>
      </w:pPr>
      <w:r>
        <w:rPr>
          <w:rFonts w:ascii="Arial" w:cs="Arial" w:eastAsia="Arial" w:hAnsi="Arial"/>
          <w:b/>
          <w:bCs/>
          <w:color w:val="0E1B38"/>
          <w:sz w:val="28"/>
          <w:szCs w:val="28"/>
        </w:rPr>
        <w:t xml:space="preserve">8. Diferencia clave entre ambos modelos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0D5DD" w:sz="1"/>
              <w:left w:val="single" w:color="D0D5DD" w:sz="1"/>
              <w:bottom w:val="single" w:color="D0D5DD" w:sz="1"/>
              <w:right w:val="single" w:color="D0D5DD" w:sz="1"/>
            </w:tcBorders>
            <w:shd w:fill="0E1B38"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Concepto</w:t>
            </w:r>
          </w:p>
        </w:tc>
        <w:tc>
          <w:tcPr>
            <w:tcW w:type="dxa" w:w="3120"/>
            <w:tcBorders>
              <w:top w:val="single" w:color="D0D5DD" w:sz="1"/>
              <w:left w:val="single" w:color="D0D5DD" w:sz="1"/>
              <w:bottom w:val="single" w:color="D0D5DD" w:sz="1"/>
              <w:right w:val="single" w:color="D0D5DD" w:sz="1"/>
            </w:tcBorders>
            <w:shd w:fill="0E1B38"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Tradicional</w:t>
            </w:r>
          </w:p>
        </w:tc>
        <w:tc>
          <w:tcPr>
            <w:tcW w:type="dxa" w:w="3120"/>
            <w:tcBorders>
              <w:top w:val="single" w:color="D0D5DD" w:sz="1"/>
              <w:left w:val="single" w:color="D0D5DD" w:sz="1"/>
              <w:bottom w:val="single" w:color="D0D5DD" w:sz="1"/>
              <w:right w:val="single" w:color="D0D5DD" w:sz="1"/>
            </w:tcBorders>
            <w:shd w:fill="0E1B38"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UX Dual</w:t>
            </w:r>
          </w:p>
        </w:tc>
      </w:tr>
      <w:tr>
        <w:tc>
          <w:tcPr>
            <w:tcW w:type="dxa" w:w="3120"/>
            <w:tcBorders>
              <w:top w:val="single" w:color="D0D5DD" w:sz="1"/>
              <w:left w:val="single" w:color="D0D5DD" w:sz="1"/>
              <w:bottom w:val="single" w:color="D0D5DD" w:sz="1"/>
              <w:right w:val="single" w:color="D0D5DD"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Dinero no gastado</w:t>
            </w:r>
          </w:p>
        </w:tc>
        <w:tc>
          <w:tcPr>
            <w:tcW w:type="dxa" w:w="3120"/>
            <w:tcBorders>
              <w:top w:val="single" w:color="D0D5DD" w:sz="1"/>
              <w:left w:val="single" w:color="D0D5DD" w:sz="1"/>
              <w:bottom w:val="single" w:color="D0D5DD" w:sz="1"/>
              <w:right w:val="single" w:color="D0D5DD"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Rinde todo el mes</w:t>
            </w:r>
          </w:p>
        </w:tc>
        <w:tc>
          <w:tcPr>
            <w:tcW w:type="dxa" w:w="3120"/>
            <w:tcBorders>
              <w:top w:val="single" w:color="D0D5DD" w:sz="1"/>
              <w:left w:val="single" w:color="D0D5DD" w:sz="1"/>
              <w:bottom w:val="single" w:color="D0D5DD" w:sz="1"/>
              <w:right w:val="single" w:color="D0D5DD"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Rinde todo el mes</w:t>
            </w:r>
          </w:p>
        </w:tc>
      </w:tr>
      <w:tr>
        <w:tc>
          <w:tcPr>
            <w:tcW w:type="dxa" w:w="3120"/>
            <w:tcBorders>
              <w:top w:val="single" w:color="D0D5DD" w:sz="1"/>
              <w:left w:val="single" w:color="D0D5DD" w:sz="1"/>
              <w:bottom w:val="single" w:color="D0D5DD" w:sz="1"/>
              <w:right w:val="single" w:color="D0D5DD" w:sz="1"/>
            </w:tcBorders>
            <w:shd w:fill="F4F6F8"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Dinero gastado — antes del gasto</w:t>
            </w:r>
          </w:p>
        </w:tc>
        <w:tc>
          <w:tcPr>
            <w:tcW w:type="dxa" w:w="3120"/>
            <w:tcBorders>
              <w:top w:val="single" w:color="D0D5DD" w:sz="1"/>
              <w:left w:val="single" w:color="D0D5DD" w:sz="1"/>
              <w:bottom w:val="single" w:color="D0D5DD" w:sz="1"/>
              <w:right w:val="single" w:color="D0D5DD" w:sz="1"/>
            </w:tcBorders>
            <w:shd w:fill="F4F6F8"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Rinde hasta el día del gasto</w:t>
            </w:r>
          </w:p>
        </w:tc>
        <w:tc>
          <w:tcPr>
            <w:tcW w:type="dxa" w:w="3120"/>
            <w:tcBorders>
              <w:top w:val="single" w:color="D0D5DD" w:sz="1"/>
              <w:left w:val="single" w:color="D0D5DD" w:sz="1"/>
              <w:bottom w:val="single" w:color="D0D5DD" w:sz="1"/>
              <w:right w:val="single" w:color="D0D5DD" w:sz="1"/>
            </w:tcBorders>
            <w:shd w:fill="F4F6F8"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Rinde hasta el día del gasto</w:t>
            </w:r>
          </w:p>
        </w:tc>
      </w:tr>
      <w:tr>
        <w:tc>
          <w:tcPr>
            <w:tcW w:type="dxa" w:w="3120"/>
            <w:tcBorders>
              <w:top w:val="single" w:color="D0D5DD" w:sz="1"/>
              <w:left w:val="single" w:color="D0D5DD" w:sz="1"/>
              <w:bottom w:val="single" w:color="D0D5DD" w:sz="1"/>
              <w:right w:val="single" w:color="D0D5DD"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Dinero gastado — después del gasto</w:t>
            </w:r>
          </w:p>
        </w:tc>
        <w:tc>
          <w:tcPr>
            <w:tcW w:type="dxa" w:w="3120"/>
            <w:tcBorders>
              <w:top w:val="single" w:color="D0D5DD" w:sz="1"/>
              <w:left w:val="single" w:color="D0D5DD" w:sz="1"/>
              <w:bottom w:val="single" w:color="D0D5DD" w:sz="1"/>
              <w:right w:val="single" w:color="D0D5DD" w:sz="1"/>
            </w:tcBorders>
            <w:tcMar>
              <w:top w:type="dxa" w:w="80"/>
              <w:left w:type="dxa" w:w="120"/>
              <w:bottom w:type="dxa" w:w="80"/>
              <w:right w:type="dxa" w:w="120"/>
            </w:tcMar>
            <w:vAlign w:val="center"/>
          </w:tcPr>
          <w:p>
            <w:pPr>
              <w:jc w:val="center"/>
            </w:pPr>
            <w:r>
              <w:rPr>
                <w:rFonts w:ascii="Arial" w:cs="Arial" w:eastAsia="Arial" w:hAnsi="Arial"/>
                <w:b w:val="false"/>
                <w:bCs w:val="false"/>
                <w:color w:val="CC0000"/>
                <w:sz w:val="20"/>
                <w:szCs w:val="20"/>
              </w:rPr>
              <w:t xml:space="preserve">Deja de rendir</w:t>
            </w:r>
          </w:p>
        </w:tc>
        <w:tc>
          <w:tcPr>
            <w:tcW w:type="dxa" w:w="3120"/>
            <w:tcBorders>
              <w:top w:val="single" w:color="D0D5DD" w:sz="1"/>
              <w:left w:val="single" w:color="D0D5DD" w:sz="1"/>
              <w:bottom w:val="single" w:color="D0D5DD" w:sz="1"/>
              <w:right w:val="single" w:color="D0D5DD" w:sz="1"/>
            </w:tcBorders>
            <w:tcMar>
              <w:top w:type="dxa" w:w="80"/>
              <w:left w:type="dxa" w:w="120"/>
              <w:bottom w:type="dxa" w:w="80"/>
              <w:right w:type="dxa" w:w="120"/>
            </w:tcMar>
            <w:vAlign w:val="center"/>
          </w:tcPr>
          <w:p>
            <w:pPr>
              <w:jc w:val="center"/>
            </w:pPr>
            <w:r>
              <w:rPr>
                <w:rFonts w:ascii="Arial" w:cs="Arial" w:eastAsia="Arial" w:hAnsi="Arial"/>
                <w:b w:val="false"/>
                <w:bCs w:val="false"/>
                <w:color w:val="3BB273"/>
                <w:sz w:val="20"/>
                <w:szCs w:val="20"/>
              </w:rPr>
              <w:t xml:space="preserve">Sigue rindiendo (67% usuario)</w:t>
            </w:r>
          </w:p>
        </w:tc>
      </w:tr>
    </w:tbl>
    <w:p>
      <w:pPr>
        <w:spacing w:after="120"/>
      </w:pPr>
    </w:p>
    <w:p>
      <w:pPr>
        <w:spacing w:after="160"/>
      </w:pPr>
      <w:r>
        <w:rPr>
          <w:rFonts w:ascii="Arial" w:cs="Arial" w:eastAsia="Arial" w:hAnsi="Arial"/>
          <w:color w:val="333333"/>
          <w:sz w:val="22"/>
          <w:szCs w:val="22"/>
        </w:rPr>
        <w:t xml:space="preserve">Esa tercera fila es donde UX Dual genera su ventaja: dinero que en una billetera tradicional ya no trabaja, en UX Dual sigue invertido y devuelve una parte de lo que genera.</w:t>
      </w:r>
    </w:p>
    <w:p>
      <w:pPr>
        <w:pStyle w:val="Heading1"/>
        <w:spacing w:after="200" w:before="360"/>
      </w:pPr>
      <w:r>
        <w:rPr>
          <w:rFonts w:ascii="Arial" w:cs="Arial" w:eastAsia="Arial" w:hAnsi="Arial"/>
          <w:b/>
          <w:bCs/>
          <w:color w:val="0E1B38"/>
          <w:sz w:val="28"/>
          <w:szCs w:val="28"/>
        </w:rPr>
        <w:t xml:space="preserve">9. Impacto del momento de gasto</w:t>
      </w:r>
    </w:p>
    <w:p>
      <w:pPr>
        <w:pStyle w:val="ListParagraph"/>
        <w:numPr>
          <w:ilvl w:val="0"/>
          <w:numId w:val="2"/>
        </w:numPr>
        <w:spacing w:after="80"/>
      </w:pPr>
      <w:r>
        <w:rPr>
          <w:rFonts w:ascii="Arial" w:cs="Arial" w:eastAsia="Arial" w:hAnsi="Arial"/>
          <w:sz w:val="22"/>
          <w:szCs w:val="22"/>
        </w:rPr>
        <w:t xml:space="preserve"/>
      </w:r>
      <w:r>
        <w:rPr>
          <w:rFonts w:ascii="Arial" w:cs="Arial" w:eastAsia="Arial" w:hAnsi="Arial"/>
          <w:b/>
          <w:bCs/>
          <w:sz w:val="22"/>
          <w:szCs w:val="22"/>
        </w:rPr>
        <w:t xml:space="preserve">Gasto temprano (día 5)</w:t>
      </w:r>
      <w:r>
        <w:rPr>
          <w:rFonts w:ascii="Arial" w:cs="Arial" w:eastAsia="Arial" w:hAnsi="Arial"/>
          <w:sz w:val="22"/>
          <w:szCs w:val="22"/>
        </w:rPr>
        <w:t xml:space="preserve">: el tramo POST-gasto es largo (25 días). La ventaja de UX Dual es mayor.</w:t>
      </w:r>
    </w:p>
    <w:p>
      <w:pPr>
        <w:pStyle w:val="ListParagraph"/>
        <w:numPr>
          <w:ilvl w:val="0"/>
          <w:numId w:val="2"/>
        </w:numPr>
        <w:spacing w:after="80"/>
      </w:pPr>
      <w:r>
        <w:rPr>
          <w:rFonts w:ascii="Arial" w:cs="Arial" w:eastAsia="Arial" w:hAnsi="Arial"/>
          <w:sz w:val="22"/>
          <w:szCs w:val="22"/>
        </w:rPr>
        <w:t xml:space="preserve"/>
      </w:r>
      <w:r>
        <w:rPr>
          <w:rFonts w:ascii="Arial" w:cs="Arial" w:eastAsia="Arial" w:hAnsi="Arial"/>
          <w:b/>
          <w:bCs/>
          <w:sz w:val="22"/>
          <w:szCs w:val="22"/>
        </w:rPr>
        <w:t xml:space="preserve">Gasto tardío (día 25)</w:t>
      </w:r>
      <w:r>
        <w:rPr>
          <w:rFonts w:ascii="Arial" w:cs="Arial" w:eastAsia="Arial" w:hAnsi="Arial"/>
          <w:sz w:val="22"/>
          <w:szCs w:val="22"/>
        </w:rPr>
        <w:t xml:space="preserve">: el tramo POST-gasto es corto (5 días). La ventaja de UX Dual es menor.</w:t>
      </w:r>
    </w:p>
    <w:p>
      <w:pPr>
        <w:spacing w:after="160"/>
      </w:pPr>
      <w:r>
        <w:rPr>
          <w:rFonts w:ascii="Arial" w:cs="Arial" w:eastAsia="Arial" w:hAnsi="Arial"/>
          <w:color w:val="333333"/>
          <w:sz w:val="22"/>
          <w:szCs w:val="22"/>
        </w:rPr>
        <w:t xml:space="preserve">En resumen: UX Dual beneficia más a quienes gastan temprano en el mes, porque es donde más rendimiento se pierde en el modelo tradicional.</w:t>
      </w:r>
    </w:p>
    <w:r>
      <w:br w:type="page"/>
    </w:r>
    <w:p>
      <w:pPr>
        <w:pStyle w:val="Heading1"/>
        <w:spacing w:after="200" w:before="360"/>
      </w:pPr>
      <w:r>
        <w:rPr>
          <w:rFonts w:ascii="Arial" w:cs="Arial" w:eastAsia="Arial" w:hAnsi="Arial"/>
          <w:b/>
          <w:bCs/>
          <w:color w:val="0E1B38"/>
          <w:sz w:val="28"/>
          <w:szCs w:val="28"/>
        </w:rPr>
        <w:t xml:space="preserve">10. Ejemplo numérico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0D5DD" w:sz="1"/>
              <w:left w:val="single" w:color="D0D5DD" w:sz="1"/>
              <w:bottom w:val="single" w:color="D0D5DD" w:sz="1"/>
              <w:right w:val="single" w:color="D0D5DD" w:sz="1"/>
            </w:tcBorders>
            <w:shd w:fill="0E1B38"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Parámetro</w:t>
            </w:r>
          </w:p>
        </w:tc>
        <w:tc>
          <w:tcPr>
            <w:tcW w:type="dxa" w:w="4680"/>
            <w:tcBorders>
              <w:top w:val="single" w:color="D0D5DD" w:sz="1"/>
              <w:left w:val="single" w:color="D0D5DD" w:sz="1"/>
              <w:bottom w:val="single" w:color="D0D5DD" w:sz="1"/>
              <w:right w:val="single" w:color="D0D5DD" w:sz="1"/>
            </w:tcBorders>
            <w:shd w:fill="0E1B38"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Valor</w:t>
            </w:r>
          </w:p>
        </w:tc>
      </w:tr>
      <w:tr>
        <w:tc>
          <w:tcPr>
            <w:tcW w:type="dxa" w:w="4680"/>
            <w:tcBorders>
              <w:top w:val="single" w:color="D0D5DD" w:sz="1"/>
              <w:left w:val="single" w:color="D0D5DD" w:sz="1"/>
              <w:bottom w:val="single" w:color="D0D5DD" w:sz="1"/>
              <w:right w:val="single" w:color="D0D5DD"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Dinero inicial</w:t>
            </w:r>
          </w:p>
        </w:tc>
        <w:tc>
          <w:tcPr>
            <w:tcW w:type="dxa" w:w="4680"/>
            <w:tcBorders>
              <w:top w:val="single" w:color="D0D5DD" w:sz="1"/>
              <w:left w:val="single" w:color="D0D5DD" w:sz="1"/>
              <w:bottom w:val="single" w:color="D0D5DD" w:sz="1"/>
              <w:right w:val="single" w:color="D0D5DD"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$1.000.000</w:t>
            </w:r>
          </w:p>
        </w:tc>
      </w:tr>
      <w:tr>
        <w:tc>
          <w:tcPr>
            <w:tcW w:type="dxa" w:w="4680"/>
            <w:tcBorders>
              <w:top w:val="single" w:color="D0D5DD" w:sz="1"/>
              <w:left w:val="single" w:color="D0D5DD" w:sz="1"/>
              <w:bottom w:val="single" w:color="D0D5DD" w:sz="1"/>
              <w:right w:val="single" w:color="D0D5DD" w:sz="1"/>
            </w:tcBorders>
            <w:shd w:fill="F4F6F8"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Gasto mensual</w:t>
            </w:r>
          </w:p>
        </w:tc>
        <w:tc>
          <w:tcPr>
            <w:tcW w:type="dxa" w:w="4680"/>
            <w:tcBorders>
              <w:top w:val="single" w:color="D0D5DD" w:sz="1"/>
              <w:left w:val="single" w:color="D0D5DD" w:sz="1"/>
              <w:bottom w:val="single" w:color="D0D5DD" w:sz="1"/>
              <w:right w:val="single" w:color="D0D5DD" w:sz="1"/>
            </w:tcBorders>
            <w:shd w:fill="F4F6F8"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$900.000</w:t>
            </w:r>
          </w:p>
        </w:tc>
      </w:tr>
      <w:tr>
        <w:tc>
          <w:tcPr>
            <w:tcW w:type="dxa" w:w="4680"/>
            <w:tcBorders>
              <w:top w:val="single" w:color="D0D5DD" w:sz="1"/>
              <w:left w:val="single" w:color="D0D5DD" w:sz="1"/>
              <w:bottom w:val="single" w:color="D0D5DD" w:sz="1"/>
              <w:right w:val="single" w:color="D0D5DD"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Momento de gasto</w:t>
            </w:r>
          </w:p>
        </w:tc>
        <w:tc>
          <w:tcPr>
            <w:tcW w:type="dxa" w:w="4680"/>
            <w:tcBorders>
              <w:top w:val="single" w:color="D0D5DD" w:sz="1"/>
              <w:left w:val="single" w:color="D0D5DD" w:sz="1"/>
              <w:bottom w:val="single" w:color="D0D5DD" w:sz="1"/>
              <w:right w:val="single" w:color="D0D5DD"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Mitad de mes (día 15)</w:t>
            </w:r>
          </w:p>
        </w:tc>
      </w:tr>
      <w:tr>
        <w:tc>
          <w:tcPr>
            <w:tcW w:type="dxa" w:w="4680"/>
            <w:tcBorders>
              <w:top w:val="single" w:color="D0D5DD" w:sz="1"/>
              <w:left w:val="single" w:color="D0D5DD" w:sz="1"/>
              <w:bottom w:val="single" w:color="D0D5DD" w:sz="1"/>
              <w:right w:val="single" w:color="D0D5DD" w:sz="1"/>
            </w:tcBorders>
            <w:shd w:fill="F4F6F8"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TNA UX Dual</w:t>
            </w:r>
          </w:p>
        </w:tc>
        <w:tc>
          <w:tcPr>
            <w:tcW w:type="dxa" w:w="4680"/>
            <w:tcBorders>
              <w:top w:val="single" w:color="D0D5DD" w:sz="1"/>
              <w:left w:val="single" w:color="D0D5DD" w:sz="1"/>
              <w:bottom w:val="single" w:color="D0D5DD" w:sz="1"/>
              <w:right w:val="single" w:color="D0D5DD" w:sz="1"/>
            </w:tcBorders>
            <w:shd w:fill="F4F6F8"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23%</w:t>
            </w:r>
          </w:p>
        </w:tc>
      </w:tr>
      <w:tr>
        <w:tc>
          <w:tcPr>
            <w:tcW w:type="dxa" w:w="4680"/>
            <w:tcBorders>
              <w:top w:val="single" w:color="D0D5DD" w:sz="1"/>
              <w:left w:val="single" w:color="D0D5DD" w:sz="1"/>
              <w:bottom w:val="single" w:color="D0D5DD" w:sz="1"/>
              <w:right w:val="single" w:color="D0D5DD"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TNA billetera tradicional</w:t>
            </w:r>
          </w:p>
        </w:tc>
        <w:tc>
          <w:tcPr>
            <w:tcW w:type="dxa" w:w="4680"/>
            <w:tcBorders>
              <w:top w:val="single" w:color="D0D5DD" w:sz="1"/>
              <w:left w:val="single" w:color="D0D5DD" w:sz="1"/>
              <w:bottom w:val="single" w:color="D0D5DD" w:sz="1"/>
              <w:right w:val="single" w:color="D0D5DD"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22,27%</w:t>
            </w:r>
          </w:p>
        </w:tc>
      </w:tr>
    </w:tbl>
    <w:p>
      <w:pPr>
        <w:spacing w:after="120"/>
      </w:pPr>
    </w:p>
    <w:p>
      <w:pPr>
        <w:pStyle w:val="Heading2"/>
        <w:spacing w:after="160" w:before="280"/>
      </w:pPr>
      <w:r>
        <w:rPr>
          <w:rFonts w:ascii="Arial" w:cs="Arial" w:eastAsia="Arial" w:hAnsi="Arial"/>
          <w:b/>
          <w:bCs/>
          <w:color w:val="3BB273"/>
          <w:sz w:val="24"/>
          <w:szCs w:val="24"/>
        </w:rPr>
        <w:t xml:space="preserve">Paso 1: Separar el dinero</w:t>
      </w:r>
    </w:p>
    <w:p>
      <w:pPr>
        <w:pStyle w:val="ListParagraph"/>
        <w:numPr>
          <w:ilvl w:val="0"/>
          <w:numId w:val="2"/>
        </w:numPr>
        <w:spacing w:after="80"/>
      </w:pPr>
      <w:r>
        <w:rPr>
          <w:rFonts w:ascii="Arial" w:cs="Arial" w:eastAsia="Arial" w:hAnsi="Arial"/>
          <w:sz w:val="22"/>
          <w:szCs w:val="22"/>
        </w:rPr>
        <w:t xml:space="preserve">Dinero no gastado: $1.000.000 − $900.000 = </w:t>
      </w:r>
      <w:r>
        <w:rPr>
          <w:rFonts w:ascii="Arial" w:cs="Arial" w:eastAsia="Arial" w:hAnsi="Arial"/>
          <w:b/>
          <w:bCs/>
          <w:sz w:val="22"/>
          <w:szCs w:val="22"/>
        </w:rPr>
        <w:t xml:space="preserve">$100.000</w:t>
      </w:r>
      <w:r>
        <w:rPr>
          <w:rFonts w:ascii="Arial" w:cs="Arial" w:eastAsia="Arial" w:hAnsi="Arial"/>
          <w:sz w:val="22"/>
          <w:szCs w:val="22"/>
        </w:rPr>
        <w:t xml:space="preserve"/>
      </w:r>
    </w:p>
    <w:p>
      <w:pPr>
        <w:pStyle w:val="ListParagraph"/>
        <w:numPr>
          <w:ilvl w:val="0"/>
          <w:numId w:val="2"/>
        </w:numPr>
        <w:spacing w:after="80"/>
      </w:pPr>
      <w:r>
        <w:rPr>
          <w:rFonts w:ascii="Arial" w:cs="Arial" w:eastAsia="Arial" w:hAnsi="Arial"/>
          <w:sz w:val="22"/>
          <w:szCs w:val="22"/>
        </w:rPr>
        <w:t xml:space="preserve">Gasto diario: $900.000 ÷ 15 = </w:t>
      </w:r>
      <w:r>
        <w:rPr>
          <w:rFonts w:ascii="Arial" w:cs="Arial" w:eastAsia="Arial" w:hAnsi="Arial"/>
          <w:b/>
          <w:bCs/>
          <w:sz w:val="22"/>
          <w:szCs w:val="22"/>
        </w:rPr>
        <w:t xml:space="preserve">$60.000 por día</w:t>
      </w:r>
      <w:r>
        <w:rPr>
          <w:rFonts w:ascii="Arial" w:cs="Arial" w:eastAsia="Arial" w:hAnsi="Arial"/>
          <w:sz w:val="22"/>
          <w:szCs w:val="22"/>
        </w:rPr>
        <w:t xml:space="preserve"> (del día 1 al 15)</w:t>
      </w:r>
    </w:p>
    <w:p>
      <w:pPr>
        <w:pStyle w:val="Heading2"/>
        <w:spacing w:after="160" w:before="280"/>
      </w:pPr>
      <w:r>
        <w:rPr>
          <w:rFonts w:ascii="Arial" w:cs="Arial" w:eastAsia="Arial" w:hAnsi="Arial"/>
          <w:b/>
          <w:bCs/>
          <w:color w:val="3BB273"/>
          <w:sz w:val="24"/>
          <w:szCs w:val="24"/>
        </w:rPr>
        <w:t xml:space="preserve">Paso 2: Dinero no gastado (igual en ambos)</w:t>
      </w:r>
    </w:p>
    <w:p>
      <w:pPr>
        <w:pStyle w:val="ListParagraph"/>
        <w:numPr>
          <w:ilvl w:val="0"/>
          <w:numId w:val="2"/>
        </w:numPr>
        <w:spacing w:after="80"/>
      </w:pPr>
      <w:r>
        <w:rPr>
          <w:rFonts w:ascii="Arial" w:cs="Arial" w:eastAsia="Arial" w:hAnsi="Arial"/>
          <w:sz w:val="22"/>
          <w:szCs w:val="22"/>
        </w:rPr>
        <w:t xml:space="preserve">Tradicional (22,27%): $100.000 × 1,66% = </w:t>
      </w:r>
      <w:r>
        <w:rPr>
          <w:rFonts w:ascii="Arial" w:cs="Arial" w:eastAsia="Arial" w:hAnsi="Arial"/>
          <w:b/>
          <w:bCs/>
          <w:sz w:val="22"/>
          <w:szCs w:val="22"/>
        </w:rPr>
        <w:t xml:space="preserve">~$1.656</w:t>
      </w:r>
      <w:r>
        <w:rPr>
          <w:rFonts w:ascii="Arial" w:cs="Arial" w:eastAsia="Arial" w:hAnsi="Arial"/>
          <w:sz w:val="22"/>
          <w:szCs w:val="22"/>
        </w:rPr>
        <w:t xml:space="preserve"/>
      </w:r>
    </w:p>
    <w:p>
      <w:pPr>
        <w:pStyle w:val="ListParagraph"/>
        <w:numPr>
          <w:ilvl w:val="0"/>
          <w:numId w:val="2"/>
        </w:numPr>
        <w:spacing w:after="80"/>
      </w:pPr>
      <w:r>
        <w:rPr>
          <w:rFonts w:ascii="Arial" w:cs="Arial" w:eastAsia="Arial" w:hAnsi="Arial"/>
          <w:sz w:val="22"/>
          <w:szCs w:val="22"/>
        </w:rPr>
        <w:t xml:space="preserve">UX Dual (23%): $100.000 × 1,71% = </w:t>
      </w:r>
      <w:r>
        <w:rPr>
          <w:rFonts w:ascii="Arial" w:cs="Arial" w:eastAsia="Arial" w:hAnsi="Arial"/>
          <w:b/>
          <w:bCs/>
          <w:sz w:val="22"/>
          <w:szCs w:val="22"/>
        </w:rPr>
        <w:t xml:space="preserve">~$1.706</w:t>
      </w:r>
      <w:r>
        <w:rPr>
          <w:rFonts w:ascii="Arial" w:cs="Arial" w:eastAsia="Arial" w:hAnsi="Arial"/>
          <w:sz w:val="22"/>
          <w:szCs w:val="22"/>
        </w:rPr>
        <w:t xml:space="preserve"/>
      </w:r>
    </w:p>
    <w:p>
      <w:pPr>
        <w:pStyle w:val="Heading2"/>
        <w:spacing w:after="160" w:before="280"/>
      </w:pPr>
      <w:r>
        <w:rPr>
          <w:rFonts w:ascii="Arial" w:cs="Arial" w:eastAsia="Arial" w:hAnsi="Arial"/>
          <w:b/>
          <w:bCs/>
          <w:color w:val="3BB273"/>
          <w:sz w:val="24"/>
          <w:szCs w:val="24"/>
        </w:rPr>
        <w:t xml:space="preserve">Paso 3: Dinero gastado — Billetera tradicional</w:t>
      </w:r>
    </w:p>
    <w:p>
      <w:pPr>
        <w:spacing w:after="160"/>
      </w:pPr>
      <w:r>
        <w:rPr>
          <w:rFonts w:ascii="Arial" w:cs="Arial" w:eastAsia="Arial" w:hAnsi="Arial"/>
          <w:color w:val="333333"/>
          <w:sz w:val="22"/>
          <w:szCs w:val="22"/>
        </w:rPr>
        <w:t xml:space="preserve">Cada porción de $60.000 rinde solo hasta el día en que se gasta. La del día 1 rindió 1 día ($33). La del día 15 rindió 15 días ($497). Sumando las 15 porciones: </w:t>
      </w:r>
      <w:r>
        <w:rPr>
          <w:rFonts w:ascii="Arial" w:cs="Arial" w:eastAsia="Arial" w:hAnsi="Arial"/>
          <w:b/>
          <w:bCs/>
          <w:color w:val="333333"/>
          <w:sz w:val="22"/>
          <w:szCs w:val="22"/>
        </w:rPr>
        <w:t xml:space="preserve">~$3.980</w:t>
      </w:r>
      <w:r>
        <w:rPr>
          <w:rFonts w:ascii="Arial" w:cs="Arial" w:eastAsia="Arial" w:hAnsi="Arial"/>
          <w:color w:val="333333"/>
          <w:sz w:val="22"/>
          <w:szCs w:val="22"/>
        </w:rPr>
        <w:t xml:space="preserve">.</w:t>
      </w:r>
    </w:p>
    <w:p>
      <w:pPr>
        <w:pStyle w:val="Heading2"/>
        <w:spacing w:after="160" w:before="280"/>
      </w:pPr>
      <w:r>
        <w:rPr>
          <w:rFonts w:ascii="Arial" w:cs="Arial" w:eastAsia="Arial" w:hAnsi="Arial"/>
          <w:b/>
          <w:bCs/>
          <w:color w:val="3BB273"/>
          <w:sz w:val="24"/>
          <w:szCs w:val="24"/>
        </w:rPr>
        <w:t xml:space="preserve">Paso 4: Dinero gastado — UX Dual</w:t>
      </w:r>
    </w:p>
    <w:p>
      <w:pPr>
        <w:spacing w:after="160"/>
      </w:pPr>
      <w:r>
        <w:rPr>
          <w:rFonts w:ascii="Arial" w:cs="Arial" w:eastAsia="Arial" w:hAnsi="Arial"/>
          <w:color w:val="333333"/>
          <w:sz w:val="22"/>
          <w:szCs w:val="22"/>
        </w:rPr>
        <w:t xml:space="preserve">Cada porción de $60.000 tiene dos tramos. Ejemplo para el día 1:</w:t>
      </w:r>
    </w:p>
    <w:p>
      <w:pPr>
        <w:pStyle w:val="ListParagraph"/>
        <w:numPr>
          <w:ilvl w:val="0"/>
          <w:numId w:val="2"/>
        </w:numPr>
        <w:spacing w:after="80"/>
      </w:pPr>
      <w:r>
        <w:rPr>
          <w:rFonts w:ascii="Arial" w:cs="Arial" w:eastAsia="Arial" w:hAnsi="Arial"/>
          <w:sz w:val="22"/>
          <w:szCs w:val="22"/>
        </w:rPr>
        <w:t xml:space="preserve">PRE: $60.000 rindió 1 día = </w:t>
      </w:r>
      <w:r>
        <w:rPr>
          <w:rFonts w:ascii="Arial" w:cs="Arial" w:eastAsia="Arial" w:hAnsi="Arial"/>
          <w:b/>
          <w:bCs/>
          <w:sz w:val="22"/>
          <w:szCs w:val="22"/>
        </w:rPr>
        <w:t xml:space="preserve">$34</w:t>
      </w:r>
      <w:r>
        <w:rPr>
          <w:rFonts w:ascii="Arial" w:cs="Arial" w:eastAsia="Arial" w:hAnsi="Arial"/>
          <w:sz w:val="22"/>
          <w:szCs w:val="22"/>
        </w:rPr>
        <w:t xml:space="preserve"/>
      </w:r>
    </w:p>
    <w:p>
      <w:pPr>
        <w:pStyle w:val="ListParagraph"/>
        <w:numPr>
          <w:ilvl w:val="0"/>
          <w:numId w:val="2"/>
        </w:numPr>
        <w:spacing w:after="80"/>
      </w:pPr>
      <w:r>
        <w:rPr>
          <w:rFonts w:ascii="Arial" w:cs="Arial" w:eastAsia="Arial" w:hAnsi="Arial"/>
          <w:sz w:val="22"/>
          <w:szCs w:val="22"/>
        </w:rPr>
        <w:t xml:space="preserve">POST: $60.000 rinde 29 días restantes × 67% = </w:t>
      </w:r>
      <w:r>
        <w:rPr>
          <w:rFonts w:ascii="Arial" w:cs="Arial" w:eastAsia="Arial" w:hAnsi="Arial"/>
          <w:b/>
          <w:bCs/>
          <w:sz w:val="22"/>
          <w:szCs w:val="22"/>
        </w:rPr>
        <w:t xml:space="preserve">$664</w:t>
      </w:r>
      <w:r>
        <w:rPr>
          <w:rFonts w:ascii="Arial" w:cs="Arial" w:eastAsia="Arial" w:hAnsi="Arial"/>
          <w:sz w:val="22"/>
          <w:szCs w:val="22"/>
        </w:rPr>
        <w:t xml:space="preserve"/>
      </w:r>
    </w:p>
    <w:p>
      <w:pPr>
        <w:spacing w:after="160"/>
      </w:pPr>
      <w:r>
        <w:rPr>
          <w:rFonts w:ascii="Arial" w:cs="Arial" w:eastAsia="Arial" w:hAnsi="Arial"/>
          <w:color w:val="333333"/>
          <w:sz w:val="22"/>
          <w:szCs w:val="22"/>
        </w:rPr>
        <w:t xml:space="preserve">Sumando PRE + POST de los 15 días: </w:t>
      </w:r>
      <w:r>
        <w:rPr>
          <w:rFonts w:ascii="Arial" w:cs="Arial" w:eastAsia="Arial" w:hAnsi="Arial"/>
          <w:b/>
          <w:bCs/>
          <w:color w:val="333333"/>
          <w:sz w:val="22"/>
          <w:szCs w:val="22"/>
        </w:rPr>
        <w:t xml:space="preserve">~$8.216</w:t>
      </w:r>
      <w:r>
        <w:rPr>
          <w:rFonts w:ascii="Arial" w:cs="Arial" w:eastAsia="Arial" w:hAnsi="Arial"/>
          <w:color w:val="333333"/>
          <w:sz w:val="22"/>
          <w:szCs w:val="22"/>
        </w:rPr>
        <w:t xml:space="preserve">.</w:t>
      </w:r>
    </w:p>
    <w:p>
      <w:pPr>
        <w:pStyle w:val="Heading2"/>
        <w:spacing w:after="160" w:before="280"/>
      </w:pPr>
      <w:r>
        <w:rPr>
          <w:rFonts w:ascii="Arial" w:cs="Arial" w:eastAsia="Arial" w:hAnsi="Arial"/>
          <w:b/>
          <w:bCs/>
          <w:color w:val="3BB273"/>
          <w:sz w:val="24"/>
          <w:szCs w:val="24"/>
        </w:rPr>
        <w:t xml:space="preserve">Resultado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0D5DD" w:sz="1"/>
              <w:left w:val="single" w:color="D0D5DD" w:sz="1"/>
              <w:bottom w:val="single" w:color="D0D5DD" w:sz="1"/>
              <w:right w:val="single" w:color="D0D5DD" w:sz="1"/>
            </w:tcBorders>
            <w:shd w:fill="0E1B38"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Escenario</w:t>
            </w:r>
          </w:p>
        </w:tc>
        <w:tc>
          <w:tcPr>
            <w:tcW w:type="dxa" w:w="4680"/>
            <w:tcBorders>
              <w:top w:val="single" w:color="D0D5DD" w:sz="1"/>
              <w:left w:val="single" w:color="D0D5DD" w:sz="1"/>
              <w:bottom w:val="single" w:color="D0D5DD" w:sz="1"/>
              <w:right w:val="single" w:color="D0D5DD" w:sz="1"/>
            </w:tcBorders>
            <w:shd w:fill="0E1B38"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Rendimiento mensual</w:t>
            </w:r>
          </w:p>
        </w:tc>
      </w:tr>
      <w:tr>
        <w:tc>
          <w:tcPr>
            <w:tcW w:type="dxa" w:w="4680"/>
            <w:tcBorders>
              <w:top w:val="single" w:color="D0D5DD" w:sz="1"/>
              <w:left w:val="single" w:color="D0D5DD" w:sz="1"/>
              <w:bottom w:val="single" w:color="D0D5DD" w:sz="1"/>
              <w:right w:val="single" w:color="D0D5DD"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Billetera tradicional</w:t>
            </w:r>
          </w:p>
        </w:tc>
        <w:tc>
          <w:tcPr>
            <w:tcW w:type="dxa" w:w="4680"/>
            <w:tcBorders>
              <w:top w:val="single" w:color="D0D5DD" w:sz="1"/>
              <w:left w:val="single" w:color="D0D5DD" w:sz="1"/>
              <w:bottom w:val="single" w:color="D0D5DD" w:sz="1"/>
              <w:right w:val="single" w:color="D0D5DD"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~$5.636</w:t>
            </w:r>
          </w:p>
        </w:tc>
      </w:tr>
      <w:tr>
        <w:tc>
          <w:tcPr>
            <w:tcW w:type="dxa" w:w="4680"/>
            <w:tcBorders>
              <w:top w:val="single" w:color="D0D5DD" w:sz="1"/>
              <w:left w:val="single" w:color="D0D5DD" w:sz="1"/>
              <w:bottom w:val="single" w:color="D0D5DD" w:sz="1"/>
              <w:right w:val="single" w:color="D0D5DD" w:sz="1"/>
            </w:tcBorders>
            <w:shd w:fill="F4F6F8"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UX Dual</w:t>
            </w:r>
          </w:p>
        </w:tc>
        <w:tc>
          <w:tcPr>
            <w:tcW w:type="dxa" w:w="4680"/>
            <w:tcBorders>
              <w:top w:val="single" w:color="D0D5DD" w:sz="1"/>
              <w:left w:val="single" w:color="D0D5DD" w:sz="1"/>
              <w:bottom w:val="single" w:color="D0D5DD" w:sz="1"/>
              <w:right w:val="single" w:color="D0D5DD" w:sz="1"/>
            </w:tcBorders>
            <w:shd w:fill="F4F6F8" w:val="clear"/>
            <w:tcMar>
              <w:top w:type="dxa" w:w="80"/>
              <w:left w:type="dxa" w:w="120"/>
              <w:bottom w:type="dxa" w:w="80"/>
              <w:right w:type="dxa" w:w="120"/>
            </w:tcMar>
            <w:vAlign w:val="center"/>
          </w:tcPr>
          <w:p>
            <w:pPr>
              <w:jc w:val="center"/>
            </w:pPr>
            <w:r>
              <w:rPr>
                <w:rFonts w:ascii="Arial" w:cs="Arial" w:eastAsia="Arial" w:hAnsi="Arial"/>
                <w:b/>
                <w:bCs/>
                <w:color w:val="3BB273"/>
                <w:sz w:val="20"/>
                <w:szCs w:val="20"/>
              </w:rPr>
              <w:t xml:space="preserve">~$9.922</w:t>
            </w:r>
          </w:p>
        </w:tc>
      </w:tr>
      <w:tr>
        <w:tc>
          <w:tcPr>
            <w:tcW w:type="dxa" w:w="4680"/>
            <w:tcBorders>
              <w:top w:val="single" w:color="D0D5DD" w:sz="1"/>
              <w:left w:val="single" w:color="D0D5DD" w:sz="1"/>
              <w:bottom w:val="single" w:color="D0D5DD" w:sz="1"/>
              <w:right w:val="single" w:color="D0D5DD"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Ventaja mensual UX Dual</w:t>
            </w:r>
          </w:p>
        </w:tc>
        <w:tc>
          <w:tcPr>
            <w:tcW w:type="dxa" w:w="4680"/>
            <w:tcBorders>
              <w:top w:val="single" w:color="D0D5DD" w:sz="1"/>
              <w:left w:val="single" w:color="D0D5DD" w:sz="1"/>
              <w:bottom w:val="single" w:color="D0D5DD" w:sz="1"/>
              <w:right w:val="single" w:color="D0D5DD" w:sz="1"/>
            </w:tcBorders>
            <w:tcMar>
              <w:top w:type="dxa" w:w="80"/>
              <w:left w:type="dxa" w:w="120"/>
              <w:bottom w:type="dxa" w:w="80"/>
              <w:right w:type="dxa" w:w="120"/>
            </w:tcMar>
            <w:vAlign w:val="center"/>
          </w:tcPr>
          <w:p>
            <w:pPr>
              <w:jc w:val="center"/>
            </w:pPr>
            <w:r>
              <w:rPr>
                <w:rFonts w:ascii="Arial" w:cs="Arial" w:eastAsia="Arial" w:hAnsi="Arial"/>
                <w:b/>
                <w:bCs/>
                <w:color w:val="3BB273"/>
                <w:sz w:val="20"/>
                <w:szCs w:val="20"/>
              </w:rPr>
              <w:t xml:space="preserve">+$4.286</w:t>
            </w:r>
          </w:p>
        </w:tc>
      </w:tr>
      <w:tr>
        <w:tc>
          <w:tcPr>
            <w:tcW w:type="dxa" w:w="4680"/>
            <w:tcBorders>
              <w:top w:val="single" w:color="D0D5DD" w:sz="1"/>
              <w:left w:val="single" w:color="D0D5DD" w:sz="1"/>
              <w:bottom w:val="single" w:color="D0D5DD" w:sz="1"/>
              <w:right w:val="single" w:color="D0D5DD" w:sz="1"/>
            </w:tcBorders>
            <w:shd w:fill="F4F6F8"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Proyección anual</w:t>
            </w:r>
          </w:p>
        </w:tc>
        <w:tc>
          <w:tcPr>
            <w:tcW w:type="dxa" w:w="4680"/>
            <w:tcBorders>
              <w:top w:val="single" w:color="D0D5DD" w:sz="1"/>
              <w:left w:val="single" w:color="D0D5DD" w:sz="1"/>
              <w:bottom w:val="single" w:color="D0D5DD" w:sz="1"/>
              <w:right w:val="single" w:color="D0D5DD" w:sz="1"/>
            </w:tcBorders>
            <w:shd w:fill="F4F6F8" w:val="clear"/>
            <w:tcMar>
              <w:top w:type="dxa" w:w="80"/>
              <w:left w:type="dxa" w:w="120"/>
              <w:bottom w:type="dxa" w:w="80"/>
              <w:right w:type="dxa" w:w="120"/>
            </w:tcMar>
            <w:vAlign w:val="center"/>
          </w:tcPr>
          <w:p>
            <w:pPr>
              <w:jc w:val="center"/>
            </w:pPr>
            <w:r>
              <w:rPr>
                <w:rFonts w:ascii="Arial" w:cs="Arial" w:eastAsia="Arial" w:hAnsi="Arial"/>
                <w:b/>
                <w:bCs/>
                <w:color w:val="3BB273"/>
                <w:sz w:val="20"/>
                <w:szCs w:val="20"/>
              </w:rPr>
              <w:t xml:space="preserve">+$51.432</w:t>
            </w:r>
          </w:p>
        </w:tc>
      </w:tr>
    </w:tbl>
    <w:p>
      <w:pPr>
        <w:spacing w:after="120"/>
      </w:pPr>
    </w:p>
    <w:p>
      <w:pPr>
        <w:pStyle w:val="Heading1"/>
        <w:spacing w:after="200" w:before="360"/>
      </w:pPr>
      <w:r>
        <w:rPr>
          <w:rFonts w:ascii="Arial" w:cs="Arial" w:eastAsia="Arial" w:hAnsi="Arial"/>
          <w:b/>
          <w:bCs/>
          <w:color w:val="0E1B38"/>
          <w:sz w:val="28"/>
          <w:szCs w:val="28"/>
        </w:rPr>
        <w:t xml:space="preserve">11. Simplificaciones y supuestos</w:t>
      </w:r>
    </w:p>
    <w:p>
      <w:pPr>
        <w:pStyle w:val="ListParagraph"/>
        <w:numPr>
          <w:ilvl w:val="0"/>
          <w:numId w:val="2"/>
        </w:numPr>
        <w:spacing w:after="80"/>
      </w:pPr>
      <w:r>
        <w:rPr>
          <w:rFonts w:ascii="Arial" w:cs="Arial" w:eastAsia="Arial" w:hAnsi="Arial"/>
          <w:sz w:val="22"/>
          <w:szCs w:val="22"/>
        </w:rPr>
        <w:t xml:space="preserve">Todos los meses se calculan como </w:t>
      </w:r>
      <w:r>
        <w:rPr>
          <w:rFonts w:ascii="Arial" w:cs="Arial" w:eastAsia="Arial" w:hAnsi="Arial"/>
          <w:b/>
          <w:bCs/>
          <w:sz w:val="22"/>
          <w:szCs w:val="22"/>
        </w:rPr>
        <w:t xml:space="preserve">30 días</w:t>
      </w:r>
      <w:r>
        <w:rPr>
          <w:rFonts w:ascii="Arial" w:cs="Arial" w:eastAsia="Arial" w:hAnsi="Arial"/>
          <w:sz w:val="22"/>
          <w:szCs w:val="22"/>
        </w:rPr>
        <w:t xml:space="preserve">.</w:t>
      </w:r>
    </w:p>
    <w:p>
      <w:pPr>
        <w:pStyle w:val="ListParagraph"/>
        <w:numPr>
          <w:ilvl w:val="0"/>
          <w:numId w:val="2"/>
        </w:numPr>
        <w:spacing w:after="80"/>
      </w:pPr>
      <w:r>
        <w:rPr>
          <w:rFonts w:ascii="Arial" w:cs="Arial" w:eastAsia="Arial" w:hAnsi="Arial"/>
          <w:sz w:val="22"/>
          <w:szCs w:val="22"/>
        </w:rPr>
        <w:t xml:space="preserve">El gasto se distribuye en </w:t>
      </w:r>
      <w:r>
        <w:rPr>
          <w:rFonts w:ascii="Arial" w:cs="Arial" w:eastAsia="Arial" w:hAnsi="Arial"/>
          <w:b/>
          <w:bCs/>
          <w:sz w:val="22"/>
          <w:szCs w:val="22"/>
        </w:rPr>
        <w:t xml:space="preserve">partes iguales</w:t>
      </w:r>
      <w:r>
        <w:rPr>
          <w:rFonts w:ascii="Arial" w:cs="Arial" w:eastAsia="Arial" w:hAnsi="Arial"/>
          <w:sz w:val="22"/>
          <w:szCs w:val="22"/>
        </w:rPr>
        <w:t xml:space="preserve"> entre el día 1 y el día seleccionado.</w:t>
      </w:r>
    </w:p>
    <w:p>
      <w:pPr>
        <w:pStyle w:val="ListParagraph"/>
        <w:numPr>
          <w:ilvl w:val="0"/>
          <w:numId w:val="2"/>
        </w:numPr>
        <w:spacing w:after="80"/>
      </w:pPr>
      <w:r>
        <w:rPr>
          <w:rFonts w:ascii="Arial" w:cs="Arial" w:eastAsia="Arial" w:hAnsi="Arial"/>
          <w:sz w:val="22"/>
          <w:szCs w:val="22"/>
        </w:rPr>
        <w:t xml:space="preserve">La </w:t>
      </w:r>
      <w:r>
        <w:rPr>
          <w:rFonts w:ascii="Arial" w:cs="Arial" w:eastAsia="Arial" w:hAnsi="Arial"/>
          <w:b/>
          <w:bCs/>
          <w:sz w:val="22"/>
          <w:szCs w:val="22"/>
        </w:rPr>
        <w:t xml:space="preserve">TNA se mantiene constante</w:t>
      </w:r>
      <w:r>
        <w:rPr>
          <w:rFonts w:ascii="Arial" w:cs="Arial" w:eastAsia="Arial" w:hAnsi="Arial"/>
          <w:sz w:val="22"/>
          <w:szCs w:val="22"/>
        </w:rPr>
        <w:t xml:space="preserve"> durante el mes.</w:t>
      </w:r>
    </w:p>
    <w:p>
      <w:pPr>
        <w:pStyle w:val="ListParagraph"/>
        <w:numPr>
          <w:ilvl w:val="0"/>
          <w:numId w:val="2"/>
        </w:numPr>
        <w:spacing w:after="80"/>
      </w:pPr>
      <w:r>
        <w:rPr>
          <w:rFonts w:ascii="Arial" w:cs="Arial" w:eastAsia="Arial" w:hAnsi="Arial"/>
          <w:sz w:val="22"/>
          <w:szCs w:val="22"/>
        </w:rPr>
        <w:t xml:space="preserve">La </w:t>
      </w:r>
      <w:r>
        <w:rPr>
          <w:rFonts w:ascii="Arial" w:cs="Arial" w:eastAsia="Arial" w:hAnsi="Arial"/>
          <w:b/>
          <w:bCs/>
          <w:sz w:val="22"/>
          <w:szCs w:val="22"/>
        </w:rPr>
        <w:t xml:space="preserve">proyección anual</w:t>
      </w:r>
      <w:r>
        <w:rPr>
          <w:rFonts w:ascii="Arial" w:cs="Arial" w:eastAsia="Arial" w:hAnsi="Arial"/>
          <w:sz w:val="22"/>
          <w:szCs w:val="22"/>
        </w:rPr>
        <w:t xml:space="preserve"> es la ventaja mensual × 12 (no se compone mes a mes).</w:t>
      </w:r>
    </w:p>
    <w:p>
      <w:pPr>
        <w:pStyle w:val="ListParagraph"/>
        <w:numPr>
          <w:ilvl w:val="0"/>
          <w:numId w:val="2"/>
        </w:numPr>
        <w:spacing w:after="80"/>
      </w:pPr>
      <w:r>
        <w:rPr>
          <w:rFonts w:ascii="Arial" w:cs="Arial" w:eastAsia="Arial" w:hAnsi="Arial"/>
          <w:sz w:val="22"/>
          <w:szCs w:val="22"/>
        </w:rPr>
        <w:t xml:space="preserve">El factor del </w:t>
      </w:r>
      <w:r>
        <w:rPr>
          <w:rFonts w:ascii="Arial" w:cs="Arial" w:eastAsia="Arial" w:hAnsi="Arial"/>
          <w:b/>
          <w:bCs/>
          <w:sz w:val="22"/>
          <w:szCs w:val="22"/>
        </w:rPr>
        <w:t xml:space="preserve">67%</w:t>
      </w:r>
      <w:r>
        <w:rPr>
          <w:rFonts w:ascii="Arial" w:cs="Arial" w:eastAsia="Arial" w:hAnsi="Arial"/>
          <w:sz w:val="22"/>
          <w:szCs w:val="22"/>
        </w:rPr>
        <w:t xml:space="preserve"> del rendimiento post-gasto es fijo.</w:t>
      </w:r>
    </w:p>
    <w:p>
      <w:pPr>
        <w:pStyle w:val="ListParagraph"/>
        <w:numPr>
          <w:ilvl w:val="0"/>
          <w:numId w:val="2"/>
        </w:numPr>
        <w:spacing w:after="80"/>
      </w:pPr>
      <w:r>
        <w:rPr>
          <w:rFonts w:ascii="Arial" w:cs="Arial" w:eastAsia="Arial" w:hAnsi="Arial"/>
          <w:sz w:val="22"/>
          <w:szCs w:val="22"/>
        </w:rPr>
        <w:t xml:space="preserve">No se consideran retiros parciales de rendimiento durante el mes.</w:t>
      </w:r>
    </w:p>
    <w:p>
      <w:pPr>
        <w:pStyle w:val="Heading1"/>
        <w:spacing w:after="200" w:before="360"/>
      </w:pPr>
      <w:r>
        <w:rPr>
          <w:rFonts w:ascii="Arial" w:cs="Arial" w:eastAsia="Arial" w:hAnsi="Arial"/>
          <w:b/>
          <w:bCs/>
          <w:color w:val="0E1B38"/>
          <w:sz w:val="28"/>
          <w:szCs w:val="28"/>
        </w:rPr>
        <w:t xml:space="preserve">12. Qué significa el resultado final</w:t>
      </w:r>
    </w:p>
    <w:p>
      <w:pPr>
        <w:spacing w:after="160"/>
      </w:pPr>
      <w:r>
        <w:rPr>
          <w:rFonts w:ascii="Arial" w:cs="Arial" w:eastAsia="Arial" w:hAnsi="Arial"/>
          <w:color w:val="333333"/>
          <w:sz w:val="22"/>
          <w:szCs w:val="22"/>
        </w:rPr>
        <w:t xml:space="preserve">El usuario ve cuánto rinde su dinero en UX Dual, cuánto en cada billetera tradicional, la diferencia mensual y la proyección anual. El mensaje: </w:t>
      </w:r>
      <w:r>
        <w:rPr>
          <w:rFonts w:ascii="Arial" w:cs="Arial" w:eastAsia="Arial" w:hAnsi="Arial"/>
          <w:b/>
          <w:bCs/>
          <w:color w:val="333333"/>
          <w:sz w:val="22"/>
          <w:szCs w:val="22"/>
        </w:rPr>
        <w:t xml:space="preserve">con el mismo dinero y el mismo patrón de gastos, UX Dual genera más rendimiento porque el dinero gastado sigue trabajando hasta fin de mes</w:t>
      </w:r>
      <w:r>
        <w:rPr>
          <w:rFonts w:ascii="Arial" w:cs="Arial" w:eastAsia="Arial" w:hAnsi="Arial"/>
          <w:color w:val="333333"/>
          <w:sz w:val="22"/>
          <w:szCs w:val="22"/>
        </w:rPr>
        <w:t xml:space="preserv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AAAAAA"/>
        <w:sz w:val="16"/>
        <w:szCs w:val="16"/>
      </w:rPr>
      <w:t xml:space="preserve">Página </w:t>
    </w:r>
    <w:r>
      <w:rPr>
        <w:rFonts w:ascii="Arial" w:cs="Arial" w:eastAsia="Arial" w:hAnsi="Arial"/>
        <w:color w:val="AAAAA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AAAAAA"/>
        <w:sz w:val="16"/>
        <w:szCs w:val="16"/>
      </w:rPr>
      <w:t xml:space="preserve">UX Capital — Documento interno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0E1B38"/>
      <w:sz w:val="28"/>
      <w:szCs w:val="28"/>
    </w:rPr>
  </w:style>
  <w:style w:type="paragraph" w:styleId="Heading2">
    <w:name w:val="Heading 2"/>
    <w:basedOn w:val="Normal"/>
    <w:next w:val="Normal"/>
    <w:qFormat/>
    <w:pPr>
      <w:spacing w:after="160" w:before="280"/>
      <w:outlineLvl w:val="1"/>
    </w:pPr>
    <w:rPr>
      <w:rFonts w:ascii="Arial" w:cs="Arial" w:eastAsia="Arial" w:hAnsi="Arial"/>
      <w:b/>
      <w:bCs/>
      <w:color w:val="3BB27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2026-03-31T18:35:48.353Z</dcterms:created>
  <dcterms:modified xsi:type="dcterms:W3CDTF">2026-03-31T18:35:48.354Z</dcterms:modified>
</cp:coreProperties>
</file>

<file path=docProps/custom.xml><?xml version="1.0" encoding="utf-8"?>
<Properties xmlns="http://schemas.openxmlformats.org/officeDocument/2006/custom-properties" xmlns:vt="http://schemas.openxmlformats.org/officeDocument/2006/docPropsVTypes"/>
</file>