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4gt1pdueydql" w:id="0"/>
      <w:bookmarkEnd w:id="0"/>
      <w:r w:rsidDel="00000000" w:rsidR="00000000" w:rsidRPr="00000000">
        <w:rPr>
          <w:rtl w:val="0"/>
        </w:rPr>
        <w:t xml:space="preserve">Táblázatkezelés tanmenet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/>
      </w:pPr>
      <w:bookmarkStart w:colFirst="0" w:colLast="0" w:name="_lwuphqq8pp9n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259.0" w:type="dxa"/>
        <w:jc w:val="left"/>
        <w:tblInd w:w="-2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732"/>
        <w:gridCol w:w="9527"/>
        <w:tblGridChange w:id="0">
          <w:tblGrid>
            <w:gridCol w:w="732"/>
            <w:gridCol w:w="95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Táblázatkezelés: a táblázat felépítése, tájékozódás, szövegformátumok, másolás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Képletek (műveletek) használata, egyszerű számítási feladatok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Adattípusok és számformák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Műveletek speciális formátumú számokkal (dátum, százalék)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Egyszerű függvények (összeg, átlag, minimum-maximum)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Relatív hivatkozás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Abszolút hivatkozások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Röpdolgozat hivatkozásokból. Diagramok: típusaik, megfelelő diagram kiválasztása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 formázása. Számított adatok ábrázolása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Összefüggések ábrázolása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Függvényábrázolás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Gyakorlás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Gyakorlás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Dolgozat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-136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 és szám típus. Számformátumok (egyéni is). Relatív, abszolút hivatkozás. Cellaformázás (összevonás, tördelés, forgatás).</w:t>
            </w:r>
          </w:p>
          <w:p w:rsidR="00000000" w:rsidDel="00000000" w:rsidP="00000000" w:rsidRDefault="00000000" w:rsidRPr="00000000" w14:paraId="00000023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SZUM, ÁTLAG, MIN, MAX, KICSI, NAGY, KEREKÍTÉS, KEREK.FEL, KEREK.LE, GYÖK</w:t>
            </w:r>
          </w:p>
          <w:p w:rsidR="00000000" w:rsidDel="00000000" w:rsidP="00000000" w:rsidRDefault="00000000" w:rsidRPr="00000000" w14:paraId="00000024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Iteratív számítások (pl. kamatos kamat).</w:t>
            </w:r>
          </w:p>
          <w:p w:rsidR="00000000" w:rsidDel="00000000" w:rsidP="00000000" w:rsidRDefault="00000000" w:rsidRPr="00000000" w14:paraId="00000025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Számolás idő adatokkal (eltelt idő, átváltás).</w:t>
            </w:r>
          </w:p>
          <w:p w:rsidR="00000000" w:rsidDel="00000000" w:rsidP="00000000" w:rsidRDefault="00000000" w:rsidRPr="00000000" w14:paraId="00000026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Diagram: oszlop, vonal, torta, pont. Diagram formázás. Forrásadatok módosítása.</w:t>
            </w:r>
          </w:p>
          <w:p w:rsidR="00000000" w:rsidDel="00000000" w:rsidP="00000000" w:rsidRDefault="00000000" w:rsidRPr="00000000" w14:paraId="00000027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Kimenet:</w:t>
            </w:r>
          </w:p>
          <w:p w:rsidR="00000000" w:rsidDel="00000000" w:rsidP="00000000" w:rsidRDefault="00000000" w:rsidRPr="00000000" w14:paraId="00000028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nkp.hu/tankonyv/digitalis_kultura_9_nat2020/lecke_08_002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4., 5. és 6. példa</w:t>
            </w:r>
          </w:p>
          <w:p w:rsidR="00000000" w:rsidDel="00000000" w:rsidP="00000000" w:rsidRDefault="00000000" w:rsidRPr="00000000" w14:paraId="00000029">
            <w:pPr>
              <w:spacing w:before="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nkp.hu/tankonyv/digitalis_kultura_9_nat2020/lecke_08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_003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ind w:left="840" w:firstLine="4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kp.hu/tankonyv/digitalis_kultura_9_nat2020/lecke_08_002" TargetMode="External"/><Relationship Id="rId7" Type="http://schemas.openxmlformats.org/officeDocument/2006/relationships/hyperlink" Target="https://www.nkp.hu/tankonyv/digitalis_kultura_9_nat2020/lecke_08_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