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A73E8"/>
          <w:sz w:val="26"/>
          <w:szCs w:val="26"/>
        </w:rPr>
        <w:t xml:space="preserve">INFORME TÉCNICO</w:t>
      </w:r>
    </w:p>
    <w:p>
      <w:pPr>
        <w:spacing w:after="200" w:before="200"/>
        <w:jc w:val="center"/>
      </w:pPr>
      <w:r>
        <w:rPr>
          <w:b/>
          <w:bCs/>
          <w:color w:val="0B3D6E"/>
          <w:sz w:val="48"/>
          <w:szCs w:val="48"/>
        </w:rPr>
        <w:t xml:space="preserve">BigQuery vs. Databricks</w:t>
      </w:r>
    </w:p>
    <w:p>
      <w:pPr>
        <w:spacing w:after="600"/>
        <w:jc w:val="center"/>
      </w:pPr>
      <w:r>
        <w:rPr>
          <w:i/>
          <w:iCs/>
          <w:color w:val="5F6368"/>
          <w:sz w:val="24"/>
          <w:szCs w:val="24"/>
        </w:rPr>
        <w:t xml:space="preserve">Análisis comparativo de arquitectura, coste total de propiedad y riesgo operativo, con recomendación de takeout de Databricks para la plataforma de datos de Adevinta</w:t>
      </w:r>
    </w:p>
    <w:p>
      <w:pPr>
        <w:spacing w:before="1600"/>
        <w:jc w:val="center"/>
      </w:pPr>
      <w:r>
        <w:rPr>
          <w:color w:val="202124"/>
          <w:sz w:val="20"/>
          <w:szCs w:val="20"/>
        </w:rPr>
        <w:t xml:space="preserve">Preparado para: Dirección de Ingeniería de Datos y Plataforma — Adevinta</w:t>
      </w:r>
    </w:p>
    <w:p>
      <w:pPr>
        <w:spacing w:after="100"/>
        <w:jc w:val="center"/>
      </w:pPr>
      <w:r>
        <w:rPr>
          <w:color w:val="202124"/>
          <w:sz w:val="20"/>
          <w:szCs w:val="20"/>
        </w:rPr>
        <w:t xml:space="preserve">Clasificación: Confidencial — uso interno</w:t>
      </w:r>
    </w:p>
    <w:p>
      <w:pPr>
        <w:jc w:val="center"/>
      </w:pPr>
      <w:r>
        <w:rPr>
          <w:color w:val="202124"/>
          <w:sz w:val="20"/>
          <w:szCs w:val="20"/>
        </w:rPr>
        <w:t xml:space="preserve">Fecha: julio de 2026</w:t>
      </w:r>
    </w:p>
    <w:p>
      <w:r>
        <w:br w:type="page"/>
      </w:r>
    </w:p>
    <w:p>
      <w:pPr>
        <w:pStyle w:val="Heading1"/>
        <w:pBdr>
          <w:bottom w:val="single" w:color="1A73E8" w:sz="12" w:space="4"/>
        </w:pBdr>
        <w:spacing w:after="200" w:before="400"/>
      </w:pPr>
      <w:r>
        <w:rPr>
          <w:b/>
          <w:bCs/>
          <w:color w:val="0B3D6E"/>
          <w:sz w:val="30"/>
          <w:szCs w:val="30"/>
        </w:rPr>
        <w:t xml:space="preserve">1. Resumen ejecutivo</w:t>
      </w:r>
    </w:p>
    <w:p>
      <w:pPr>
        <w:spacing w:after="160" w:line="288"/>
      </w:pPr>
      <w:r>
        <w:rPr>
          <w:color w:val="202124"/>
          <w:sz w:val="21"/>
          <w:szCs w:val="21"/>
        </w:rPr>
        <w:t xml:space="preserve">Este informe evalúa, desde una perspectiva estrictamente técnica, la idoneidad de Google BigQuery frente a Databricks como motor central de analítica y procesamiento de datos para Adevinta. La conclusión es clara: para el perfil de carga de trabajo dominante en Adevinta —analítica de producto, reporting de marketplaces, activación de datos para growth y ML aplicado a recomendación y pricing— BigQuery ofrece menor coste total de propiedad, menor superficie operativa, mayor previsibilidad de rendimiento y una integración nativa con el resto del stack de Google Cloud que Adevinta ya opera de facto en varias verticales.</w:t>
      </w:r>
    </w:p>
    <w:p>
      <w:pPr>
        <w:spacing w:after="160" w:line="288"/>
      </w:pPr>
      <w:r>
        <w:rPr>
          <w:color w:val="202124"/>
          <w:sz w:val="21"/>
          <w:szCs w:val="21"/>
        </w:rPr>
        <w:t xml:space="preserve">Databricks, por el contrario, introduce una carga operativa estructural (gestión de clústeres Spark, tuning de Photon, políticas de Unity Catalog, ciclos de OPTIMIZE/VACUUM sobre Delta Lake) que traslada al equipo de plataforma de Adevinta un coste de ingeniería recurrente que en BigQuery queda absorbido por el proveedor. Este informe detalla las debilidades técnicas concretas de Databricks, cuantifica el impacto en TCO y operabilidad, y propone un plan de takeout por fases con mitigación de riesgos.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73E8" w:sz="4"/>
              <w:left w:val="single" w:color="1A73E8" w:sz="24"/>
              <w:bottom w:val="single" w:color="1A73E8" w:sz="4"/>
              <w:right w:val="single" w:color="1A73E8" w:sz="4"/>
            </w:tcBorders>
            <w:shd w:fill="E8F0FE" w:color="auto" w:val="clear"/>
            <w:tcMar>
              <w:top w:type="dxa" w:w="160"/>
              <w:left w:type="dxa" w:w="200"/>
              <w:bottom w:type="dxa" w:w="160"/>
              <w:right w:type="dxa" w:w="200"/>
            </w:tcMar>
          </w:tcPr>
          <w:p>
            <w:pPr>
              <w:spacing w:after="80"/>
            </w:pPr>
            <w:r>
              <w:rPr>
                <w:b/>
                <w:bCs/>
                <w:color w:val="1A73E8"/>
                <w:sz w:val="21"/>
                <w:szCs w:val="21"/>
              </w:rPr>
              <w:t xml:space="preserve">Recomendación</w:t>
            </w:r>
          </w:p>
          <w:p>
            <w:pPr>
              <w:spacing w:after="0" w:line="276"/>
            </w:pPr>
            <w:r>
              <w:rPr>
                <w:color w:val="202124"/>
                <w:sz w:val="20"/>
                <w:szCs w:val="20"/>
              </w:rPr>
              <w:t xml:space="preserve">Iniciar un plan de takeout de Databricks de 3 fases (12–18 meses), consolidando en BigQuery las cargas de BI, reporting, activación de datos y la mayoría de pipelines batch, mientras se evalúa caso por caso qué cargas de entrenamiento de ML pesado (si las hay) requieren mantenerse en un runtime Spark gestionado a corto plazo.</w:t>
            </w:r>
          </w:p>
        </w:tc>
      </w:tr>
    </w:tbl>
    <w:p>
      <w:pPr>
        <w:pStyle w:val="Heading1"/>
        <w:pBdr>
          <w:bottom w:val="single" w:color="1A73E8" w:sz="12" w:space="4"/>
        </w:pBdr>
        <w:spacing w:after="200" w:before="400"/>
      </w:pPr>
      <w:r>
        <w:rPr>
          <w:b/>
          <w:bCs/>
          <w:color w:val="0B3D6E"/>
          <w:sz w:val="30"/>
          <w:szCs w:val="30"/>
        </w:rPr>
        <w:t xml:space="preserve">2. Contexto y alcance</w:t>
      </w:r>
    </w:p>
    <w:p>
      <w:pPr>
        <w:spacing w:after="160" w:line="288"/>
      </w:pPr>
      <w:r>
        <w:rPr>
          <w:color w:val="202124"/>
          <w:sz w:val="21"/>
          <w:szCs w:val="21"/>
        </w:rPr>
        <w:t xml:space="preserve">Adevinta opera múltiples marketplaces verticales (motor, inmobiliario, empleo, generalista) con necesidades de analítica de producto, pricing dinámico, detección de fraude, recomendación y reporting financiero por país. Gran parte de la infraestructura de Adevinta ya reside en Google Cloud Platform, lo que hace que la elección del motor analítico no sea neutra: cada componente adicional fuera del perímetro de GCP añade latencia de red inter-nube, complejidad de IAM federado y coste de egress que no aparece en las comparativas de precio por TB o por DBU, pero sí en la factura consolidada de FinOps.</w:t>
      </w:r>
    </w:p>
    <w:p>
      <w:pPr>
        <w:spacing w:after="160" w:line="288"/>
      </w:pPr>
      <w:r>
        <w:rPr>
          <w:color w:val="202124"/>
          <w:sz w:val="21"/>
          <w:szCs w:val="21"/>
        </w:rPr>
        <w:t xml:space="preserve">El alcance de este informe cubre: arquitectura y modelo de ejecución, modelo de costes, rendimiento y concurrencia, gobernanza y seguridad, integración con el ecosistema de datos existente, coste de operación y de talento, y un análisis específico de las debilidades de Databricks relevantes para el contexto de Adevinta.</w:t>
      </w:r>
    </w:p>
    <w:p>
      <w:pPr>
        <w:pStyle w:val="Heading1"/>
        <w:pBdr>
          <w:bottom w:val="single" w:color="1A73E8" w:sz="12" w:space="4"/>
        </w:pBdr>
        <w:spacing w:after="200" w:before="400"/>
      </w:pPr>
      <w:r>
        <w:rPr>
          <w:b/>
          <w:bCs/>
          <w:color w:val="0B3D6E"/>
          <w:sz w:val="30"/>
          <w:szCs w:val="30"/>
        </w:rPr>
        <w:t xml:space="preserve">3. Arquitectura y modelo de ejecución</w:t>
      </w:r>
    </w:p>
    <w:p>
      <w:pPr>
        <w:spacing w:after="160" w:line="288"/>
      </w:pPr>
      <w:r>
        <w:rPr>
          <w:color w:val="202124"/>
          <w:sz w:val="21"/>
          <w:szCs w:val="21"/>
        </w:rPr>
        <w:t xml:space="preserve">BigQuery nació como un motor serverless multi-tenant: el usuario no aprovisiona clústeres, no dimensiona nodos ni gestiona versiones de runtime. El planificador de consultas asigna "slots" (unidades lógicas de 0.5 vCPU) de forma dinámica desde un pool compartido o desde una reserva contratada. Databricks, en cambio, es una capa de cómputo (Spark/Photon) sobre almacenamiento en objetos (Delta Lake) que el cliente sigue teniendo que dimensionar: tipo de instancia, tamaño mínimo/máximo de clúster, política de autoscaling, versión de Databricks Runtime y configuración de Photon.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3730"/>
        <w:gridCol w:w="3730"/>
      </w:tblGrid>
      <w:tr>
        <w:trPr>
          <w:tblHeader/>
        </w:trPr>
        <w:tc>
          <w:tcPr>
            <w:tcW w:type="dxa" w:w="2621"/>
            <w:shd w:fill="0B3D6E" w:color="auto" w:val="clear"/>
            <w:tcMar>
              <w:top w:type="dxa" w:w="100"/>
              <w:left w:type="dxa" w:w="120"/>
              <w:bottom w:type="dxa" w:w="100"/>
              <w:right w:type="dxa" w:w="120"/>
            </w:tcMar>
            <w:vAlign w:val="center"/>
          </w:tcPr>
          <w:p>
            <w:pPr>
              <w:jc w:val="left"/>
            </w:pPr>
            <w:r>
              <w:rPr>
                <w:b/>
                <w:bCs/>
                <w:color w:val="FFFFFF"/>
                <w:sz w:val="19"/>
                <w:szCs w:val="19"/>
              </w:rPr>
              <w:t xml:space="preserve">Dimensión</w:t>
            </w:r>
          </w:p>
        </w:tc>
        <w:tc>
          <w:tcPr>
            <w:tcW w:type="dxa" w:w="3730"/>
            <w:shd w:fill="0B3D6E" w:color="auto" w:val="clear"/>
            <w:tcMar>
              <w:top w:type="dxa" w:w="100"/>
              <w:left w:type="dxa" w:w="120"/>
              <w:bottom w:type="dxa" w:w="100"/>
              <w:right w:type="dxa" w:w="120"/>
            </w:tcMar>
            <w:vAlign w:val="center"/>
          </w:tcPr>
          <w:p>
            <w:pPr>
              <w:jc w:val="left"/>
            </w:pPr>
            <w:r>
              <w:rPr>
                <w:b/>
                <w:bCs/>
                <w:color w:val="FFFFFF"/>
                <w:sz w:val="19"/>
                <w:szCs w:val="19"/>
              </w:rPr>
              <w:t xml:space="preserve">BigQuery</w:t>
            </w:r>
          </w:p>
        </w:tc>
        <w:tc>
          <w:tcPr>
            <w:tcW w:type="dxa" w:w="3730"/>
            <w:shd w:fill="0B3D6E" w:color="auto" w:val="clear"/>
            <w:tcMar>
              <w:top w:type="dxa" w:w="100"/>
              <w:left w:type="dxa" w:w="120"/>
              <w:bottom w:type="dxa" w:w="100"/>
              <w:right w:type="dxa" w:w="120"/>
            </w:tcMar>
            <w:vAlign w:val="center"/>
          </w:tcPr>
          <w:p>
            <w:pPr>
              <w:jc w:val="left"/>
            </w:pPr>
            <w:r>
              <w:rPr>
                <w:b/>
                <w:bCs/>
                <w:color w:val="FFFFFF"/>
                <w:sz w:val="19"/>
                <w:szCs w:val="19"/>
              </w:rPr>
              <w:t xml:space="preserve">Databricks</w:t>
            </w:r>
          </w:p>
        </w:tc>
      </w:tr>
      <w:tr>
        <w:tc>
          <w:tcPr>
            <w:tcW w:type="dxa" w:w="2621"/>
            <w:shd w:fill="FFFFFF" w:color="auto" w:val="clear"/>
            <w:tcMar>
              <w:top w:type="dxa" w:w="100"/>
              <w:left w:type="dxa" w:w="120"/>
              <w:bottom w:type="dxa" w:w="100"/>
              <w:right w:type="dxa" w:w="120"/>
            </w:tcMar>
            <w:vAlign w:val="center"/>
          </w:tcPr>
          <w:p>
            <w:pPr>
              <w:jc w:val="left"/>
            </w:pPr>
            <w:r>
              <w:rPr>
                <w:b w:val="false"/>
                <w:bCs w:val="false"/>
                <w:color w:val="202124"/>
                <w:sz w:val="19"/>
                <w:szCs w:val="19"/>
              </w:rPr>
              <w:t xml:space="preserve">Modelo de cómputo</w:t>
            </w:r>
          </w:p>
        </w:tc>
        <w:tc>
          <w:tcPr>
            <w:tcW w:type="dxa" w:w="3730"/>
            <w:shd w:fill="FFFFFF" w:color="auto" w:val="clear"/>
            <w:tcMar>
              <w:top w:type="dxa" w:w="100"/>
              <w:left w:type="dxa" w:w="120"/>
              <w:bottom w:type="dxa" w:w="100"/>
              <w:right w:type="dxa" w:w="120"/>
            </w:tcMar>
            <w:vAlign w:val="center"/>
          </w:tcPr>
          <w:p>
            <w:pPr>
              <w:jc w:val="left"/>
            </w:pPr>
            <w:r>
              <w:rPr>
                <w:b w:val="false"/>
                <w:bCs w:val="false"/>
                <w:color w:val="202124"/>
                <w:sz w:val="19"/>
                <w:szCs w:val="19"/>
              </w:rPr>
              <w:t xml:space="preserve">Serverless, multi-tenant, sin gestión de clústeres</w:t>
            </w:r>
          </w:p>
        </w:tc>
        <w:tc>
          <w:tcPr>
            <w:tcW w:type="dxa" w:w="3730"/>
            <w:shd w:fill="FFFFFF" w:color="auto" w:val="clear"/>
            <w:tcMar>
              <w:top w:type="dxa" w:w="100"/>
              <w:left w:type="dxa" w:w="120"/>
              <w:bottom w:type="dxa" w:w="100"/>
              <w:right w:type="dxa" w:w="120"/>
            </w:tcMar>
            <w:vAlign w:val="center"/>
          </w:tcPr>
          <w:p>
            <w:pPr>
              <w:jc w:val="left"/>
            </w:pPr>
            <w:r>
              <w:rPr>
                <w:b w:val="false"/>
                <w:bCs w:val="false"/>
                <w:color w:val="202124"/>
                <w:sz w:val="19"/>
                <w:szCs w:val="19"/>
              </w:rPr>
              <w:t xml:space="preserve">Clústeres Spark (o SQL Warehouses) que hay que dimensionar y mantener</w:t>
            </w:r>
          </w:p>
        </w:tc>
      </w:tr>
      <w:tr>
        <w:tc>
          <w:tcPr>
            <w:tcW w:type="dxa" w:w="2621"/>
            <w:shd w:fill="F1F3F4" w:color="auto" w:val="clear"/>
            <w:tcMar>
              <w:top w:type="dxa" w:w="100"/>
              <w:left w:type="dxa" w:w="120"/>
              <w:bottom w:type="dxa" w:w="100"/>
              <w:right w:type="dxa" w:w="120"/>
            </w:tcMar>
            <w:vAlign w:val="center"/>
          </w:tcPr>
          <w:p>
            <w:pPr>
              <w:jc w:val="left"/>
            </w:pPr>
            <w:r>
              <w:rPr>
                <w:b w:val="false"/>
                <w:bCs w:val="false"/>
                <w:color w:val="202124"/>
                <w:sz w:val="19"/>
                <w:szCs w:val="19"/>
              </w:rPr>
              <w:t xml:space="preserve">Almacenamiento</w:t>
            </w:r>
          </w:p>
        </w:tc>
        <w:tc>
          <w:tcPr>
            <w:tcW w:type="dxa" w:w="3730"/>
            <w:shd w:fill="F1F3F4" w:color="auto" w:val="clear"/>
            <w:tcMar>
              <w:top w:type="dxa" w:w="100"/>
              <w:left w:type="dxa" w:w="120"/>
              <w:bottom w:type="dxa" w:w="100"/>
              <w:right w:type="dxa" w:w="120"/>
            </w:tcMar>
            <w:vAlign w:val="center"/>
          </w:tcPr>
          <w:p>
            <w:pPr>
              <w:jc w:val="left"/>
            </w:pPr>
            <w:r>
              <w:rPr>
                <w:b w:val="false"/>
                <w:bCs w:val="false"/>
                <w:color w:val="202124"/>
                <w:sz w:val="19"/>
                <w:szCs w:val="19"/>
              </w:rPr>
              <w:t xml:space="preserve">Columnar propietario (Capacitor) + Storage API, gestionado</w:t>
            </w:r>
          </w:p>
        </w:tc>
        <w:tc>
          <w:tcPr>
            <w:tcW w:type="dxa" w:w="3730"/>
            <w:shd w:fill="F1F3F4" w:color="auto" w:val="clear"/>
            <w:tcMar>
              <w:top w:type="dxa" w:w="100"/>
              <w:left w:type="dxa" w:w="120"/>
              <w:bottom w:type="dxa" w:w="100"/>
              <w:right w:type="dxa" w:w="120"/>
            </w:tcMar>
            <w:vAlign w:val="center"/>
          </w:tcPr>
          <w:p>
            <w:pPr>
              <w:jc w:val="left"/>
            </w:pPr>
            <w:r>
              <w:rPr>
                <w:b w:val="false"/>
                <w:bCs w:val="false"/>
                <w:color w:val="202124"/>
                <w:sz w:val="19"/>
                <w:szCs w:val="19"/>
              </w:rPr>
              <w:t xml:space="preserve">Delta Lake sobre object storage del cliente (S3/ADLS/GCS)</w:t>
            </w:r>
          </w:p>
        </w:tc>
      </w:tr>
      <w:tr>
        <w:tc>
          <w:tcPr>
            <w:tcW w:type="dxa" w:w="2621"/>
            <w:shd w:fill="FFFFFF" w:color="auto" w:val="clear"/>
            <w:tcMar>
              <w:top w:type="dxa" w:w="100"/>
              <w:left w:type="dxa" w:w="120"/>
              <w:bottom w:type="dxa" w:w="100"/>
              <w:right w:type="dxa" w:w="120"/>
            </w:tcMar>
            <w:vAlign w:val="center"/>
          </w:tcPr>
          <w:p>
            <w:pPr>
              <w:jc w:val="left"/>
            </w:pPr>
            <w:r>
              <w:rPr>
                <w:b w:val="false"/>
                <w:bCs w:val="false"/>
                <w:color w:val="202124"/>
                <w:sz w:val="19"/>
                <w:szCs w:val="19"/>
              </w:rPr>
              <w:t xml:space="preserve">Escalado</w:t>
            </w:r>
          </w:p>
        </w:tc>
        <w:tc>
          <w:tcPr>
            <w:tcW w:type="dxa" w:w="3730"/>
            <w:shd w:fill="FFFFFF" w:color="auto" w:val="clear"/>
            <w:tcMar>
              <w:top w:type="dxa" w:w="100"/>
              <w:left w:type="dxa" w:w="120"/>
              <w:bottom w:type="dxa" w:w="100"/>
              <w:right w:type="dxa" w:w="120"/>
            </w:tcMar>
            <w:vAlign w:val="center"/>
          </w:tcPr>
          <w:p>
            <w:pPr>
              <w:jc w:val="left"/>
            </w:pPr>
            <w:r>
              <w:rPr>
                <w:b w:val="false"/>
                <w:bCs w:val="false"/>
                <w:color w:val="202124"/>
                <w:sz w:val="19"/>
                <w:szCs w:val="19"/>
              </w:rPr>
              <w:t xml:space="preserve">Automático e instantáneo por consulta</w:t>
            </w:r>
          </w:p>
        </w:tc>
        <w:tc>
          <w:tcPr>
            <w:tcW w:type="dxa" w:w="3730"/>
            <w:shd w:fill="FFFFFF" w:color="auto" w:val="clear"/>
            <w:tcMar>
              <w:top w:type="dxa" w:w="100"/>
              <w:left w:type="dxa" w:w="120"/>
              <w:bottom w:type="dxa" w:w="100"/>
              <w:right w:type="dxa" w:w="120"/>
            </w:tcMar>
            <w:vAlign w:val="center"/>
          </w:tcPr>
          <w:p>
            <w:pPr>
              <w:jc w:val="left"/>
            </w:pPr>
            <w:r>
              <w:rPr>
                <w:b w:val="false"/>
                <w:bCs w:val="false"/>
                <w:color w:val="202124"/>
                <w:sz w:val="19"/>
                <w:szCs w:val="19"/>
              </w:rPr>
              <w:t xml:space="preserve">Autoscaling por clúster, con latencia de arranque de nodos ("cold start")</w:t>
            </w:r>
          </w:p>
        </w:tc>
      </w:tr>
      <w:tr>
        <w:tc>
          <w:tcPr>
            <w:tcW w:type="dxa" w:w="2621"/>
            <w:shd w:fill="F1F3F4" w:color="auto" w:val="clear"/>
            <w:tcMar>
              <w:top w:type="dxa" w:w="100"/>
              <w:left w:type="dxa" w:w="120"/>
              <w:bottom w:type="dxa" w:w="100"/>
              <w:right w:type="dxa" w:w="120"/>
            </w:tcMar>
            <w:vAlign w:val="center"/>
          </w:tcPr>
          <w:p>
            <w:pPr>
              <w:jc w:val="left"/>
            </w:pPr>
            <w:r>
              <w:rPr>
                <w:b w:val="false"/>
                <w:bCs w:val="false"/>
                <w:color w:val="202124"/>
                <w:sz w:val="19"/>
                <w:szCs w:val="19"/>
              </w:rPr>
              <w:t xml:space="preserve">Mantenimiento de tablas</w:t>
            </w:r>
          </w:p>
        </w:tc>
        <w:tc>
          <w:tcPr>
            <w:tcW w:type="dxa" w:w="3730"/>
            <w:shd w:fill="F1F3F4" w:color="auto" w:val="clear"/>
            <w:tcMar>
              <w:top w:type="dxa" w:w="100"/>
              <w:left w:type="dxa" w:w="120"/>
              <w:bottom w:type="dxa" w:w="100"/>
              <w:right w:type="dxa" w:w="120"/>
            </w:tcMar>
            <w:vAlign w:val="center"/>
          </w:tcPr>
          <w:p>
            <w:pPr>
              <w:jc w:val="left"/>
            </w:pPr>
            <w:r>
              <w:rPr>
                <w:b w:val="false"/>
                <w:bCs w:val="false"/>
                <w:color w:val="202124"/>
                <w:sz w:val="19"/>
                <w:szCs w:val="19"/>
              </w:rPr>
              <w:t xml:space="preserve">Automático (clustering, compactación, colapso de metadatos)</w:t>
            </w:r>
          </w:p>
        </w:tc>
        <w:tc>
          <w:tcPr>
            <w:tcW w:type="dxa" w:w="3730"/>
            <w:shd w:fill="F1F3F4" w:color="auto" w:val="clear"/>
            <w:tcMar>
              <w:top w:type="dxa" w:w="100"/>
              <w:left w:type="dxa" w:w="120"/>
              <w:bottom w:type="dxa" w:w="100"/>
              <w:right w:type="dxa" w:w="120"/>
            </w:tcMar>
            <w:vAlign w:val="center"/>
          </w:tcPr>
          <w:p>
            <w:pPr>
              <w:jc w:val="left"/>
            </w:pPr>
            <w:r>
              <w:rPr>
                <w:b w:val="false"/>
                <w:bCs w:val="false"/>
                <w:color w:val="202124"/>
                <w:sz w:val="19"/>
                <w:szCs w:val="19"/>
              </w:rPr>
              <w:t xml:space="preserve">Manual/programado: OPTIMIZE, VACUUM, Z-ORDER, compactación de "small files"</w:t>
            </w:r>
          </w:p>
        </w:tc>
      </w:tr>
      <w:tr>
        <w:tc>
          <w:tcPr>
            <w:tcW w:type="dxa" w:w="2621"/>
            <w:shd w:fill="FFFFFF" w:color="auto" w:val="clear"/>
            <w:tcMar>
              <w:top w:type="dxa" w:w="100"/>
              <w:left w:type="dxa" w:w="120"/>
              <w:bottom w:type="dxa" w:w="100"/>
              <w:right w:type="dxa" w:w="120"/>
            </w:tcMar>
            <w:vAlign w:val="center"/>
          </w:tcPr>
          <w:p>
            <w:pPr>
              <w:jc w:val="left"/>
            </w:pPr>
            <w:r>
              <w:rPr>
                <w:b w:val="false"/>
                <w:bCs w:val="false"/>
                <w:color w:val="202124"/>
                <w:sz w:val="19"/>
                <w:szCs w:val="19"/>
              </w:rPr>
              <w:t xml:space="preserve">Motor de consulta</w:t>
            </w:r>
          </w:p>
        </w:tc>
        <w:tc>
          <w:tcPr>
            <w:tcW w:type="dxa" w:w="3730"/>
            <w:shd w:fill="FFFFFF" w:color="auto" w:val="clear"/>
            <w:tcMar>
              <w:top w:type="dxa" w:w="100"/>
              <w:left w:type="dxa" w:w="120"/>
              <w:bottom w:type="dxa" w:w="100"/>
              <w:right w:type="dxa" w:w="120"/>
            </w:tcMar>
            <w:vAlign w:val="center"/>
          </w:tcPr>
          <w:p>
            <w:pPr>
              <w:jc w:val="left"/>
            </w:pPr>
            <w:r>
              <w:rPr>
                <w:b w:val="false"/>
                <w:bCs w:val="false"/>
                <w:color w:val="202124"/>
                <w:sz w:val="19"/>
                <w:szCs w:val="19"/>
              </w:rPr>
              <w:t xml:space="preserve">Dremel/Dremel-like, ANSI SQL nativo</w:t>
            </w:r>
          </w:p>
        </w:tc>
        <w:tc>
          <w:tcPr>
            <w:tcW w:type="dxa" w:w="3730"/>
            <w:shd w:fill="FFFFFF" w:color="auto" w:val="clear"/>
            <w:tcMar>
              <w:top w:type="dxa" w:w="100"/>
              <w:left w:type="dxa" w:w="120"/>
              <w:bottom w:type="dxa" w:w="100"/>
              <w:right w:type="dxa" w:w="120"/>
            </w:tcMar>
            <w:vAlign w:val="center"/>
          </w:tcPr>
          <w:p>
            <w:pPr>
              <w:jc w:val="left"/>
            </w:pPr>
            <w:r>
              <w:rPr>
                <w:b w:val="false"/>
                <w:bCs w:val="false"/>
                <w:color w:val="202124"/>
                <w:sz w:val="19"/>
                <w:szCs w:val="19"/>
              </w:rPr>
              <w:t xml:space="preserve">Spark SQL + Photon (motor vectorizado en C++ desde 2022)</w:t>
            </w:r>
          </w:p>
        </w:tc>
      </w:tr>
      <w:tr>
        <w:tc>
          <w:tcPr>
            <w:tcW w:type="dxa" w:w="2621"/>
            <w:shd w:fill="F1F3F4" w:color="auto" w:val="clear"/>
            <w:tcMar>
              <w:top w:type="dxa" w:w="100"/>
              <w:left w:type="dxa" w:w="120"/>
              <w:bottom w:type="dxa" w:w="100"/>
              <w:right w:type="dxa" w:w="120"/>
            </w:tcMar>
            <w:vAlign w:val="center"/>
          </w:tcPr>
          <w:p>
            <w:pPr>
              <w:jc w:val="left"/>
            </w:pPr>
            <w:r>
              <w:rPr>
                <w:b w:val="false"/>
                <w:bCs w:val="false"/>
                <w:color w:val="202124"/>
                <w:sz w:val="19"/>
                <w:szCs w:val="19"/>
              </w:rPr>
              <w:t xml:space="preserve">Unidad de facturación</w:t>
            </w:r>
          </w:p>
        </w:tc>
        <w:tc>
          <w:tcPr>
            <w:tcW w:type="dxa" w:w="3730"/>
            <w:shd w:fill="F1F3F4" w:color="auto" w:val="clear"/>
            <w:tcMar>
              <w:top w:type="dxa" w:w="100"/>
              <w:left w:type="dxa" w:w="120"/>
              <w:bottom w:type="dxa" w:w="100"/>
              <w:right w:type="dxa" w:w="120"/>
            </w:tcMar>
            <w:vAlign w:val="center"/>
          </w:tcPr>
          <w:p>
            <w:pPr>
              <w:jc w:val="left"/>
            </w:pPr>
            <w:r>
              <w:rPr>
                <w:b w:val="false"/>
                <w:bCs w:val="false"/>
                <w:color w:val="202124"/>
                <w:sz w:val="19"/>
                <w:szCs w:val="19"/>
              </w:rPr>
              <w:t xml:space="preserve">Bytes escaneados o slots reservados</w:t>
            </w:r>
          </w:p>
        </w:tc>
        <w:tc>
          <w:tcPr>
            <w:tcW w:type="dxa" w:w="3730"/>
            <w:shd w:fill="F1F3F4" w:color="auto" w:val="clear"/>
            <w:tcMar>
              <w:top w:type="dxa" w:w="100"/>
              <w:left w:type="dxa" w:w="120"/>
              <w:bottom w:type="dxa" w:w="100"/>
              <w:right w:type="dxa" w:w="120"/>
            </w:tcMar>
            <w:vAlign w:val="center"/>
          </w:tcPr>
          <w:p>
            <w:pPr>
              <w:jc w:val="left"/>
            </w:pPr>
            <w:r>
              <w:rPr>
                <w:b w:val="false"/>
                <w:bCs w:val="false"/>
                <w:color w:val="202124"/>
                <w:sz w:val="19"/>
                <w:szCs w:val="19"/>
              </w:rPr>
              <w:t xml:space="preserve">DBU (Databricks Unit) × precio por instancia cloud subyacente</w:t>
            </w:r>
          </w:p>
        </w:tc>
      </w:tr>
    </w:tbl>
    <w:p>
      <w:pPr>
        <w:spacing w:after="160" w:line="288"/>
      </w:pPr>
      <w:r>
        <w:rPr>
          <w:color w:val="202124"/>
          <w:sz w:val="21"/>
          <w:szCs w:val="21"/>
        </w:rPr>
        <w:t xml:space="preserve">La diferencia no es cosmética: en BigQuery, el equipo de datos de Adevinta escribe SQL y el sistema decide cómo ejecutarlo. En Databricks, el equipo debe tomar decisiones de infraestructura (tipo de nodo, spot vs on-demand, tamaño de clúster, política de terminación) que son responsabilidad de un SRE/plataforma, no del analista o del ingeniero de datos que escribe la lógica de negocio.</w:t>
      </w:r>
    </w:p>
    <w:p>
      <w:pPr>
        <w:pStyle w:val="Heading1"/>
        <w:pBdr>
          <w:bottom w:val="single" w:color="1A73E8" w:sz="12" w:space="4"/>
        </w:pBdr>
        <w:spacing w:after="200" w:before="400"/>
      </w:pPr>
      <w:r>
        <w:rPr>
          <w:b/>
          <w:bCs/>
          <w:color w:val="0B3D6E"/>
          <w:sz w:val="30"/>
          <w:szCs w:val="30"/>
        </w:rPr>
        <w:t xml:space="preserve">4. Modelo de costes y coste total de propiedad (TCO)</w:t>
      </w:r>
    </w:p>
    <w:p>
      <w:pPr>
        <w:spacing w:after="160" w:line="288"/>
      </w:pPr>
      <w:r>
        <w:rPr>
          <w:color w:val="202124"/>
          <w:sz w:val="21"/>
          <w:szCs w:val="21"/>
        </w:rPr>
        <w:t xml:space="preserve">Ambos proveedores facturan por consumo, pero la naturaleza de las unidades es distinta y esto es clave para el TCO real: BigQuery cobra por bytes escaneados (o slots reservados a un precio fijo), mientras Databricks cobra DBUs sobre el clúster que el cliente ha dejado encendido, existan o no consultas activas en ese momento.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3730"/>
        <w:gridCol w:w="3730"/>
      </w:tblGrid>
      <w:tr>
        <w:trPr>
          <w:tblHeader/>
        </w:trPr>
        <w:tc>
          <w:tcPr>
            <w:tcW w:type="dxa" w:w="2621"/>
            <w:shd w:fill="0B3D6E" w:color="auto" w:val="clear"/>
            <w:tcMar>
              <w:top w:type="dxa" w:w="100"/>
              <w:left w:type="dxa" w:w="120"/>
              <w:bottom w:type="dxa" w:w="100"/>
              <w:right w:type="dxa" w:w="120"/>
            </w:tcMar>
            <w:vAlign w:val="center"/>
          </w:tcPr>
          <w:p>
            <w:pPr>
              <w:jc w:val="left"/>
            </w:pPr>
            <w:r>
              <w:rPr>
                <w:b/>
                <w:bCs/>
                <w:color w:val="FFFFFF"/>
                <w:sz w:val="19"/>
                <w:szCs w:val="19"/>
              </w:rPr>
              <w:t xml:space="preserve">Factor de coste</w:t>
            </w:r>
          </w:p>
        </w:tc>
        <w:tc>
          <w:tcPr>
            <w:tcW w:type="dxa" w:w="3730"/>
            <w:shd w:fill="0B3D6E" w:color="auto" w:val="clear"/>
            <w:tcMar>
              <w:top w:type="dxa" w:w="100"/>
              <w:left w:type="dxa" w:w="120"/>
              <w:bottom w:type="dxa" w:w="100"/>
              <w:right w:type="dxa" w:w="120"/>
            </w:tcMar>
            <w:vAlign w:val="center"/>
          </w:tcPr>
          <w:p>
            <w:pPr>
              <w:jc w:val="left"/>
            </w:pPr>
            <w:r>
              <w:rPr>
                <w:b/>
                <w:bCs/>
                <w:color w:val="FFFFFF"/>
                <w:sz w:val="19"/>
                <w:szCs w:val="19"/>
              </w:rPr>
              <w:t xml:space="preserve">BigQuery</w:t>
            </w:r>
          </w:p>
        </w:tc>
        <w:tc>
          <w:tcPr>
            <w:tcW w:type="dxa" w:w="3730"/>
            <w:shd w:fill="0B3D6E" w:color="auto" w:val="clear"/>
            <w:tcMar>
              <w:top w:type="dxa" w:w="100"/>
              <w:left w:type="dxa" w:w="120"/>
              <w:bottom w:type="dxa" w:w="100"/>
              <w:right w:type="dxa" w:w="120"/>
            </w:tcMar>
            <w:vAlign w:val="center"/>
          </w:tcPr>
          <w:p>
            <w:pPr>
              <w:jc w:val="left"/>
            </w:pPr>
            <w:r>
              <w:rPr>
                <w:b/>
                <w:bCs/>
                <w:color w:val="FFFFFF"/>
                <w:sz w:val="19"/>
                <w:szCs w:val="19"/>
              </w:rPr>
              <w:t xml:space="preserve">Databricks</w:t>
            </w:r>
          </w:p>
        </w:tc>
      </w:tr>
      <w:tr>
        <w:tc>
          <w:tcPr>
            <w:tcW w:type="dxa" w:w="2621"/>
            <w:shd w:fill="FFFFFF" w:color="auto" w:val="clear"/>
            <w:tcMar>
              <w:top w:type="dxa" w:w="100"/>
              <w:left w:type="dxa" w:w="120"/>
              <w:bottom w:type="dxa" w:w="100"/>
              <w:right w:type="dxa" w:w="120"/>
            </w:tcMar>
            <w:vAlign w:val="center"/>
          </w:tcPr>
          <w:p>
            <w:pPr>
              <w:jc w:val="left"/>
            </w:pPr>
            <w:r>
              <w:rPr>
                <w:b w:val="false"/>
                <w:bCs w:val="false"/>
                <w:color w:val="202124"/>
                <w:sz w:val="19"/>
                <w:szCs w:val="19"/>
              </w:rPr>
              <w:t xml:space="preserve">Coste en reposo (idle)</w:t>
            </w:r>
          </w:p>
        </w:tc>
        <w:tc>
          <w:tcPr>
            <w:tcW w:type="dxa" w:w="3730"/>
            <w:shd w:fill="FFFFFF" w:color="auto" w:val="clear"/>
            <w:tcMar>
              <w:top w:type="dxa" w:w="100"/>
              <w:left w:type="dxa" w:w="120"/>
              <w:bottom w:type="dxa" w:w="100"/>
              <w:right w:type="dxa" w:w="120"/>
            </w:tcMar>
            <w:vAlign w:val="center"/>
          </w:tcPr>
          <w:p>
            <w:pPr>
              <w:jc w:val="left"/>
            </w:pPr>
            <w:r>
              <w:rPr>
                <w:b w:val="false"/>
                <w:bCs w:val="false"/>
                <w:color w:val="202124"/>
                <w:sz w:val="19"/>
                <w:szCs w:val="19"/>
              </w:rPr>
              <w:t xml:space="preserve">Cero: no hay factura si no hay consulta</w:t>
            </w:r>
          </w:p>
        </w:tc>
        <w:tc>
          <w:tcPr>
            <w:tcW w:type="dxa" w:w="3730"/>
            <w:shd w:fill="FFFFFF" w:color="auto" w:val="clear"/>
            <w:tcMar>
              <w:top w:type="dxa" w:w="100"/>
              <w:left w:type="dxa" w:w="120"/>
              <w:bottom w:type="dxa" w:w="100"/>
              <w:right w:type="dxa" w:w="120"/>
            </w:tcMar>
            <w:vAlign w:val="center"/>
          </w:tcPr>
          <w:p>
            <w:pPr>
              <w:jc w:val="left"/>
            </w:pPr>
            <w:r>
              <w:rPr>
                <w:b w:val="false"/>
                <w:bCs w:val="false"/>
                <w:color w:val="202124"/>
                <w:sz w:val="19"/>
                <w:szCs w:val="19"/>
              </w:rPr>
              <w:t xml:space="preserve">Puede haber coste si el clúster no se apaga o el autoscaling no baja a mínimo</w:t>
            </w:r>
          </w:p>
        </w:tc>
      </w:tr>
      <w:tr>
        <w:tc>
          <w:tcPr>
            <w:tcW w:type="dxa" w:w="2621"/>
            <w:shd w:fill="F1F3F4" w:color="auto" w:val="clear"/>
            <w:tcMar>
              <w:top w:type="dxa" w:w="100"/>
              <w:left w:type="dxa" w:w="120"/>
              <w:bottom w:type="dxa" w:w="100"/>
              <w:right w:type="dxa" w:w="120"/>
            </w:tcMar>
            <w:vAlign w:val="center"/>
          </w:tcPr>
          <w:p>
            <w:pPr>
              <w:jc w:val="left"/>
            </w:pPr>
            <w:r>
              <w:rPr>
                <w:b w:val="false"/>
                <w:bCs w:val="false"/>
                <w:color w:val="202124"/>
                <w:sz w:val="19"/>
                <w:szCs w:val="19"/>
              </w:rPr>
              <w:t xml:space="preserve">Previsibilidad</w:t>
            </w:r>
          </w:p>
        </w:tc>
        <w:tc>
          <w:tcPr>
            <w:tcW w:type="dxa" w:w="3730"/>
            <w:shd w:fill="F1F3F4" w:color="auto" w:val="clear"/>
            <w:tcMar>
              <w:top w:type="dxa" w:w="100"/>
              <w:left w:type="dxa" w:w="120"/>
              <w:bottom w:type="dxa" w:w="100"/>
              <w:right w:type="dxa" w:w="120"/>
            </w:tcMar>
            <w:vAlign w:val="center"/>
          </w:tcPr>
          <w:p>
            <w:pPr>
              <w:jc w:val="left"/>
            </w:pPr>
            <w:r>
              <w:rPr>
                <w:b w:val="false"/>
                <w:bCs w:val="false"/>
                <w:color w:val="202124"/>
                <w:sz w:val="19"/>
                <w:szCs w:val="19"/>
              </w:rPr>
              <w:t xml:space="preserve">Alta con reservas de slots; variable en on-demand por TB</w:t>
            </w:r>
          </w:p>
        </w:tc>
        <w:tc>
          <w:tcPr>
            <w:tcW w:type="dxa" w:w="3730"/>
            <w:shd w:fill="F1F3F4" w:color="auto" w:val="clear"/>
            <w:tcMar>
              <w:top w:type="dxa" w:w="100"/>
              <w:left w:type="dxa" w:w="120"/>
              <w:bottom w:type="dxa" w:w="100"/>
              <w:right w:type="dxa" w:w="120"/>
            </w:tcMar>
            <w:vAlign w:val="center"/>
          </w:tcPr>
          <w:p>
            <w:pPr>
              <w:jc w:val="left"/>
            </w:pPr>
            <w:r>
              <w:rPr>
                <w:b w:val="false"/>
                <w:bCs w:val="false"/>
                <w:color w:val="202124"/>
                <w:sz w:val="19"/>
                <w:szCs w:val="19"/>
              </w:rPr>
              <w:t xml:space="preserve">Depende de la disciplina de tagging, políticas de cluster y auto-termination</w:t>
            </w:r>
          </w:p>
        </w:tc>
      </w:tr>
      <w:tr>
        <w:tc>
          <w:tcPr>
            <w:tcW w:type="dxa" w:w="2621"/>
            <w:shd w:fill="FFFFFF" w:color="auto" w:val="clear"/>
            <w:tcMar>
              <w:top w:type="dxa" w:w="100"/>
              <w:left w:type="dxa" w:w="120"/>
              <w:bottom w:type="dxa" w:w="100"/>
              <w:right w:type="dxa" w:w="120"/>
            </w:tcMar>
            <w:vAlign w:val="center"/>
          </w:tcPr>
          <w:p>
            <w:pPr>
              <w:jc w:val="left"/>
            </w:pPr>
            <w:r>
              <w:rPr>
                <w:b w:val="false"/>
                <w:bCs w:val="false"/>
                <w:color w:val="202124"/>
                <w:sz w:val="19"/>
                <w:szCs w:val="19"/>
              </w:rPr>
              <w:t xml:space="preserve">Coste oculto principal</w:t>
            </w:r>
          </w:p>
        </w:tc>
        <w:tc>
          <w:tcPr>
            <w:tcW w:type="dxa" w:w="3730"/>
            <w:shd w:fill="FFFFFF" w:color="auto" w:val="clear"/>
            <w:tcMar>
              <w:top w:type="dxa" w:w="100"/>
              <w:left w:type="dxa" w:w="120"/>
              <w:bottom w:type="dxa" w:w="100"/>
              <w:right w:type="dxa" w:w="120"/>
            </w:tcMar>
            <w:vAlign w:val="center"/>
          </w:tcPr>
          <w:p>
            <w:pPr>
              <w:jc w:val="left"/>
            </w:pPr>
            <w:r>
              <w:rPr>
                <w:b w:val="false"/>
                <w:bCs w:val="false"/>
                <w:color w:val="202124"/>
                <w:sz w:val="19"/>
                <w:szCs w:val="19"/>
              </w:rPr>
              <w:t xml:space="preserve">Consultas sin filtrar/particionar (full scan)</w:t>
            </w:r>
          </w:p>
        </w:tc>
        <w:tc>
          <w:tcPr>
            <w:tcW w:type="dxa" w:w="3730"/>
            <w:shd w:fill="FFFFFF" w:color="auto" w:val="clear"/>
            <w:tcMar>
              <w:top w:type="dxa" w:w="100"/>
              <w:left w:type="dxa" w:w="120"/>
              <w:bottom w:type="dxa" w:w="100"/>
              <w:right w:type="dxa" w:w="120"/>
            </w:tcMar>
            <w:vAlign w:val="center"/>
          </w:tcPr>
          <w:p>
            <w:pPr>
              <w:jc w:val="left"/>
            </w:pPr>
            <w:r>
              <w:rPr>
                <w:b w:val="false"/>
                <w:bCs w:val="false"/>
                <w:color w:val="202124"/>
                <w:sz w:val="19"/>
                <w:szCs w:val="19"/>
              </w:rPr>
              <w:t xml:space="preserve">Small files de Delta Lake sin compactar; clústeres sobredimensionados 'por si acaso'</w:t>
            </w:r>
          </w:p>
        </w:tc>
      </w:tr>
      <w:tr>
        <w:tc>
          <w:tcPr>
            <w:tcW w:type="dxa" w:w="2621"/>
            <w:shd w:fill="F1F3F4" w:color="auto" w:val="clear"/>
            <w:tcMar>
              <w:top w:type="dxa" w:w="100"/>
              <w:left w:type="dxa" w:w="120"/>
              <w:bottom w:type="dxa" w:w="100"/>
              <w:right w:type="dxa" w:w="120"/>
            </w:tcMar>
            <w:vAlign w:val="center"/>
          </w:tcPr>
          <w:p>
            <w:pPr>
              <w:jc w:val="left"/>
            </w:pPr>
            <w:r>
              <w:rPr>
                <w:b w:val="false"/>
                <w:bCs w:val="false"/>
                <w:color w:val="202124"/>
                <w:sz w:val="19"/>
                <w:szCs w:val="19"/>
              </w:rPr>
              <w:t xml:space="preserve">Coste de FinOps/gobierno</w:t>
            </w:r>
          </w:p>
        </w:tc>
        <w:tc>
          <w:tcPr>
            <w:tcW w:type="dxa" w:w="3730"/>
            <w:shd w:fill="F1F3F4" w:color="auto" w:val="clear"/>
            <w:tcMar>
              <w:top w:type="dxa" w:w="100"/>
              <w:left w:type="dxa" w:w="120"/>
              <w:bottom w:type="dxa" w:w="100"/>
              <w:right w:type="dxa" w:w="120"/>
            </w:tcMar>
            <w:vAlign w:val="center"/>
          </w:tcPr>
          <w:p>
            <w:pPr>
              <w:jc w:val="left"/>
            </w:pPr>
            <w:r>
              <w:rPr>
                <w:b w:val="false"/>
                <w:bCs w:val="false"/>
                <w:color w:val="202124"/>
                <w:sz w:val="19"/>
                <w:szCs w:val="19"/>
              </w:rPr>
              <w:t xml:space="preserve">Bajo: cuotas, políticas de organización, BI Engine</w:t>
            </w:r>
          </w:p>
        </w:tc>
        <w:tc>
          <w:tcPr>
            <w:tcW w:type="dxa" w:w="3730"/>
            <w:shd w:fill="F1F3F4" w:color="auto" w:val="clear"/>
            <w:tcMar>
              <w:top w:type="dxa" w:w="100"/>
              <w:left w:type="dxa" w:w="120"/>
              <w:bottom w:type="dxa" w:w="100"/>
              <w:right w:type="dxa" w:w="120"/>
            </w:tcMar>
            <w:vAlign w:val="center"/>
          </w:tcPr>
          <w:p>
            <w:pPr>
              <w:jc w:val="left"/>
            </w:pPr>
            <w:r>
              <w:rPr>
                <w:b w:val="false"/>
                <w:bCs w:val="false"/>
                <w:color w:val="202124"/>
                <w:sz w:val="19"/>
                <w:szCs w:val="19"/>
              </w:rPr>
              <w:t xml:space="preserve">Medio-alto: requiere disciplina activa de tagging, cluster policies, chargeback por workspace</w:t>
            </w:r>
          </w:p>
        </w:tc>
      </w:tr>
    </w:tbl>
    <w:p>
      <w:pPr>
        <w:spacing w:after="160" w:line="288"/>
      </w:pPr>
      <w:r>
        <w:rPr>
          <w:color w:val="202124"/>
          <w:sz w:val="21"/>
          <w:szCs w:val="21"/>
        </w:rPr>
        <w:t xml:space="preserve">En cargas de tipo BI/reporting con patrones de consulta intermitentes —el perfil típico de dashboards de negocio y paneles de país en un marketplace— BigQuery evita el coste de "warehouse encendido esperando la siguiente query" que sí existe en Databricks SQL cuando el auto-stop no está bien calibrado. Fuentes de mercado de 2026 sitúan a BigQuery como la opción más económica precisamente en escenarios de consulta ad-hoc o esporádica, mientras que Databricks resulta más competitivo en ETL batch sostenido de gran volumen, donde el motor Spark/Photon amortiza mejor el cómputo reservado.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0020" w:sz="4"/>
              <w:left w:val="single" w:color="B00020" w:sz="24"/>
              <w:bottom w:val="single" w:color="B00020" w:sz="4"/>
              <w:right w:val="single" w:color="B00020" w:sz="4"/>
            </w:tcBorders>
            <w:shd w:fill="FCE8E6" w:color="auto" w:val="clear"/>
            <w:tcMar>
              <w:top w:type="dxa" w:w="160"/>
              <w:left w:type="dxa" w:w="200"/>
              <w:bottom w:type="dxa" w:w="160"/>
              <w:right w:type="dxa" w:w="200"/>
            </w:tcMar>
          </w:tcPr>
          <w:p>
            <w:pPr>
              <w:spacing w:after="80"/>
            </w:pPr>
            <w:r>
              <w:rPr>
                <w:b/>
                <w:bCs/>
                <w:color w:val="B00020"/>
                <w:sz w:val="21"/>
                <w:szCs w:val="21"/>
              </w:rPr>
              <w:t xml:space="preserve">Riesgo de TCO no capturado en el precio por DBU</w:t>
            </w:r>
          </w:p>
          <w:p>
            <w:pPr>
              <w:spacing w:after="0" w:line="276"/>
            </w:pPr>
            <w:r>
              <w:rPr>
                <w:color w:val="202124"/>
                <w:sz w:val="20"/>
                <w:szCs w:val="20"/>
              </w:rPr>
              <w:t xml:space="preserve">El coste real de Databricks para Adevinta no es solo el DBU: incluye el tiempo de ingeniería de plataforma dedicado a tuning de clústeres, gestión de Unity Catalog, resolución de incidencias de "small files" y revisión periódica de políticas de cluster para evitar sobreaprovisionamiento. Ese coste de ingeniería no aparece en la factura de Databricks, pero sí en el coste de personal del equipo de datos.</w:t>
            </w:r>
          </w:p>
        </w:tc>
      </w:tr>
    </w:tbl>
    <w:p>
      <w:pPr>
        <w:pStyle w:val="Heading1"/>
        <w:pBdr>
          <w:bottom w:val="single" w:color="1A73E8" w:sz="12" w:space="4"/>
        </w:pBdr>
        <w:spacing w:after="200" w:before="400"/>
      </w:pPr>
      <w:r>
        <w:rPr>
          <w:b/>
          <w:bCs/>
          <w:color w:val="0B3D6E"/>
          <w:sz w:val="30"/>
          <w:szCs w:val="30"/>
        </w:rPr>
        <w:t xml:space="preserve">5. Rendimiento, concurrencia y elasticidad</w:t>
      </w:r>
    </w:p>
    <w:p>
      <w:pPr>
        <w:pStyle w:val="ListParagraph"/>
        <w:numPr>
          <w:ilvl w:val="0"/>
          <w:numId w:val="2"/>
        </w:numPr>
        <w:spacing w:after="90" w:line="276"/>
      </w:pPr>
      <w:r>
        <w:rPr>
          <w:color w:val="202124"/>
          <w:sz w:val="21"/>
          <w:szCs w:val="21"/>
        </w:rPr>
        <w:t xml:space="preserve">BigQuery escala instantáneamente ante picos de concurrencia porque el pool de slots es compartido a nivel de proyecto/organización; no existe un arranque de nodos que penalice la primera consulta tras un periodo de inactividad.</w:t>
      </w:r>
    </w:p>
    <w:p>
      <w:pPr>
        <w:pStyle w:val="ListParagraph"/>
        <w:numPr>
          <w:ilvl w:val="0"/>
          <w:numId w:val="2"/>
        </w:numPr>
        <w:spacing w:after="90" w:line="276"/>
      </w:pPr>
      <w:r>
        <w:rPr>
          <w:color w:val="202124"/>
          <w:sz w:val="21"/>
          <w:szCs w:val="21"/>
        </w:rPr>
        <w:t xml:space="preserve">Databricks SQL Serverless ha reducido el problema de "cold start" respecto a los clústeres clásicos, pero sigue exponiendo al equipo a decisiones de tamaño de warehouse y a colas de espera cuando la concurrencia supera lo aprovisionado.</w:t>
      </w:r>
    </w:p>
    <w:p>
      <w:pPr>
        <w:pStyle w:val="ListParagraph"/>
        <w:numPr>
          <w:ilvl w:val="0"/>
          <w:numId w:val="2"/>
        </w:numPr>
        <w:spacing w:after="90" w:line="276"/>
      </w:pPr>
      <w:r>
        <w:rPr>
          <w:color w:val="202124"/>
          <w:sz w:val="21"/>
          <w:szCs w:val="21"/>
        </w:rPr>
        <w:t xml:space="preserve">BI Engine (aceleración en memoria para BigQuery) da a los dashboards de Looker/Looker Studio latencias sub-segundo sin que el equipo de datos gestione una capa de caché aparte.</w:t>
      </w:r>
    </w:p>
    <w:p>
      <w:pPr>
        <w:pStyle w:val="ListParagraph"/>
        <w:numPr>
          <w:ilvl w:val="0"/>
          <w:numId w:val="2"/>
        </w:numPr>
        <w:spacing w:after="90" w:line="276"/>
      </w:pPr>
      <w:r>
        <w:rPr>
          <w:color w:val="202124"/>
          <w:sz w:val="21"/>
          <w:szCs w:val="21"/>
        </w:rPr>
        <w:t xml:space="preserve">En Databricks, mantener el rendimiento a escala exige disciplina continua: Z-ORDER sobre las columnas de filtrado frecuente, control del tamaño de archivo Delta y vigilancia del "data skew" en los jobs de Spark; sin esa disciplina, el rendimiento se degrada de forma silenciosa con el tiempo.</w:t>
      </w:r>
    </w:p>
    <w:p>
      <w:pPr>
        <w:pStyle w:val="Heading1"/>
        <w:pBdr>
          <w:bottom w:val="single" w:color="1A73E8" w:sz="12" w:space="4"/>
        </w:pBdr>
        <w:spacing w:after="200" w:before="400"/>
      </w:pPr>
      <w:r>
        <w:rPr>
          <w:b/>
          <w:bCs/>
          <w:color w:val="0B3D6E"/>
          <w:sz w:val="30"/>
          <w:szCs w:val="30"/>
        </w:rPr>
        <w:t xml:space="preserve">6. Gobernanza, seguridad y cumplimiento</w:t>
      </w:r>
    </w:p>
    <w:p>
      <w:pPr>
        <w:spacing w:after="160" w:line="288"/>
      </w:pPr>
      <w:r>
        <w:rPr>
          <w:color w:val="202124"/>
          <w:sz w:val="21"/>
          <w:szCs w:val="21"/>
        </w:rPr>
        <w:t xml:space="preserve">BigQuery hereda directamente el modelo IAM de Google Cloud: políticas a nivel de proyecto, dataset, tabla e incluso columna/fila (column-level security y row-level access policies) sin necesidad de una capa de gobierno adicional. Para una organización multi-país como Adevinta, con requisitos distintos de residencia de datos y RGPD por mercado, esto simplifica la auditoría.</w:t>
      </w:r>
    </w:p>
    <w:p>
      <w:pPr>
        <w:spacing w:after="160" w:line="288"/>
      </w:pPr>
      <w:r>
        <w:rPr>
          <w:color w:val="202124"/>
          <w:sz w:val="21"/>
          <w:szCs w:val="21"/>
        </w:rPr>
        <w:t xml:space="preserve">Databricks ha desarrollado Unity Catalog como respuesta a años de gobierno fragmentado (metastores de Hive independientes por workspace), pero su adopción todavía exige un proyecto de migración específico para organizaciones con workspaces heredados, y el modelo de permisos convive con el histórico de ACLs de tabla y de clúster, lo que en la práctica genera una capa de gobierno más compleja de auditar que el modelo IAM nativo de un proyecto BigQuery.</w:t>
      </w:r>
    </w:p>
    <w:p>
      <w:pPr>
        <w:pStyle w:val="Heading1"/>
        <w:pBdr>
          <w:bottom w:val="single" w:color="1A73E8" w:sz="12" w:space="4"/>
        </w:pBdr>
        <w:spacing w:after="200" w:before="400"/>
      </w:pPr>
      <w:r>
        <w:rPr>
          <w:b/>
          <w:bCs/>
          <w:color w:val="0B3D6E"/>
          <w:sz w:val="30"/>
          <w:szCs w:val="30"/>
        </w:rPr>
        <w:t xml:space="preserve">7. Integración con el ecosistema de datos existente</w:t>
      </w:r>
    </w:p>
    <w:p>
      <w:pPr>
        <w:spacing w:after="160" w:line="288"/>
      </w:pPr>
      <w:r>
        <w:rPr>
          <w:color w:val="202124"/>
          <w:sz w:val="21"/>
          <w:szCs w:val="21"/>
        </w:rPr>
        <w:t xml:space="preserve">Para Adevinta, con presencia significativa en Google Cloud, BigQuery no es "un almacén más": es el punto de integración natural con Looker/Looker Studio para BI, con Vertex AI para modelos de pricing y recomendación, con Pub/Sub y Dataflow para ingesta en streaming, y con Data Catalog/Dataplex para linaje y gobierno unificado. Cada una de estas integraciones es de primera clase (misma IAM, misma facturación, mismo perímetro de red) y no requiere conectores de terceros ni federación de identidades entre nubes.</w:t>
      </w:r>
    </w:p>
    <w:p>
      <w:pPr>
        <w:spacing w:after="160" w:line="288"/>
      </w:pPr>
      <w:r>
        <w:rPr>
          <w:color w:val="202124"/>
          <w:sz w:val="21"/>
          <w:szCs w:val="21"/>
        </w:rPr>
        <w:t xml:space="preserve">Databricks es agnóstico de nube por diseño, lo cual es una ventaja en escenarios multi-cloud puros, pero para una organización cuyo centro de gravedad ya es GCP introduce una capa de fricción: tráfico de red inter-nube si el almacenamiento vive en otra nube, gestión de identidades federadas entre el IdP corporativo, GCP y el propio Databricks, y un segundo plano de observabilidad y facturación que el equipo de FinOps debe conciliar con el resto del gasto en GCP.</w:t>
      </w:r>
    </w:p>
    <w:p>
      <w:pPr>
        <w:pStyle w:val="Heading1"/>
        <w:pBdr>
          <w:bottom w:val="single" w:color="1A73E8" w:sz="12" w:space="4"/>
        </w:pBdr>
        <w:spacing w:after="200" w:before="400"/>
      </w:pPr>
      <w:r>
        <w:rPr>
          <w:b/>
          <w:bCs/>
          <w:color w:val="0B3D6E"/>
          <w:sz w:val="30"/>
          <w:szCs w:val="30"/>
        </w:rPr>
        <w:t xml:space="preserve">8. Operabilidad y coste de talento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3830"/>
        <w:gridCol w:w="3830"/>
      </w:tblGrid>
      <w:tr>
        <w:trPr>
          <w:tblHeader/>
        </w:trPr>
        <w:tc>
          <w:tcPr>
            <w:tcW w:type="dxa" w:w="2419"/>
            <w:shd w:fill="0B3D6E" w:color="auto" w:val="clear"/>
            <w:tcMar>
              <w:top w:type="dxa" w:w="100"/>
              <w:left w:type="dxa" w:w="120"/>
              <w:bottom w:type="dxa" w:w="100"/>
              <w:right w:type="dxa" w:w="120"/>
            </w:tcMar>
            <w:vAlign w:val="center"/>
          </w:tcPr>
          <w:p>
            <w:pPr>
              <w:jc w:val="left"/>
            </w:pPr>
            <w:r>
              <w:rPr>
                <w:b/>
                <w:bCs/>
                <w:color w:val="FFFFFF"/>
                <w:sz w:val="19"/>
                <w:szCs w:val="19"/>
              </w:rPr>
              <w:t xml:space="preserve">Aspecto</w:t>
            </w:r>
          </w:p>
        </w:tc>
        <w:tc>
          <w:tcPr>
            <w:tcW w:type="dxa" w:w="3830"/>
            <w:shd w:fill="0B3D6E" w:color="auto" w:val="clear"/>
            <w:tcMar>
              <w:top w:type="dxa" w:w="100"/>
              <w:left w:type="dxa" w:w="120"/>
              <w:bottom w:type="dxa" w:w="100"/>
              <w:right w:type="dxa" w:w="120"/>
            </w:tcMar>
            <w:vAlign w:val="center"/>
          </w:tcPr>
          <w:p>
            <w:pPr>
              <w:jc w:val="left"/>
            </w:pPr>
            <w:r>
              <w:rPr>
                <w:b/>
                <w:bCs/>
                <w:color w:val="FFFFFF"/>
                <w:sz w:val="19"/>
                <w:szCs w:val="19"/>
              </w:rPr>
              <w:t xml:space="preserve">BigQuery</w:t>
            </w:r>
          </w:p>
        </w:tc>
        <w:tc>
          <w:tcPr>
            <w:tcW w:type="dxa" w:w="3830"/>
            <w:shd w:fill="0B3D6E" w:color="auto" w:val="clear"/>
            <w:tcMar>
              <w:top w:type="dxa" w:w="100"/>
              <w:left w:type="dxa" w:w="120"/>
              <w:bottom w:type="dxa" w:w="100"/>
              <w:right w:type="dxa" w:w="120"/>
            </w:tcMar>
            <w:vAlign w:val="center"/>
          </w:tcPr>
          <w:p>
            <w:pPr>
              <w:jc w:val="left"/>
            </w:pPr>
            <w:r>
              <w:rPr>
                <w:b/>
                <w:bCs/>
                <w:color w:val="FFFFFF"/>
                <w:sz w:val="19"/>
                <w:szCs w:val="19"/>
              </w:rPr>
              <w:t xml:space="preserve">Databricks</w:t>
            </w:r>
          </w:p>
        </w:tc>
      </w:tr>
      <w:tr>
        <w:tc>
          <w:tcPr>
            <w:tcW w:type="dxa" w:w="2419"/>
            <w:shd w:fill="FFFFFF" w:color="auto" w:val="clear"/>
            <w:tcMar>
              <w:top w:type="dxa" w:w="100"/>
              <w:left w:type="dxa" w:w="120"/>
              <w:bottom w:type="dxa" w:w="100"/>
              <w:right w:type="dxa" w:w="120"/>
            </w:tcMar>
            <w:vAlign w:val="center"/>
          </w:tcPr>
          <w:p>
            <w:pPr>
              <w:jc w:val="left"/>
            </w:pPr>
            <w:r>
              <w:rPr>
                <w:b w:val="false"/>
                <w:bCs w:val="false"/>
                <w:color w:val="202124"/>
                <w:sz w:val="19"/>
                <w:szCs w:val="19"/>
              </w:rPr>
              <w:t xml:space="preserve">Perfil requerido</w:t>
            </w:r>
          </w:p>
        </w:tc>
        <w:tc>
          <w:tcPr>
            <w:tcW w:type="dxa" w:w="3830"/>
            <w:shd w:fill="FFFFFF" w:color="auto" w:val="clear"/>
            <w:tcMar>
              <w:top w:type="dxa" w:w="100"/>
              <w:left w:type="dxa" w:w="120"/>
              <w:bottom w:type="dxa" w:w="100"/>
              <w:right w:type="dxa" w:w="120"/>
            </w:tcMar>
            <w:vAlign w:val="center"/>
          </w:tcPr>
          <w:p>
            <w:pPr>
              <w:jc w:val="left"/>
            </w:pPr>
            <w:r>
              <w:rPr>
                <w:b w:val="false"/>
                <w:bCs w:val="false"/>
                <w:color w:val="202124"/>
                <w:sz w:val="19"/>
                <w:szCs w:val="19"/>
              </w:rPr>
              <w:t xml:space="preserve">Analistas e ingenieros de datos con SQL</w:t>
            </w:r>
          </w:p>
        </w:tc>
        <w:tc>
          <w:tcPr>
            <w:tcW w:type="dxa" w:w="3830"/>
            <w:shd w:fill="FFFFFF" w:color="auto" w:val="clear"/>
            <w:tcMar>
              <w:top w:type="dxa" w:w="100"/>
              <w:left w:type="dxa" w:w="120"/>
              <w:bottom w:type="dxa" w:w="100"/>
              <w:right w:type="dxa" w:w="120"/>
            </w:tcMar>
            <w:vAlign w:val="center"/>
          </w:tcPr>
          <w:p>
            <w:pPr>
              <w:jc w:val="left"/>
            </w:pPr>
            <w:r>
              <w:rPr>
                <w:b w:val="false"/>
                <w:bCs w:val="false"/>
                <w:color w:val="202124"/>
                <w:sz w:val="19"/>
                <w:szCs w:val="19"/>
              </w:rPr>
              <w:t xml:space="preserve">Requiere perfiles con experiencia en Spark, tuning de JVM/Photon y administración de clústeres</w:t>
            </w:r>
          </w:p>
        </w:tc>
      </w:tr>
      <w:tr>
        <w:tc>
          <w:tcPr>
            <w:tcW w:type="dxa" w:w="2419"/>
            <w:shd w:fill="F1F3F4" w:color="auto" w:val="clear"/>
            <w:tcMar>
              <w:top w:type="dxa" w:w="100"/>
              <w:left w:type="dxa" w:w="120"/>
              <w:bottom w:type="dxa" w:w="100"/>
              <w:right w:type="dxa" w:w="120"/>
            </w:tcMar>
            <w:vAlign w:val="center"/>
          </w:tcPr>
          <w:p>
            <w:pPr>
              <w:jc w:val="left"/>
            </w:pPr>
            <w:r>
              <w:rPr>
                <w:b w:val="false"/>
                <w:bCs w:val="false"/>
                <w:color w:val="202124"/>
                <w:sz w:val="19"/>
                <w:szCs w:val="19"/>
              </w:rPr>
              <w:t xml:space="preserve">Curva de aprendizaje</w:t>
            </w:r>
          </w:p>
        </w:tc>
        <w:tc>
          <w:tcPr>
            <w:tcW w:type="dxa" w:w="3830"/>
            <w:shd w:fill="F1F3F4" w:color="auto" w:val="clear"/>
            <w:tcMar>
              <w:top w:type="dxa" w:w="100"/>
              <w:left w:type="dxa" w:w="120"/>
              <w:bottom w:type="dxa" w:w="100"/>
              <w:right w:type="dxa" w:w="120"/>
            </w:tcMar>
            <w:vAlign w:val="center"/>
          </w:tcPr>
          <w:p>
            <w:pPr>
              <w:jc w:val="left"/>
            </w:pPr>
            <w:r>
              <w:rPr>
                <w:b w:val="false"/>
                <w:bCs w:val="false"/>
                <w:color w:val="202124"/>
                <w:sz w:val="19"/>
                <w:szCs w:val="19"/>
              </w:rPr>
              <w:t xml:space="preserve">Baja–media (ANSI SQL estándar)</w:t>
            </w:r>
          </w:p>
        </w:tc>
        <w:tc>
          <w:tcPr>
            <w:tcW w:type="dxa" w:w="3830"/>
            <w:shd w:fill="F1F3F4" w:color="auto" w:val="clear"/>
            <w:tcMar>
              <w:top w:type="dxa" w:w="100"/>
              <w:left w:type="dxa" w:w="120"/>
              <w:bottom w:type="dxa" w:w="100"/>
              <w:right w:type="dxa" w:w="120"/>
            </w:tcMar>
            <w:vAlign w:val="center"/>
          </w:tcPr>
          <w:p>
            <w:pPr>
              <w:jc w:val="left"/>
            </w:pPr>
            <w:r>
              <w:rPr>
                <w:b w:val="false"/>
                <w:bCs w:val="false"/>
                <w:color w:val="202124"/>
                <w:sz w:val="19"/>
                <w:szCs w:val="19"/>
              </w:rPr>
              <w:t xml:space="preserve">Media–alta (Spark, notebooks, MLflow, Unity Catalog)</w:t>
            </w:r>
          </w:p>
        </w:tc>
      </w:tr>
      <w:tr>
        <w:tc>
          <w:tcPr>
            <w:tcW w:type="dxa" w:w="2419"/>
            <w:shd w:fill="FFFFFF" w:color="auto" w:val="clear"/>
            <w:tcMar>
              <w:top w:type="dxa" w:w="100"/>
              <w:left w:type="dxa" w:w="120"/>
              <w:bottom w:type="dxa" w:w="100"/>
              <w:right w:type="dxa" w:w="120"/>
            </w:tcMar>
            <w:vAlign w:val="center"/>
          </w:tcPr>
          <w:p>
            <w:pPr>
              <w:jc w:val="left"/>
            </w:pPr>
            <w:r>
              <w:rPr>
                <w:b w:val="false"/>
                <w:bCs w:val="false"/>
                <w:color w:val="202124"/>
                <w:sz w:val="19"/>
                <w:szCs w:val="19"/>
              </w:rPr>
              <w:t xml:space="preserve">Carga de mantenimiento</w:t>
            </w:r>
          </w:p>
        </w:tc>
        <w:tc>
          <w:tcPr>
            <w:tcW w:type="dxa" w:w="3830"/>
            <w:shd w:fill="FFFFFF" w:color="auto" w:val="clear"/>
            <w:tcMar>
              <w:top w:type="dxa" w:w="100"/>
              <w:left w:type="dxa" w:w="120"/>
              <w:bottom w:type="dxa" w:w="100"/>
              <w:right w:type="dxa" w:w="120"/>
            </w:tcMar>
            <w:vAlign w:val="center"/>
          </w:tcPr>
          <w:p>
            <w:pPr>
              <w:jc w:val="left"/>
            </w:pPr>
            <w:r>
              <w:rPr>
                <w:b w:val="false"/>
                <w:bCs w:val="false"/>
                <w:color w:val="202124"/>
                <w:sz w:val="19"/>
                <w:szCs w:val="19"/>
              </w:rPr>
              <w:t xml:space="preserve">Prácticamente nula (sin parches de runtime, sin sizing)</w:t>
            </w:r>
          </w:p>
        </w:tc>
        <w:tc>
          <w:tcPr>
            <w:tcW w:type="dxa" w:w="3830"/>
            <w:shd w:fill="FFFFFF" w:color="auto" w:val="clear"/>
            <w:tcMar>
              <w:top w:type="dxa" w:w="100"/>
              <w:left w:type="dxa" w:w="120"/>
              <w:bottom w:type="dxa" w:w="100"/>
              <w:right w:type="dxa" w:w="120"/>
            </w:tcMar>
            <w:vAlign w:val="center"/>
          </w:tcPr>
          <w:p>
            <w:pPr>
              <w:jc w:val="left"/>
            </w:pPr>
            <w:r>
              <w:rPr>
                <w:b w:val="false"/>
                <w:bCs w:val="false"/>
                <w:color w:val="202124"/>
                <w:sz w:val="19"/>
                <w:szCs w:val="19"/>
              </w:rPr>
              <w:t xml:space="preserve">Continua: versiones de Databricks Runtime, políticas de clúster, costes de idle</w:t>
            </w:r>
          </w:p>
        </w:tc>
      </w:tr>
      <w:tr>
        <w:tc>
          <w:tcPr>
            <w:tcW w:type="dxa" w:w="2419"/>
            <w:shd w:fill="F1F3F4" w:color="auto" w:val="clear"/>
            <w:tcMar>
              <w:top w:type="dxa" w:w="100"/>
              <w:left w:type="dxa" w:w="120"/>
              <w:bottom w:type="dxa" w:w="100"/>
              <w:right w:type="dxa" w:w="120"/>
            </w:tcMar>
            <w:vAlign w:val="center"/>
          </w:tcPr>
          <w:p>
            <w:pPr>
              <w:jc w:val="left"/>
            </w:pPr>
            <w:r>
              <w:rPr>
                <w:b w:val="false"/>
                <w:bCs w:val="false"/>
                <w:color w:val="202124"/>
                <w:sz w:val="19"/>
                <w:szCs w:val="19"/>
              </w:rPr>
              <w:t xml:space="preserve">Onboarding de nuevos ingenieros</w:t>
            </w:r>
          </w:p>
        </w:tc>
        <w:tc>
          <w:tcPr>
            <w:tcW w:type="dxa" w:w="3830"/>
            <w:shd w:fill="F1F3F4" w:color="auto" w:val="clear"/>
            <w:tcMar>
              <w:top w:type="dxa" w:w="100"/>
              <w:left w:type="dxa" w:w="120"/>
              <w:bottom w:type="dxa" w:w="100"/>
              <w:right w:type="dxa" w:w="120"/>
            </w:tcMar>
            <w:vAlign w:val="center"/>
          </w:tcPr>
          <w:p>
            <w:pPr>
              <w:jc w:val="left"/>
            </w:pPr>
            <w:r>
              <w:rPr>
                <w:b w:val="false"/>
                <w:bCs w:val="false"/>
                <w:color w:val="202124"/>
                <w:sz w:val="19"/>
                <w:szCs w:val="19"/>
              </w:rPr>
              <w:t xml:space="preserve">Rápido: SQL + BigQuery ML cubre la mayoría de casos</w:t>
            </w:r>
          </w:p>
        </w:tc>
        <w:tc>
          <w:tcPr>
            <w:tcW w:type="dxa" w:w="3830"/>
            <w:shd w:fill="F1F3F4" w:color="auto" w:val="clear"/>
            <w:tcMar>
              <w:top w:type="dxa" w:w="100"/>
              <w:left w:type="dxa" w:w="120"/>
              <w:bottom w:type="dxa" w:w="100"/>
              <w:right w:type="dxa" w:w="120"/>
            </w:tcMar>
            <w:vAlign w:val="center"/>
          </w:tcPr>
          <w:p>
            <w:pPr>
              <w:jc w:val="left"/>
            </w:pPr>
            <w:r>
              <w:rPr>
                <w:b w:val="false"/>
                <w:bCs w:val="false"/>
                <w:color w:val="202124"/>
                <w:sz w:val="19"/>
                <w:szCs w:val="19"/>
              </w:rPr>
              <w:t xml:space="preserve">Más lento: exige dominar Spark y el ecosistema de notebooks/jobs</w:t>
            </w:r>
          </w:p>
        </w:tc>
      </w:tr>
    </w:tbl>
    <w:p>
      <w:pPr>
        <w:spacing w:after="160" w:line="288"/>
      </w:pPr>
      <w:r>
        <w:rPr>
          <w:color w:val="202124"/>
          <w:sz w:val="21"/>
          <w:szCs w:val="21"/>
        </w:rPr>
        <w:t xml:space="preserve">Este diferencial de operabilidad se traduce en un coste de personal indirecto: cada hora dedicada por el equipo de plataforma a mantener sano un entorno Databricks es una hora que no se dedica a producto de datos. En BigQuery esa carga la absorbe Google como parte del servicio gestionado.</w:t>
      </w:r>
    </w:p>
    <w:p>
      <w:pPr>
        <w:pStyle w:val="Heading1"/>
        <w:pBdr>
          <w:bottom w:val="single" w:color="1A73E8" w:sz="12" w:space="4"/>
        </w:pBdr>
        <w:spacing w:after="200" w:before="400"/>
      </w:pPr>
      <w:r>
        <w:rPr>
          <w:b/>
          <w:bCs/>
          <w:color w:val="0B3D6E"/>
          <w:sz w:val="30"/>
          <w:szCs w:val="30"/>
        </w:rPr>
        <w:t xml:space="preserve">9. Debilidades técnicas específicas de Databricks</w:t>
      </w:r>
    </w:p>
    <w:p>
      <w:pPr>
        <w:pStyle w:val="Heading2"/>
        <w:spacing w:after="140" w:before="300"/>
      </w:pPr>
      <w:r>
        <w:rPr>
          <w:b/>
          <w:bCs/>
          <w:color w:val="0B3D6E"/>
          <w:sz w:val="24"/>
          <w:szCs w:val="24"/>
        </w:rPr>
        <w:t xml:space="preserve">9.1 Complejidad y opacidad del modelo de facturación por DBU</w:t>
      </w:r>
    </w:p>
    <w:p>
      <w:pPr>
        <w:spacing w:after="160" w:line="288"/>
      </w:pPr>
      <w:r>
        <w:rPr>
          <w:color w:val="202124"/>
          <w:sz w:val="21"/>
          <w:szCs w:val="21"/>
        </w:rPr>
        <w:t xml:space="preserve">El coste real de un job en Databricks depende de tres variables multiplicadas entre sí: el tipo de instancia cloud subyacente, el número de nodos y el multiplicador de DBU del tipo de clúster (Jobs, All-Purpose, SQL, Serverless). Esta combinación hace que estimar el coste de una nueva carga de trabajo antes de ejecutarla sea sustancialmente más difícil que en BigQuery, donde el coste on-demand se puede estimar con un dry-run que devuelve los bytes exactos que se van a escanear.</w:t>
      </w:r>
    </w:p>
    <w:p>
      <w:pPr>
        <w:pStyle w:val="Heading2"/>
        <w:spacing w:after="140" w:before="300"/>
      </w:pPr>
      <w:r>
        <w:rPr>
          <w:b/>
          <w:bCs/>
          <w:color w:val="0B3D6E"/>
          <w:sz w:val="24"/>
          <w:szCs w:val="24"/>
        </w:rPr>
        <w:t xml:space="preserve">9.2 Gestión operativa de clústeres y Spark</w:t>
      </w:r>
    </w:p>
    <w:p>
      <w:pPr>
        <w:pStyle w:val="ListParagraph"/>
        <w:numPr>
          <w:ilvl w:val="0"/>
          <w:numId w:val="2"/>
        </w:numPr>
        <w:spacing w:after="90" w:line="276"/>
      </w:pPr>
      <w:r>
        <w:rPr>
          <w:color w:val="202124"/>
          <w:sz w:val="21"/>
          <w:szCs w:val="21"/>
        </w:rPr>
        <w:t xml:space="preserve">El equipo debe definir y revisar periódicamente políticas de cluster (tamaño mínimo/máximo, tipo de instancia, spot vs on-demand) para evitar sobrecoste por sobreaprovisionamiento.</w:t>
      </w:r>
    </w:p>
    <w:p>
      <w:pPr>
        <w:pStyle w:val="ListParagraph"/>
        <w:numPr>
          <w:ilvl w:val="0"/>
          <w:numId w:val="2"/>
        </w:numPr>
        <w:spacing w:after="90" w:line="276"/>
      </w:pPr>
      <w:r>
        <w:rPr>
          <w:color w:val="202124"/>
          <w:sz w:val="21"/>
          <w:szCs w:val="21"/>
        </w:rPr>
        <w:t xml:space="preserve">El autoscaling de Spark reacciona con latencia de minutos, no de segundos, lo que penaliza cargas con picos muy puntuales.</w:t>
      </w:r>
    </w:p>
    <w:p>
      <w:pPr>
        <w:pStyle w:val="ListParagraph"/>
        <w:numPr>
          <w:ilvl w:val="0"/>
          <w:numId w:val="2"/>
        </w:numPr>
        <w:spacing w:after="90" w:line="276"/>
      </w:pPr>
      <w:r>
        <w:rPr>
          <w:color w:val="202124"/>
          <w:sz w:val="21"/>
          <w:szCs w:val="21"/>
        </w:rPr>
        <w:t xml:space="preserve">El tuning de Photon y de la configuración de shuffle de Spark sigue exigiendo conocimiento especializado para cargas complejas, algo que no tiene equivalente manual en BigQuery.</w:t>
      </w:r>
    </w:p>
    <w:p>
      <w:pPr>
        <w:pStyle w:val="Heading2"/>
        <w:spacing w:after="140" w:before="300"/>
      </w:pPr>
      <w:r>
        <w:rPr>
          <w:b/>
          <w:bCs/>
          <w:color w:val="0B3D6E"/>
          <w:sz w:val="24"/>
          <w:szCs w:val="24"/>
        </w:rPr>
        <w:t xml:space="preserve">9.3 Mantenimiento manual de Delta Lake</w:t>
      </w:r>
    </w:p>
    <w:p>
      <w:pPr>
        <w:pStyle w:val="ListParagraph"/>
        <w:numPr>
          <w:ilvl w:val="0"/>
          <w:numId w:val="2"/>
        </w:numPr>
        <w:spacing w:after="90" w:line="276"/>
      </w:pPr>
      <w:r>
        <w:rPr>
          <w:color w:val="202124"/>
          <w:sz w:val="21"/>
          <w:szCs w:val="21"/>
        </w:rPr>
        <w:t xml:space="preserve">El problema de "small files" es estructural en Delta Lake bajo cargas de streaming o de muchos micro-batches, y requiere jobs periódicos de OPTIMIZE y VACUUM.</w:t>
      </w:r>
    </w:p>
    <w:p>
      <w:pPr>
        <w:pStyle w:val="ListParagraph"/>
        <w:numPr>
          <w:ilvl w:val="0"/>
          <w:numId w:val="2"/>
        </w:numPr>
        <w:spacing w:after="90" w:line="276"/>
      </w:pPr>
      <w:r>
        <w:rPr>
          <w:color w:val="202124"/>
          <w:sz w:val="21"/>
          <w:szCs w:val="21"/>
        </w:rPr>
        <w:t xml:space="preserve">Sin ese mantenimiento activo, el rendimiento de lectura se degrada progresivamente sin que el sistema lo corrija de forma autónoma, a diferencia de la compactación automática de BigQuery.</w:t>
      </w:r>
    </w:p>
    <w:p>
      <w:pPr>
        <w:pStyle w:val="Heading2"/>
        <w:spacing w:after="140" w:before="300"/>
      </w:pPr>
      <w:r>
        <w:rPr>
          <w:b/>
          <w:bCs/>
          <w:color w:val="0B3D6E"/>
          <w:sz w:val="24"/>
          <w:szCs w:val="24"/>
        </w:rPr>
        <w:t xml:space="preserve">9.4 Gobierno fragmentado durante la migración a Unity Catalog</w:t>
      </w:r>
    </w:p>
    <w:p>
      <w:pPr>
        <w:spacing w:after="160" w:line="288"/>
      </w:pPr>
      <w:r>
        <w:rPr>
          <w:color w:val="202124"/>
          <w:sz w:val="21"/>
          <w:szCs w:val="21"/>
        </w:rPr>
        <w:t xml:space="preserve">Muchas organizaciones que adoptaron Databricks antes de 2021 operan todavía workspaces con metastores de Hive heredados conviviendo con Unity Catalog, lo que implica un proyecto de migración de gobierno adicional (no incluido en el coste de licencia) antes de poder aplicar una política de seguridad y linaje verdaderamente unificada.</w:t>
      </w:r>
    </w:p>
    <w:p>
      <w:pPr>
        <w:pStyle w:val="Heading2"/>
        <w:spacing w:after="140" w:before="300"/>
      </w:pPr>
      <w:r>
        <w:rPr>
          <w:b/>
          <w:bCs/>
          <w:color w:val="0B3D6E"/>
          <w:sz w:val="24"/>
          <w:szCs w:val="24"/>
        </w:rPr>
        <w:t xml:space="preserve">9.5 Coste y complejidad en escenarios no multi-cloud</w:t>
      </w:r>
    </w:p>
    <w:p>
      <w:pPr>
        <w:spacing w:after="160" w:line="288"/>
      </w:pPr>
      <w:r>
        <w:rPr>
          <w:color w:val="202124"/>
          <w:sz w:val="21"/>
          <w:szCs w:val="21"/>
        </w:rPr>
        <w:t xml:space="preserve">La neutralidad de nube de Databricks es un activo solo si la organización realmente opera en varias nubes de forma estratégica. Para una organización con centro de gravedad en GCP, esa neutralidad se traduce en una capa de abstracción adicional, un segundo modelo de identidad y un segundo plano de facturación que hay que conciliar, sin aportar un beneficio proporcional.</w:t>
      </w:r>
    </w:p>
    <w:p>
      <w:pPr>
        <w:pStyle w:val="Heading2"/>
        <w:spacing w:after="140" w:before="300"/>
      </w:pPr>
      <w:r>
        <w:rPr>
          <w:b/>
          <w:bCs/>
          <w:color w:val="0B3D6E"/>
          <w:sz w:val="24"/>
          <w:szCs w:val="24"/>
        </w:rPr>
        <w:t xml:space="preserve">9.6 Dependencia de un runtime propietario dentro de un discurso "open"</w:t>
      </w:r>
    </w:p>
    <w:p>
      <w:pPr>
        <w:spacing w:after="160" w:line="288"/>
      </w:pPr>
      <w:r>
        <w:rPr>
          <w:color w:val="202124"/>
          <w:sz w:val="21"/>
          <w:szCs w:val="21"/>
        </w:rPr>
        <w:t xml:space="preserve">Aunque Delta Lake y Spark son proyectos abiertos, el rendimiento competitivo de Databricks depende de Photon, un motor de ejecución propietario no disponible fuera de la plataforma. Esto matiza el argumento de "portabilidad total" que suele usarse a favor del lakehouse: migrar fuera de Databricks manteniendo el mismo rendimiento exige sustituir Photon por otro motor, con el consiguiente esfuerzo de reingeniería.</w:t>
      </w:r>
    </w:p>
    <w:p>
      <w:pPr>
        <w:pStyle w:val="Heading1"/>
        <w:pBdr>
          <w:bottom w:val="single" w:color="1A73E8" w:sz="12" w:space="4"/>
        </w:pBdr>
        <w:spacing w:after="200" w:before="400"/>
      </w:pPr>
      <w:r>
        <w:rPr>
          <w:b/>
          <w:bCs/>
          <w:color w:val="0B3D6E"/>
          <w:sz w:val="30"/>
          <w:szCs w:val="30"/>
        </w:rPr>
        <w:t xml:space="preserve">10. Consideraciones honestas: dónde Databricks sigue siendo competitivo</w:t>
      </w:r>
    </w:p>
    <w:p>
      <w:pPr>
        <w:spacing w:after="160" w:line="288"/>
      </w:pPr>
      <w:r>
        <w:rPr>
          <w:color w:val="202124"/>
          <w:sz w:val="21"/>
          <w:szCs w:val="21"/>
        </w:rPr>
        <w:t xml:space="preserve">Para un informe técnicamente riguroso es necesario reconocer los escenarios donde Databricks tiene ventajas reales, de forma que la decisión de takeout se tome sobre argumentos sólidos y no sobre una comparación sesgada:</w:t>
      </w:r>
    </w:p>
    <w:p>
      <w:pPr>
        <w:pStyle w:val="ListParagraph"/>
        <w:numPr>
          <w:ilvl w:val="0"/>
          <w:numId w:val="2"/>
        </w:numPr>
        <w:spacing w:after="90" w:line="276"/>
      </w:pPr>
      <w:r>
        <w:rPr>
          <w:color w:val="202124"/>
          <w:sz w:val="21"/>
          <w:szCs w:val="21"/>
        </w:rPr>
        <w:t xml:space="preserve">Entrenamiento de modelos de ML complejos con frameworks de Python/PyTorch a gran escala, donde el acceso a GPU y el ecosistema MLflow están más maduros que BigQuery ML.</w:t>
      </w:r>
    </w:p>
    <w:p>
      <w:pPr>
        <w:pStyle w:val="ListParagraph"/>
        <w:numPr>
          <w:ilvl w:val="0"/>
          <w:numId w:val="2"/>
        </w:numPr>
        <w:spacing w:after="90" w:line="276"/>
      </w:pPr>
      <w:r>
        <w:rPr>
          <w:color w:val="202124"/>
          <w:sz w:val="21"/>
          <w:szCs w:val="21"/>
        </w:rPr>
        <w:t xml:space="preserve">Procesamiento de datos semiestructurados o no tabulares muy heterogéneos, donde la flexibilidad de notebooks y Spark facilita transformaciones complejas antes de modelar el dato.</w:t>
      </w:r>
    </w:p>
    <w:p>
      <w:pPr>
        <w:pStyle w:val="ListParagraph"/>
        <w:numPr>
          <w:ilvl w:val="0"/>
          <w:numId w:val="2"/>
        </w:numPr>
        <w:spacing w:after="90" w:line="276"/>
      </w:pPr>
      <w:r>
        <w:rPr>
          <w:color w:val="202124"/>
          <w:sz w:val="21"/>
          <w:szCs w:val="21"/>
        </w:rPr>
        <w:t xml:space="preserve">Equipos de ingeniería con fuerte cultura Spark/Python que ya han amortizado la curva de aprendizaje y para quienes el coste de cambio de paradigma (a SQL declarativo) sería alto a corto plazo.</w:t>
      </w:r>
    </w:p>
    <w:p>
      <w:pPr>
        <w:spacing w:after="160" w:line="288"/>
      </w:pPr>
      <w:r>
        <w:rPr>
          <w:color w:val="202124"/>
          <w:sz w:val="21"/>
          <w:szCs w:val="21"/>
        </w:rPr>
        <w:t xml:space="preserve">Ninguno de estos escenarios es el núcleo de la carga de trabajo analítica de Adevinta (BI, reporting, activación de datos, scoring batch), lo que refuerza que el takeout debe centrarse en esas cargas dominantes, dejando abierta —si existiera necesidad real— una plataforma de ML especializada más pequeña y acotada.</w:t>
      </w:r>
    </w:p>
    <w:p>
      <w:pPr>
        <w:pStyle w:val="Heading1"/>
        <w:pBdr>
          <w:bottom w:val="single" w:color="1A73E8" w:sz="12" w:space="4"/>
        </w:pBdr>
        <w:spacing w:after="200" w:before="400"/>
      </w:pPr>
      <w:r>
        <w:rPr>
          <w:b/>
          <w:bCs/>
          <w:color w:val="0B3D6E"/>
          <w:sz w:val="30"/>
          <w:szCs w:val="30"/>
        </w:rPr>
        <w:t xml:space="preserve">11. Plan de takeout propuesto</w:t>
      </w:r>
    </w:p>
    <w:p>
      <w:pPr>
        <w:pStyle w:val="Heading2"/>
        <w:spacing w:after="140" w:before="300"/>
      </w:pPr>
      <w:r>
        <w:rPr>
          <w:b/>
          <w:bCs/>
          <w:color w:val="0B3D6E"/>
          <w:sz w:val="24"/>
          <w:szCs w:val="24"/>
        </w:rPr>
        <w:t xml:space="preserve">Fase 1 (0–4 meses): Inventario y quick wins</w:t>
      </w:r>
    </w:p>
    <w:p>
      <w:pPr>
        <w:pStyle w:val="ListParagraph"/>
        <w:numPr>
          <w:ilvl w:val="0"/>
          <w:numId w:val="2"/>
        </w:numPr>
        <w:spacing w:after="90" w:line="276"/>
      </w:pPr>
      <w:r>
        <w:rPr>
          <w:color w:val="202124"/>
          <w:sz w:val="21"/>
          <w:szCs w:val="21"/>
        </w:rPr>
        <w:t xml:space="preserve">Inventario de jobs, notebooks y dashboards activos en Databricks, clasificados por criticidad y por tipo de carga (BI, ETL, ML).</w:t>
      </w:r>
    </w:p>
    <w:p>
      <w:pPr>
        <w:pStyle w:val="ListParagraph"/>
        <w:numPr>
          <w:ilvl w:val="0"/>
          <w:numId w:val="2"/>
        </w:numPr>
        <w:spacing w:after="90" w:line="276"/>
      </w:pPr>
      <w:r>
        <w:rPr>
          <w:color w:val="202124"/>
          <w:sz w:val="21"/>
          <w:szCs w:val="21"/>
        </w:rPr>
        <w:t xml:space="preserve">Migración inmediata de las cargas de BI/reporting con patrón de consulta intermitente, donde el ahorro de TCO es más evidente y el riesgo técnico es menor.</w:t>
      </w:r>
    </w:p>
    <w:p>
      <w:pPr>
        <w:pStyle w:val="Heading2"/>
        <w:spacing w:after="140" w:before="300"/>
      </w:pPr>
      <w:r>
        <w:rPr>
          <w:b/>
          <w:bCs/>
          <w:color w:val="0B3D6E"/>
          <w:sz w:val="24"/>
          <w:szCs w:val="24"/>
        </w:rPr>
        <w:t xml:space="preserve">Fase 2 (4–12 meses): Migración de pipelines batch</w:t>
      </w:r>
    </w:p>
    <w:p>
      <w:pPr>
        <w:pStyle w:val="ListParagraph"/>
        <w:numPr>
          <w:ilvl w:val="0"/>
          <w:numId w:val="2"/>
        </w:numPr>
        <w:spacing w:after="90" w:line="276"/>
      </w:pPr>
      <w:r>
        <w:rPr>
          <w:color w:val="202124"/>
          <w:sz w:val="21"/>
          <w:szCs w:val="21"/>
        </w:rPr>
        <w:t xml:space="preserve">Reescritura de pipelines de transformación (dbt/SQL declarativo sobre BigQuery) sustituyendo jobs Spark equivalentes.</w:t>
      </w:r>
    </w:p>
    <w:p>
      <w:pPr>
        <w:pStyle w:val="ListParagraph"/>
        <w:numPr>
          <w:ilvl w:val="0"/>
          <w:numId w:val="2"/>
        </w:numPr>
        <w:spacing w:after="90" w:line="276"/>
      </w:pPr>
      <w:r>
        <w:rPr>
          <w:color w:val="202124"/>
          <w:sz w:val="21"/>
          <w:szCs w:val="21"/>
        </w:rPr>
        <w:t xml:space="preserve">Migración de la gobernanza de datos a IAM/Dataplex, con mapeo explícito de las políticas existentes en Unity Catalog.</w:t>
      </w:r>
    </w:p>
    <w:p>
      <w:pPr>
        <w:pStyle w:val="Heading2"/>
        <w:spacing w:after="140" w:before="300"/>
      </w:pPr>
      <w:r>
        <w:rPr>
          <w:b/>
          <w:bCs/>
          <w:color w:val="0B3D6E"/>
          <w:sz w:val="24"/>
          <w:szCs w:val="24"/>
        </w:rPr>
        <w:t xml:space="preserve">Fase 3 (12–18 meses): Consolidación y decisión sobre ML especializado</w:t>
      </w:r>
    </w:p>
    <w:p>
      <w:pPr>
        <w:pStyle w:val="ListParagraph"/>
        <w:numPr>
          <w:ilvl w:val="0"/>
          <w:numId w:val="2"/>
        </w:numPr>
        <w:spacing w:after="90" w:line="276"/>
      </w:pPr>
      <w:r>
        <w:rPr>
          <w:color w:val="202124"/>
          <w:sz w:val="21"/>
          <w:szCs w:val="21"/>
        </w:rPr>
        <w:t xml:space="preserve">Cierre de workspaces Databricks no críticos y renegociación o cancelación del contrato principal.</w:t>
      </w:r>
    </w:p>
    <w:p>
      <w:pPr>
        <w:pStyle w:val="ListParagraph"/>
        <w:numPr>
          <w:ilvl w:val="0"/>
          <w:numId w:val="2"/>
        </w:numPr>
        <w:spacing w:after="90" w:line="276"/>
      </w:pPr>
      <w:r>
        <w:rPr>
          <w:color w:val="202124"/>
          <w:sz w:val="21"/>
          <w:szCs w:val="21"/>
        </w:rPr>
        <w:t xml:space="preserve">Evaluación caso por caso de si alguna carga de ML pesado justifica mantener un entorno Spark reducido, frente a migrar a Vertex AI/BigQuery ML.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73E8" w:sz="4"/>
              <w:left w:val="single" w:color="1A73E8" w:sz="24"/>
              <w:bottom w:val="single" w:color="1A73E8" w:sz="4"/>
              <w:right w:val="single" w:color="1A73E8" w:sz="4"/>
            </w:tcBorders>
            <w:shd w:fill="E8F0FE" w:color="auto" w:val="clear"/>
            <w:tcMar>
              <w:top w:type="dxa" w:w="160"/>
              <w:left w:type="dxa" w:w="200"/>
              <w:bottom w:type="dxa" w:w="160"/>
              <w:right w:type="dxa" w:w="200"/>
            </w:tcMar>
          </w:tcPr>
          <w:p>
            <w:pPr>
              <w:spacing w:after="80"/>
            </w:pPr>
            <w:r>
              <w:rPr>
                <w:b/>
                <w:bCs/>
                <w:color w:val="1A73E8"/>
                <w:sz w:val="21"/>
                <w:szCs w:val="21"/>
              </w:rPr>
              <w:t xml:space="preserve">Gestión del riesgo</w:t>
            </w:r>
          </w:p>
          <w:p>
            <w:pPr>
              <w:spacing w:after="0" w:line="276"/>
            </w:pPr>
            <w:r>
              <w:rPr>
                <w:color w:val="202124"/>
                <w:sz w:val="20"/>
                <w:szCs w:val="20"/>
              </w:rPr>
              <w:t xml:space="preserve">El principal riesgo de un takeout de esta naturaleza no es técnico sino de dependencia de conocimiento: los equipos que hoy dominan Spark/Databricks deben involucrarse desde la Fase 1 en el diseño de los pipelines equivalentes en BigQuery, para evitar que la migración se perciba como una pérdida de capacidad en lugar de una simplificación.</w:t>
            </w:r>
          </w:p>
        </w:tc>
      </w:tr>
    </w:tbl>
    <w:p>
      <w:pPr>
        <w:pStyle w:val="Heading1"/>
        <w:pBdr>
          <w:bottom w:val="single" w:color="1A73E8" w:sz="12" w:space="4"/>
        </w:pBdr>
        <w:spacing w:after="200" w:before="400"/>
      </w:pPr>
      <w:r>
        <w:rPr>
          <w:b/>
          <w:bCs/>
          <w:color w:val="0B3D6E"/>
          <w:sz w:val="30"/>
          <w:szCs w:val="30"/>
        </w:rPr>
        <w:t xml:space="preserve">12. Conclusión</w:t>
      </w:r>
    </w:p>
    <w:p>
      <w:pPr>
        <w:spacing w:after="160" w:line="288"/>
      </w:pPr>
      <w:r>
        <w:rPr>
          <w:color w:val="202124"/>
          <w:sz w:val="21"/>
          <w:szCs w:val="21"/>
        </w:rPr>
        <w:t xml:space="preserve">Para el perfil de cargas dominante en Adevinta —BI multi-país, reporting financiero, activación de datos y ML aplicado sobre datos ya modelados— BigQuery ofrece una combinación de menor TCO, menor carga operativa, gobernanza más simple y mejor integración con el resto del stack de Google Cloud. Las debilidades de Databricks documentadas en este informe —opacidad del modelo de DBU, mantenimiento manual de Delta Lake, gobernanza en transición hacia Unity Catalog y sobrecoste de una neutralidad multi-cloud no aprovechada— son estructurales al modelo de la plataforma, no defectos coyunturales que vayan a resolverse con la siguiente versión.</w:t>
      </w:r>
    </w:p>
    <w:p>
      <w:pPr>
        <w:spacing w:after="160" w:line="288"/>
      </w:pPr>
      <w:r>
        <w:rPr>
          <w:color w:val="202124"/>
          <w:sz w:val="21"/>
          <w:szCs w:val="21"/>
        </w:rPr>
        <w:t xml:space="preserve">Se recomienda aprobar el inicio de la Fase 1 del plan de takeout y constituir un equipo mixto de plataforma y FinOps que cuantifique, sobre el consumo real de los últimos 12 meses en Databricks, el ahorro proyectado en BigQuery antes de comprometer el calendario completo de migración.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368"/>
        <w:sz w:val="15"/>
        <w:szCs w:val="15"/>
      </w:rPr>
      <w:t xml:space="preserve">Página </w:t>
    </w:r>
    <w:r>
      <w:rPr>
        <w:color w:val="5F6368"/>
        <w:sz w:val="15"/>
        <w:szCs w:val="15"/>
      </w:rPr>
      <w:fldChar w:fldCharType="begin"/>
      <w:instrText xml:space="preserve">PAGE</w:instrText>
      <w:fldChar w:fldCharType="separate"/>
      <w:fldChar w:fldCharType="end"/>
    </w:r>
    <w:r>
      <w:rPr>
        <w:color w:val="5F6368"/>
        <w:sz w:val="15"/>
        <w:szCs w:val="15"/>
      </w:rPr>
      <w:t xml:space="preserve"> de </w:t>
    </w:r>
    <w:r>
      <w:rPr>
        <w:color w:val="5F636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F6368"/>
        <w:sz w:val="15"/>
        <w:szCs w:val="15"/>
      </w:rPr>
      <w:t xml:space="preserve">Confidencial — Uso interno Adevinta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2026-07-17T12:44:28.570Z</dcterms:created>
  <dcterms:modified xsi:type="dcterms:W3CDTF">2026-07-17T12:44:28.584Z</dcterms:modified>
</cp:coreProperties>
</file>

<file path=docProps/custom.xml><?xml version="1.0" encoding="utf-8"?>
<Properties xmlns="http://schemas.openxmlformats.org/officeDocument/2006/custom-properties" xmlns:vt="http://schemas.openxmlformats.org/officeDocument/2006/docPropsVTypes"/>
</file>