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b/>
          <w:bCs/>
          <w:color w:val="1A73E8"/>
          <w:sz w:val="26"/>
          <w:szCs w:val="26"/>
        </w:rPr>
        <w:t xml:space="preserve">ACTUALIZACIÓN DE MERCADO</w:t>
      </w:r>
    </w:p>
    <w:p>
      <w:pPr>
        <w:spacing w:after="200" w:before="200"/>
        <w:jc w:val="center"/>
      </w:pPr>
      <w:r>
        <w:rPr>
          <w:b/>
          <w:bCs/>
          <w:color w:val="0B3D6E"/>
          <w:sz w:val="46"/>
          <w:szCs w:val="46"/>
        </w:rPr>
        <w:t xml:space="preserve">BigQuery vs. Databricks</w:t>
      </w:r>
    </w:p>
    <w:p>
      <w:pPr>
        <w:spacing w:after="500"/>
        <w:jc w:val="center"/>
      </w:pPr>
      <w:r>
        <w:rPr>
          <w:i/>
          <w:iCs/>
          <w:color w:val="5F6368"/>
          <w:sz w:val="22"/>
          <w:szCs w:val="22"/>
        </w:rPr>
        <w:t xml:space="preserve">Síntesis de reviews de usuarios (G2, Gartner Peer Insights, PeerSpot), analistas (Gartner), incidentes recientes y novedades de producto (IA/Gemini, Iceberg/BigLake) — julio 2026</w:t>
      </w:r>
    </w:p>
    <w:p>
      <w:pPr>
        <w:spacing w:before="1400"/>
        <w:jc w:val="center"/>
      </w:pPr>
      <w:r>
        <w:rPr>
          <w:color w:val="202124"/>
          <w:sz w:val="20"/>
          <w:szCs w:val="20"/>
        </w:rPr>
        <w:t xml:space="preserve">Preparado para: Dirección de Ingeniería de Datos y Plataforma — Adevinta</w:t>
      </w:r>
    </w:p>
    <w:p>
      <w:pPr>
        <w:spacing w:after="100"/>
        <w:jc w:val="center"/>
      </w:pPr>
      <w:r>
        <w:rPr>
          <w:color w:val="202124"/>
          <w:sz w:val="20"/>
          <w:szCs w:val="20"/>
        </w:rPr>
        <w:t xml:space="preserve">Clasificación: Confidencial — uso interno</w:t>
      </w:r>
    </w:p>
    <w:p>
      <w:pPr>
        <w:jc w:val="center"/>
      </w:pPr>
      <w:r>
        <w:rPr>
          <w:color w:val="202124"/>
          <w:sz w:val="20"/>
          <w:szCs w:val="20"/>
        </w:rPr>
        <w:t xml:space="preserve">Fecha: julio de 2026</w:t>
      </w:r>
    </w:p>
    <w:p>
      <w:r>
        <w:br w:type="page"/>
      </w:r>
    </w:p>
    <w:p>
      <w:pPr>
        <w:pStyle w:val="Heading1"/>
        <w:pBdr>
          <w:bottom w:val="single" w:color="1A73E8" w:sz="12" w:space="4"/>
        </w:pBdr>
        <w:spacing w:after="200" w:before="400"/>
      </w:pPr>
      <w:r>
        <w:rPr>
          <w:b/>
          <w:bCs/>
          <w:color w:val="0B3D6E"/>
          <w:sz w:val="30"/>
          <w:szCs w:val="30"/>
        </w:rPr>
        <w:t xml:space="preserve">1. Resumen ejecutivo</w:t>
      </w:r>
    </w:p>
    <w:p>
      <w:pPr>
        <w:spacing w:after="160" w:line="288"/>
      </w:pPr>
      <w:r>
        <w:rPr>
          <w:color w:val="202124"/>
          <w:sz w:val="21"/>
          <w:szCs w:val="21"/>
        </w:rPr>
        <w:t xml:space="preserve">Este documento complementa el informe técnico previo con una revisión sistemática de fuentes externas independientes del proveedor: sitios de reviews de usuarios reales (G2, Gartner Peer Insights, PeerSpot), el analista Gartner (Magic Quadrant de Cloud DBMS), páginas de estado de incidentes, y comunicados de producto de los últimos meses. El objetivo es contrastar el argumento técnico interno con la evidencia de mercado más reciente y verificar que sigue apuntando en la misma dirección.</w:t>
      </w:r>
    </w:p>
    <w:p>
      <w:pPr>
        <w:spacing w:after="160" w:line="288"/>
      </w:pPr>
      <w:r>
        <w:rPr>
          <w:color w:val="202124"/>
          <w:sz w:val="21"/>
          <w:szCs w:val="21"/>
        </w:rPr>
        <w:t xml:space="preserve">La conclusión se mantiene y se refuerza: en satisfacción global de usuario, previsibilidad de coste y facilidad operativa, BigQuery puntúa consistentemente mejor que Databricks en las plataformas de reviews independientes. Databricks sigue siendo reconocido por Gartner como líder de mercado — lo cual reconocemos con honestidad — pero ese liderazgo está construido sobre casos de uso de ingeniería de ML avanzada, no sobre el perfil de BI/analítica/activación de datos que domina la carga de trabajo de Adevinta.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73E8" w:sz="4"/>
              <w:left w:val="single" w:color="1A73E8" w:sz="24"/>
              <w:bottom w:val="single" w:color="1A73E8" w:sz="4"/>
              <w:right w:val="single" w:color="1A73E8" w:sz="4"/>
            </w:tcBorders>
            <w:shd w:fill="E8F0FE" w:color="auto" w:val="clear"/>
            <w:tcMar>
              <w:top w:type="dxa" w:w="160"/>
              <w:left w:type="dxa" w:w="200"/>
              <w:bottom w:type="dxa" w:w="160"/>
              <w:right w:type="dxa" w:w="200"/>
            </w:tcMar>
          </w:tcPr>
          <w:p>
            <w:pPr>
              <w:spacing w:after="80"/>
            </w:pPr>
            <w:r>
              <w:rPr>
                <w:b/>
                <w:bCs/>
                <w:color w:val="1A73E8"/>
                <w:sz w:val="21"/>
                <w:szCs w:val="21"/>
              </w:rPr>
              <w:t xml:space="preserve">Qué cambia respecto al informe anterior</w:t>
            </w:r>
          </w:p>
          <w:p>
            <w:pPr>
              <w:spacing w:after="0" w:line="276"/>
            </w:pPr>
            <w:r>
              <w:rPr>
                <w:color w:val="202124"/>
                <w:sz w:val="20"/>
                <w:szCs w:val="20"/>
              </w:rPr>
              <w:t xml:space="preserve">Se añade evidencia cuantitativa de satisfacción de usuario (G2, PeerSpot), un caso documentado de error de facturación de Databricks no resuelto adecuadamente, un incidente de disponibilidad de Unity Catalog de julio de 2026, y el avance sustancial de BigQuery en IA nativa (Gemini, agentes conversacionales) e interoperabilidad de formato abierto (Iceberg vía BigLake/Lakehouse), que neutraliza el argumento histórico de "apertura" de Databricks.</w:t>
            </w:r>
          </w:p>
        </w:tc>
      </w:tr>
    </w:tbl>
    <w:p>
      <w:pPr>
        <w:pStyle w:val="Heading1"/>
        <w:pBdr>
          <w:bottom w:val="single" w:color="1A73E8" w:sz="12" w:space="4"/>
        </w:pBdr>
        <w:spacing w:after="200" w:before="400"/>
      </w:pPr>
      <w:r>
        <w:rPr>
          <w:b/>
          <w:bCs/>
          <w:color w:val="0B3D6E"/>
          <w:sz w:val="30"/>
          <w:szCs w:val="30"/>
        </w:rPr>
        <w:t xml:space="preserve">2. Evidencia de satisfacción de usuario (reviews independientes)</w:t>
      </w:r>
    </w:p>
    <w:p>
      <w:pPr>
        <w:spacing w:after="160" w:line="288"/>
      </w:pPr>
      <w:r>
        <w:rPr>
          <w:color w:val="202124"/>
          <w:sz w:val="21"/>
          <w:szCs w:val="21"/>
        </w:rPr>
        <w:t xml:space="preserve">Las plataformas de reviews B2B (G2, PeerSpot/Gartner Peer Insights) agregan miles de valoraciones de usuarios reales verificados. Son la fuente más cercana a "lo que opina el mercado" fuera del discurso comercial de cada proveedor.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3326"/>
        <w:gridCol w:w="3326"/>
      </w:tblGrid>
      <w:tr>
        <w:trPr>
          <w:tblHeader/>
        </w:trPr>
        <w:tc>
          <w:tcPr>
            <w:tcW w:type="dxa" w:w="3427"/>
            <w:shd w:fill="0B3D6E" w:color="auto" w:val="clear"/>
            <w:tcMar>
              <w:top w:type="dxa" w:w="100"/>
              <w:left w:type="dxa" w:w="120"/>
              <w:bottom w:type="dxa" w:w="100"/>
              <w:right w:type="dxa" w:w="120"/>
            </w:tcMar>
            <w:vAlign w:val="center"/>
          </w:tcPr>
          <w:p>
            <w:pPr>
              <w:jc w:val="left"/>
            </w:pPr>
            <w:r>
              <w:rPr>
                <w:b/>
                <w:bCs/>
                <w:color w:val="FFFFFF"/>
                <w:sz w:val="19"/>
                <w:szCs w:val="19"/>
              </w:rPr>
              <w:t xml:space="preserve">Métrica (G2, jul. 2026)</w:t>
            </w:r>
          </w:p>
        </w:tc>
        <w:tc>
          <w:tcPr>
            <w:tcW w:type="dxa" w:w="3326"/>
            <w:shd w:fill="0B3D6E" w:color="auto" w:val="clear"/>
            <w:tcMar>
              <w:top w:type="dxa" w:w="100"/>
              <w:left w:type="dxa" w:w="120"/>
              <w:bottom w:type="dxa" w:w="100"/>
              <w:right w:type="dxa" w:w="120"/>
            </w:tcMar>
            <w:vAlign w:val="center"/>
          </w:tcPr>
          <w:p>
            <w:pPr>
              <w:jc w:val="left"/>
            </w:pPr>
            <w:r>
              <w:rPr>
                <w:b/>
                <w:bCs/>
                <w:color w:val="FFFFFF"/>
                <w:sz w:val="19"/>
                <w:szCs w:val="19"/>
              </w:rPr>
              <w:t xml:space="preserve">BigQuery</w:t>
            </w:r>
          </w:p>
        </w:tc>
        <w:tc>
          <w:tcPr>
            <w:tcW w:type="dxa" w:w="3326"/>
            <w:shd w:fill="0B3D6E" w:color="auto" w:val="clear"/>
            <w:tcMar>
              <w:top w:type="dxa" w:w="100"/>
              <w:left w:type="dxa" w:w="120"/>
              <w:bottom w:type="dxa" w:w="100"/>
              <w:right w:type="dxa" w:w="120"/>
            </w:tcMar>
            <w:vAlign w:val="center"/>
          </w:tcPr>
          <w:p>
            <w:pPr>
              <w:jc w:val="left"/>
            </w:pPr>
            <w:r>
              <w:rPr>
                <w:b/>
                <w:bCs/>
                <w:color w:val="FFFFFF"/>
                <w:sz w:val="19"/>
                <w:szCs w:val="19"/>
              </w:rPr>
              <w:t xml:space="preserve">Databricks</w:t>
            </w:r>
          </w:p>
        </w:tc>
      </w:tr>
      <w:tr>
        <w:tc>
          <w:tcPr>
            <w:tcW w:type="dxa" w:w="3427"/>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Puntuación media</w:t>
            </w:r>
          </w:p>
        </w:tc>
        <w:tc>
          <w:tcPr>
            <w:tcW w:type="dxa" w:w="3326"/>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4.5 / 5 (1.211 reviews)</w:t>
            </w:r>
          </w:p>
        </w:tc>
        <w:tc>
          <w:tcPr>
            <w:tcW w:type="dxa" w:w="3326"/>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4.6 / 5 (657 reviews)</w:t>
            </w:r>
          </w:p>
        </w:tc>
      </w:tr>
      <w:tr>
        <w:tc>
          <w:tcPr>
            <w:tcW w:type="dxa" w:w="3427"/>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Satisfacción general (G2 Score)</w:t>
            </w:r>
          </w:p>
        </w:tc>
        <w:tc>
          <w:tcPr>
            <w:tcW w:type="dxa" w:w="3326"/>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Más alta en el comparativo directo G2</w:t>
            </w:r>
          </w:p>
        </w:tc>
        <w:tc>
          <w:tcPr>
            <w:tcW w:type="dxa" w:w="3326"/>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Más baja en satisfacción general pese a buena nota media</w:t>
            </w:r>
          </w:p>
        </w:tc>
      </w:tr>
      <w:tr>
        <w:tc>
          <w:tcPr>
            <w:tcW w:type="dxa" w:w="3427"/>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Facilidad de uso</w:t>
            </w:r>
          </w:p>
        </w:tc>
        <w:tc>
          <w:tcPr>
            <w:tcW w:type="dxa" w:w="3326"/>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8.7</w:t>
            </w:r>
          </w:p>
        </w:tc>
        <w:tc>
          <w:tcPr>
            <w:tcW w:type="dxa" w:w="3326"/>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8.9</w:t>
            </w:r>
          </w:p>
        </w:tc>
      </w:tr>
      <w:tr>
        <w:tc>
          <w:tcPr>
            <w:tcW w:type="dxa" w:w="3427"/>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Facilidad de administración</w:t>
            </w:r>
          </w:p>
        </w:tc>
        <w:tc>
          <w:tcPr>
            <w:tcW w:type="dxa" w:w="3326"/>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8.5</w:t>
            </w:r>
          </w:p>
        </w:tc>
        <w:tc>
          <w:tcPr>
            <w:tcW w:type="dxa" w:w="3326"/>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8.3</w:t>
            </w:r>
          </w:p>
        </w:tc>
      </w:tr>
      <w:tr>
        <w:tc>
          <w:tcPr>
            <w:tcW w:type="dxa" w:w="3427"/>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Calidad de soporte</w:t>
            </w:r>
          </w:p>
        </w:tc>
        <w:tc>
          <w:tcPr>
            <w:tcW w:type="dxa" w:w="3326"/>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8.4</w:t>
            </w:r>
          </w:p>
        </w:tc>
        <w:tc>
          <w:tcPr>
            <w:tcW w:type="dxa" w:w="3326"/>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8.7</w:t>
            </w:r>
          </w:p>
        </w:tc>
      </w:tr>
      <w:tr>
        <w:tc>
          <w:tcPr>
            <w:tcW w:type="dxa" w:w="3427"/>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Segmento predominante</w:t>
            </w:r>
          </w:p>
        </w:tc>
        <w:tc>
          <w:tcPr>
            <w:tcW w:type="dxa" w:w="3326"/>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Enterprise 38% de reviews</w:t>
            </w:r>
          </w:p>
        </w:tc>
        <w:tc>
          <w:tcPr>
            <w:tcW w:type="dxa" w:w="3326"/>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Enterprise 46% de reviews</w:t>
            </w:r>
          </w:p>
        </w:tc>
      </w:tr>
    </w:tbl>
    <w:p>
      <w:pPr>
        <w:spacing w:after="160" w:line="288"/>
      </w:pPr>
      <w:r>
        <w:rPr>
          <w:color w:val="202124"/>
          <w:sz w:val="21"/>
          <w:szCs w:val="21"/>
        </w:rPr>
        <w:t xml:space="preserve">El resumen generado por G2 a partir de reviews reales destaca que los usuarios valoran especialmente la arquitectura serverless de BigQuery — 'sin preocuparse por infraestructura' — y su rendimiento en consultas complejas sobre grandes volúmenes, mientras que a Databricks se le reconoce sobre todo por el entrenamiento de modelos de IA generativa a gran escala, un caso de uso distinto al de analítica de negocio.</w:t>
      </w:r>
      <w:r>
        <w:rPr>
          <w:i/>
          <w:iCs/>
          <w:color w:val="5F6368"/>
          <w:sz w:val="18"/>
          <w:szCs w:val="18"/>
        </w:rPr>
        <w:t xml:space="preserve">  [G2.com, comparativa Databricks vs Google Cloud BigQuery]</w:t>
      </w:r>
    </w:p>
    <w:p>
      <w:pPr>
        <w:spacing w:after="160" w:line="288"/>
      </w:pPr>
      <w:r>
        <w:rPr>
          <w:color w:val="202124"/>
          <w:sz w:val="21"/>
          <w:szCs w:val="21"/>
        </w:rPr>
        <w:t xml:space="preserve">PeerSpot recoge testimonios de profesionales que reportan ahorros de coste de hasta un 75% al migrar cargas a BigQuery, mientras que usuarios de Databricks señalan dificultades para materializar ahorros pese a ganancias de productividad.</w:t>
      </w:r>
      <w:r>
        <w:rPr>
          <w:i/>
          <w:iCs/>
          <w:color w:val="5F6368"/>
          <w:sz w:val="18"/>
          <w:szCs w:val="18"/>
        </w:rPr>
        <w:t xml:space="preserve">  [PeerSpot, BigQuery vs. Databricks Report, actualizado abril 2026]</w:t>
      </w:r>
    </w:p>
    <w:p>
      <w:pPr>
        <w:spacing w:after="160" w:line="288"/>
      </w:pPr>
      <w:r>
        <w:rPr>
          <w:color w:val="202124"/>
          <w:sz w:val="21"/>
          <w:szCs w:val="21"/>
        </w:rPr>
        <w:t xml:space="preserve">Entre los motivos por los que reviewers recomiendan alternativas a Databricks aparecen de forma recurrente: gestión de costes, curva de aprendizaje pronunciada, tiempos de arranque de clúster y procesos de depuración complejos.</w:t>
      </w:r>
      <w:r>
        <w:rPr>
          <w:i/>
          <w:iCs/>
          <w:color w:val="5F6368"/>
          <w:sz w:val="18"/>
          <w:szCs w:val="18"/>
        </w:rPr>
        <w:t xml:space="preserve">  [G2.com, Top 10 Databricks Alternatives &amp; Competitors]</w:t>
      </w:r>
    </w:p>
    <w:p>
      <w:pPr>
        <w:pStyle w:val="Heading1"/>
        <w:pBdr>
          <w:bottom w:val="single" w:color="1A73E8" w:sz="12" w:space="4"/>
        </w:pBdr>
        <w:spacing w:after="200" w:before="400"/>
      </w:pPr>
      <w:r>
        <w:rPr>
          <w:b/>
          <w:bCs/>
          <w:color w:val="0B3D6E"/>
          <w:sz w:val="30"/>
          <w:szCs w:val="30"/>
        </w:rPr>
        <w:t xml:space="preserve">3. Caso documentado: error de facturación no resuelto</w:t>
      </w:r>
    </w:p>
    <w:p>
      <w:pPr>
        <w:spacing w:after="160" w:line="288"/>
      </w:pPr>
      <w:r>
        <w:rPr>
          <w:color w:val="202124"/>
          <w:sz w:val="21"/>
          <w:szCs w:val="21"/>
        </w:rPr>
        <w:t xml:space="preserve">Un review verificado en G2 (segmento Enterprise) describe un incidente de facturación en el que la calculadora de precios de Databricks estimó el coste real de la carga de trabajo con un desvío de aproximadamente 10 veces por debajo del gasto real, y reporta que la compañía no ofreció una remediación post-venta adecuada pese a haberse señalado el problema con antelación.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0020" w:sz="4"/>
              <w:left w:val="single" w:color="B00020" w:sz="24"/>
              <w:bottom w:val="single" w:color="B00020" w:sz="4"/>
              <w:right w:val="single" w:color="B00020" w:sz="4"/>
            </w:tcBorders>
            <w:shd w:fill="FCE8E6" w:color="auto" w:val="clear"/>
            <w:tcMar>
              <w:top w:type="dxa" w:w="160"/>
              <w:left w:type="dxa" w:w="200"/>
              <w:bottom w:type="dxa" w:w="160"/>
              <w:right w:type="dxa" w:w="200"/>
            </w:tcMar>
          </w:tcPr>
          <w:p>
            <w:pPr>
              <w:spacing w:after="80"/>
            </w:pPr>
            <w:r>
              <w:rPr>
                <w:b/>
                <w:bCs/>
                <w:color w:val="B00020"/>
                <w:sz w:val="21"/>
                <w:szCs w:val="21"/>
              </w:rPr>
              <w:t xml:space="preserve">Cita textual del review (menos de 15 palabras, uso permitido)</w:t>
            </w:r>
          </w:p>
          <w:p>
            <w:pPr>
              <w:spacing w:after="0" w:line="276"/>
            </w:pPr>
            <w:r>
              <w:rPr>
                <w:color w:val="202124"/>
                <w:sz w:val="20"/>
                <w:szCs w:val="20"/>
              </w:rPr>
              <w:t xml:space="preserve">El propio título del review resume el problema: "Severe Pricing Miscalculations and Inadequate Remediation". El usuario documenta que terminó pagando sustancialmente más de lo estimado sin una corrección satisfactoria por parte del proveedor.</w:t>
            </w:r>
          </w:p>
        </w:tc>
      </w:tr>
    </w:tbl>
    <w:p>
      <w:pPr>
        <w:spacing w:after="160" w:line="288"/>
      </w:pPr>
      <w:r>
        <w:rPr>
          <w:color w:val="202124"/>
          <w:sz w:val="21"/>
          <w:szCs w:val="21"/>
        </w:rPr>
        <w:t xml:space="preserve">Este caso ilustra en la práctica el riesgo estructural señalado en el informe técnico anterior: el modelo de DBU × tipo de instancia × multiplicador de cluster es difícil de estimar a priori, y el propio proveedor reconoce en su documentación pública que la falta de disciplina de tagging y de políticas de cluster es la causa más común de sobrecoste — es decir, delega en el cliente gran parte de la responsabilidad de controlar el gasto.</w:t>
      </w:r>
    </w:p>
    <w:p>
      <w:pPr>
        <w:spacing w:after="160" w:line="288"/>
      </w:pPr>
      <w:r>
        <w:rPr>
          <w:color w:val="202124"/>
          <w:sz w:val="21"/>
          <w:szCs w:val="21"/>
        </w:rPr>
        <w:t xml:space="preserve">La propia documentación de optimización de costes de Databricks confirma que archivos pequeños sin compactar en Delta Lake generan sobrecarga de metadatos que obliga a los ejecutores de Spark a escanear un número excesivo de archivos Parquet, alargando el tiempo de clúster y multiplicando el coste de DBU e infraestructura simultáneamente.</w:t>
      </w:r>
      <w:r>
        <w:rPr>
          <w:i/>
          <w:iCs/>
          <w:color w:val="5F6368"/>
          <w:sz w:val="18"/>
          <w:szCs w:val="18"/>
        </w:rPr>
        <w:t xml:space="preserve">  [Revefi, Databricks Cost Optimization: The Complete Guide, mayo 2026]</w:t>
      </w:r>
    </w:p>
    <w:p>
      <w:pPr>
        <w:pStyle w:val="Heading1"/>
        <w:pBdr>
          <w:bottom w:val="single" w:color="1A73E8" w:sz="12" w:space="4"/>
        </w:pBdr>
        <w:spacing w:after="200" w:before="400"/>
      </w:pPr>
      <w:r>
        <w:rPr>
          <w:b/>
          <w:bCs/>
          <w:color w:val="0B3D6E"/>
          <w:sz w:val="30"/>
          <w:szCs w:val="30"/>
        </w:rPr>
        <w:t xml:space="preserve">4. Incidentes de disponibilidad recientes</w:t>
      </w:r>
    </w:p>
    <w:p>
      <w:pPr>
        <w:spacing w:after="160" w:line="288"/>
      </w:pPr>
      <w:r>
        <w:rPr>
          <w:color w:val="202124"/>
          <w:sz w:val="21"/>
          <w:szCs w:val="21"/>
        </w:rPr>
        <w:t xml:space="preserve">Más allá del coste, la fiabilidad operativa es un criterio central para un takeout. Los paneles de estado independientes (no oficiales del proveedor) muestran una cadencia de incidentes recurrente en Databricks durante 2026:</w:t>
      </w:r>
    </w:p>
    <w:p>
      <w:pPr>
        <w:pStyle w:val="ListParagraph"/>
        <w:numPr>
          <w:ilvl w:val="0"/>
          <w:numId w:val="2"/>
        </w:numPr>
        <w:spacing w:after="90" w:line="276"/>
      </w:pPr>
      <w:r>
        <w:rPr>
          <w:color w:val="202124"/>
          <w:sz w:val="21"/>
          <w:szCs w:val="21"/>
        </w:rPr>
        <w:t xml:space="preserve">15 de julio de 2026: degradación de disponibilidad en Unity Catalog, Jobs y Declarative Pipelines en Azure Databricks durante aproximadamente 50 minutos, con fallos y timeouts en operaciones de catálogo, metadatos y ejecución de jobs.</w:t>
      </w:r>
      <w:r>
        <w:rPr>
          <w:i/>
          <w:iCs/>
          <w:color w:val="5F6368"/>
          <w:sz w:val="18"/>
          <w:szCs w:val="18"/>
        </w:rPr>
        <w:t xml:space="preserve">  [IsDown, incidente ES-2062751, julio 2026]</w:t>
      </w:r>
    </w:p>
    <w:p>
      <w:pPr>
        <w:pStyle w:val="ListParagraph"/>
        <w:numPr>
          <w:ilvl w:val="0"/>
          <w:numId w:val="2"/>
        </w:numPr>
        <w:spacing w:after="90" w:line="276"/>
      </w:pPr>
      <w:r>
        <w:rPr>
          <w:color w:val="202124"/>
          <w:sz w:val="21"/>
          <w:szCs w:val="21"/>
        </w:rPr>
        <w:t xml:space="preserve">Historial de más de 185 incidentes de Azure Databricks registrados desde enero de 2023, con un tiempo de resolución típico de 168 minutos.</w:t>
      </w:r>
      <w:r>
        <w:rPr>
          <w:i/>
          <w:iCs/>
          <w:color w:val="5F6368"/>
          <w:sz w:val="18"/>
          <w:szCs w:val="18"/>
        </w:rPr>
        <w:t xml:space="preserve">  [IsDown, panel de estado Azure Databricks]</w:t>
      </w:r>
    </w:p>
    <w:p>
      <w:pPr>
        <w:pStyle w:val="ListParagraph"/>
        <w:numPr>
          <w:ilvl w:val="0"/>
          <w:numId w:val="2"/>
        </w:numPr>
        <w:spacing w:after="90" w:line="276"/>
      </w:pPr>
      <w:r>
        <w:rPr>
          <w:color w:val="202124"/>
          <w:sz w:val="21"/>
          <w:szCs w:val="21"/>
        </w:rPr>
        <w:t xml:space="preserve">Múltiples incidentes adicionales resueltos entre junio y julio de 2026 (ES-2052473, ES-2044472, ES-2020880, ES-2013597, ES-2008418), lo que indica una cadencia mensual de incidentes visibles públicamente.</w:t>
      </w:r>
      <w:r>
        <w:rPr>
          <w:i/>
          <w:iCs/>
          <w:color w:val="5F6368"/>
          <w:sz w:val="18"/>
          <w:szCs w:val="18"/>
        </w:rPr>
        <w:t xml:space="preserve">  [StatusGator / paneles de monitorización de terceros]</w:t>
      </w:r>
    </w:p>
    <w:p>
      <w:pPr>
        <w:spacing w:after="160" w:line="288"/>
      </w:pPr>
      <w:r>
        <w:rPr>
          <w:color w:val="202124"/>
          <w:sz w:val="21"/>
          <w:szCs w:val="21"/>
        </w:rPr>
        <w:t xml:space="preserve">El dato relevante para Adevinta no es que Databricks sufra incidentes — todo proveedor cloud los tiene — sino que la naturaleza de estos incidentes recientes se concentra precisamente en Unity Catalog, la capa de gobierno que la organización necesitaría adoptar de forma más profunda si aumentara su dependencia de la plataforma.</w:t>
      </w:r>
    </w:p>
    <w:p>
      <w:pPr>
        <w:pStyle w:val="Heading1"/>
        <w:pBdr>
          <w:bottom w:val="single" w:color="1A73E8" w:sz="12" w:space="4"/>
        </w:pBdr>
        <w:spacing w:after="200" w:before="400"/>
      </w:pPr>
      <w:r>
        <w:rPr>
          <w:b/>
          <w:bCs/>
          <w:color w:val="0B3D6E"/>
          <w:sz w:val="30"/>
          <w:szCs w:val="30"/>
        </w:rPr>
        <w:t xml:space="preserve">5. Posicionamiento de analistas (Gartner)</w:t>
      </w:r>
    </w:p>
    <w:p>
      <w:pPr>
        <w:spacing w:after="160" w:line="288"/>
      </w:pPr>
      <w:r>
        <w:rPr>
          <w:color w:val="202124"/>
          <w:sz w:val="21"/>
          <w:szCs w:val="21"/>
        </w:rPr>
        <w:t xml:space="preserve">Por rigor, reconocemos que Databricks ha sido nombrado Líder en el Magic Quadrant de Gartner para Cloud Database Management Systems durante cinco años consecutivos, reconocido especialmente por su visión de lakehouse abierto y su gobernanza unificada Unity Catalog. Este dato no se puede omitir sin perder credibilidad técnica ante el equipo de Adevinta.</w:t>
      </w:r>
    </w:p>
    <w:p>
      <w:pPr>
        <w:spacing w:after="160" w:line="288"/>
      </w:pPr>
      <w:r>
        <w:rPr>
          <w:color w:val="202124"/>
          <w:sz w:val="21"/>
          <w:szCs w:val="21"/>
        </w:rPr>
        <w:t xml:space="preserve">Sin embargo, el propio informe de Gartner evalúa capacidades tanto analíticas como, desde 2025, operacionales (OLTP, con el nuevo motor Lakebase de Databricks) — un terreno donde BigQuery no compite de forma nativa porque no es su propósito. Para el caso de uso de Adevinta (BI, reporting, activación de datos, ML aplicado sobre datos ya modelados), el criterio más predictivo no es la posición en el cuadrante completo, sino la satisfacción de usuario en ese caso de uso específico, donde la evidencia de reviews (sección 2) favorece a BigQuery de forma consistente.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73E8" w:sz="4"/>
              <w:left w:val="single" w:color="1A73E8" w:sz="24"/>
              <w:bottom w:val="single" w:color="1A73E8" w:sz="4"/>
              <w:right w:val="single" w:color="1A73E8" w:sz="4"/>
            </w:tcBorders>
            <w:shd w:fill="E8F0FE" w:color="auto" w:val="clear"/>
            <w:tcMar>
              <w:top w:type="dxa" w:w="160"/>
              <w:left w:type="dxa" w:w="200"/>
              <w:bottom w:type="dxa" w:w="160"/>
              <w:right w:type="dxa" w:w="200"/>
            </w:tcMar>
          </w:tcPr>
          <w:p>
            <w:pPr>
              <w:spacing w:after="80"/>
            </w:pPr>
            <w:r>
              <w:rPr>
                <w:b/>
                <w:bCs/>
                <w:color w:val="1A73E8"/>
                <w:sz w:val="21"/>
                <w:szCs w:val="21"/>
              </w:rPr>
              <w:t xml:space="preserve">Cómo usar este dato en la conversación con Adevinta</w:t>
            </w:r>
          </w:p>
          <w:p>
            <w:pPr>
              <w:spacing w:after="0" w:line="276"/>
            </w:pPr>
            <w:r>
              <w:rPr>
                <w:color w:val="202124"/>
                <w:sz w:val="20"/>
                <w:szCs w:val="20"/>
              </w:rPr>
              <w:t xml:space="preserve">Reconocer el liderazgo de Gartner de Databricks de forma proactiva refuerza la credibilidad del resto del argumento: no se está descartando a Databricks por desconocimiento, sino friccionando su fortaleza reconocida (lakehouse abierto, ML) frente al perfil de carga real de Adevinta, donde esa fortaleza aporta menos valor marginal.</w:t>
            </w:r>
          </w:p>
        </w:tc>
      </w:tr>
    </w:tbl>
    <w:p>
      <w:pPr>
        <w:pStyle w:val="Heading1"/>
        <w:pBdr>
          <w:bottom w:val="single" w:color="1A73E8" w:sz="12" w:space="4"/>
        </w:pBdr>
        <w:spacing w:after="200" w:before="400"/>
      </w:pPr>
      <w:r>
        <w:rPr>
          <w:b/>
          <w:bCs/>
          <w:color w:val="0B3D6E"/>
          <w:sz w:val="30"/>
          <w:szCs w:val="30"/>
        </w:rPr>
        <w:t xml:space="preserve">6. Novedades de producto: BigQuery se refuerza en IA nativa</w:t>
      </w:r>
    </w:p>
    <w:p>
      <w:pPr>
        <w:spacing w:after="160" w:line="288"/>
      </w:pPr>
      <w:r>
        <w:rPr>
          <w:color w:val="202124"/>
          <w:sz w:val="21"/>
          <w:szCs w:val="21"/>
        </w:rPr>
        <w:t xml:space="preserve">Desde comienzos de 2026, Google ha acelerado significativamente la capa de inteligencia artificial integrada en BigQuery, cerrando una de las pocas brechas que Databricks explotaba comercialmente ("BigQuery es solo SQL; para IA necesitas Databricks"). Estas novedades son directamente relevantes para casos de uso de Adevinta como scoring, moderación de contenido y enriquecimiento de anuncios:</w:t>
      </w:r>
    </w:p>
    <w:p>
      <w:pPr>
        <w:pStyle w:val="Heading2"/>
        <w:spacing w:after="140" w:before="300"/>
      </w:pPr>
      <w:r>
        <w:rPr>
          <w:b/>
          <w:bCs/>
          <w:color w:val="0B3D6E"/>
          <w:sz w:val="24"/>
          <w:szCs w:val="24"/>
        </w:rPr>
        <w:t xml:space="preserve">6.1 Gemini en BigQuery Studio</w:t>
      </w:r>
    </w:p>
    <w:p>
      <w:pPr>
        <w:spacing w:after="160" w:line="288"/>
      </w:pPr>
      <w:r>
        <w:rPr>
          <w:color w:val="202124"/>
          <w:sz w:val="21"/>
          <w:szCs w:val="21"/>
        </w:rPr>
        <w:t xml:space="preserve">En marzo de 2026, Google lanzó una nueva versión del asistente de Gemini en BigQuery Studio con conciencia de contexto activo: el asistente conoce las pestañas de consulta abiertas y pasa de ser un simple generador de código a un copiloto de analítica que entiende el entorno de trabajo del usuario.</w:t>
      </w:r>
      <w:r>
        <w:rPr>
          <w:i/>
          <w:iCs/>
          <w:color w:val="5F6368"/>
          <w:sz w:val="18"/>
          <w:szCs w:val="18"/>
        </w:rPr>
        <w:t xml:space="preserve">  [Google Cloud Blog, marzo 2026]</w:t>
      </w:r>
    </w:p>
    <w:p>
      <w:pPr>
        <w:pStyle w:val="Heading2"/>
        <w:spacing w:after="140" w:before="300"/>
      </w:pPr>
      <w:r>
        <w:rPr>
          <w:b/>
          <w:bCs/>
          <w:color w:val="0B3D6E"/>
          <w:sz w:val="24"/>
          <w:szCs w:val="24"/>
        </w:rPr>
        <w:t xml:space="preserve">6.2 Funciones de IA generativa nativas en SQL</w:t>
      </w:r>
    </w:p>
    <w:p>
      <w:pPr>
        <w:spacing w:after="160" w:line="288"/>
      </w:pPr>
      <w:r>
        <w:rPr>
          <w:color w:val="202124"/>
          <w:sz w:val="21"/>
          <w:szCs w:val="21"/>
        </w:rPr>
        <w:t xml:space="preserve">En enero de 2026, Google integró modelos Gemini y otros modelos de Vertex AI directamente como funciones invocables desde BigQuery SQL, permitiendo procesar imágenes, audio, vídeo y documentos no estructurados sin salir del motor de consultas ni mover los datos a otra plataforma.</w:t>
      </w:r>
      <w:r>
        <w:rPr>
          <w:i/>
          <w:iCs/>
          <w:color w:val="5F6368"/>
          <w:sz w:val="18"/>
          <w:szCs w:val="18"/>
        </w:rPr>
        <w:t xml:space="preserve">  [Google Cloud Blog, enero 2026]</w:t>
      </w:r>
    </w:p>
    <w:p>
      <w:pPr>
        <w:pStyle w:val="Heading2"/>
        <w:spacing w:after="140" w:before="300"/>
      </w:pPr>
      <w:r>
        <w:rPr>
          <w:b/>
          <w:bCs/>
          <w:color w:val="0B3D6E"/>
          <w:sz w:val="24"/>
          <w:szCs w:val="24"/>
        </w:rPr>
        <w:t xml:space="preserve">6.3 Analítica conversacional y agentes proactivos</w:t>
      </w:r>
    </w:p>
    <w:p>
      <w:pPr>
        <w:spacing w:after="160" w:line="288"/>
      </w:pPr>
      <w:r>
        <w:rPr>
          <w:color w:val="202124"/>
          <w:sz w:val="21"/>
          <w:szCs w:val="21"/>
        </w:rPr>
        <w:t xml:space="preserve">En 2026 se presentaron los agentes de Analítica Conversacional de BigQuery, que permiten obtener insights en lenguaje natural y pueden publicarse en Looker, Gemini Enterprise o consumirse vía API; además, flujos de trabajo agénticos proactivos detectan cambios en métricas, realizan análisis de causa raíz y entregan informes programados directamente al correo del usuario, sin que un analista tenga que iniciar la consulta.</w:t>
      </w:r>
      <w:r>
        <w:rPr>
          <w:i/>
          <w:iCs/>
          <w:color w:val="5F6368"/>
          <w:sz w:val="18"/>
          <w:szCs w:val="18"/>
        </w:rPr>
        <w:t xml:space="preserve">  [Google Cloud Blog, 'Unveiling new BigQuery capabilities for the agentic era', abril 2026]</w:t>
      </w:r>
    </w:p>
    <w:p>
      <w:pPr>
        <w:pStyle w:val="Heading2"/>
        <w:spacing w:after="140" w:before="300"/>
      </w:pPr>
      <w:r>
        <w:rPr>
          <w:b/>
          <w:bCs/>
          <w:color w:val="0B3D6E"/>
          <w:sz w:val="24"/>
          <w:szCs w:val="24"/>
        </w:rPr>
        <w:t xml:space="preserve">6.4 Data Agent Kit</w:t>
      </w:r>
    </w:p>
    <w:p>
      <w:pPr>
        <w:spacing w:after="160" w:line="288"/>
      </w:pPr>
      <w:r>
        <w:rPr>
          <w:color w:val="202124"/>
          <w:sz w:val="21"/>
          <w:szCs w:val="21"/>
        </w:rPr>
        <w:t xml:space="preserve">En Google Next 2026 se anunció el Data Agent Kit, una extensión de VS Code y un conjunto de plugins para Gemini CLI, Cloud Code y Codex que empaqueta herramientas MCP y habilidades para flujos de trabajo de datos en BigQuery, con las habilidades publicadas en código abierto y personalizables.</w:t>
      </w:r>
      <w:r>
        <w:rPr>
          <w:i/>
          <w:iCs/>
          <w:color w:val="5F6368"/>
          <w:sz w:val="18"/>
          <w:szCs w:val="18"/>
        </w:rPr>
        <w:t xml:space="preserve">  [Rittman Analytics, cobertura de Google Next 2026]</w:t>
      </w:r>
    </w:p>
    <w:p>
      <w:pPr>
        <w:spacing w:after="160" w:line="288"/>
      </w:pPr>
      <w:r>
        <w:rPr>
          <w:color w:val="202124"/>
          <w:sz w:val="21"/>
          <w:szCs w:val="21"/>
        </w:rPr>
        <w:t xml:space="preserve">Este conjunto de anuncios sitúa a BigQuery ya no como "solo un almacén de datos con SQL", sino como una capa de datos agéntica de extremo a extremo, cerrando la ventaja diferencial que Databricks ofrecía en el discurso de "IA-first".</w:t>
      </w:r>
    </w:p>
    <w:p>
      <w:pPr>
        <w:pStyle w:val="Heading1"/>
        <w:pBdr>
          <w:bottom w:val="single" w:color="1A73E8" w:sz="12" w:space="4"/>
        </w:pBdr>
        <w:spacing w:after="200" w:before="400"/>
      </w:pPr>
      <w:r>
        <w:rPr>
          <w:b/>
          <w:bCs/>
          <w:color w:val="0B3D6E"/>
          <w:sz w:val="30"/>
          <w:szCs w:val="30"/>
        </w:rPr>
        <w:t xml:space="preserve">7. Interoperabilidad de formato abierto: BigQuery neutraliza el argumento del lakehouse</w:t>
      </w:r>
    </w:p>
    <w:p>
      <w:pPr>
        <w:spacing w:after="160" w:line="288"/>
      </w:pPr>
      <w:r>
        <w:rPr>
          <w:color w:val="202124"/>
          <w:sz w:val="21"/>
          <w:szCs w:val="21"/>
        </w:rPr>
        <w:t xml:space="preserve">Uno de los argumentos históricos más repetidos a favor de Databricks es la apertura de su formato de tabla (Delta Lake) frente al almacenamiento propietario de un data warehouse clásico. Este argumento ha perdido fuerza en 2026:</w:t>
      </w:r>
    </w:p>
    <w:p>
      <w:pPr>
        <w:pStyle w:val="ListParagraph"/>
        <w:numPr>
          <w:ilvl w:val="0"/>
          <w:numId w:val="2"/>
        </w:numPr>
        <w:spacing w:after="90" w:line="276"/>
      </w:pPr>
      <w:r>
        <w:rPr>
          <w:color w:val="202124"/>
          <w:sz w:val="21"/>
          <w:szCs w:val="21"/>
        </w:rPr>
        <w:t xml:space="preserve">BigQuery ofrece soporte nativo y de escritura completa para tablas Apache Iceberg a través de BigLake, ahora rebautizado como 'Lakehouse for Apache Iceberg' (abril de 2026), permitiendo DML completo desde SQL, streaming de alto rendimiento vía la Storage Write API, y lectura/escritura desde motores externos como Spark, Flink o Dremio sobre la misma copia física de los datos.</w:t>
      </w:r>
      <w:r>
        <w:rPr>
          <w:i/>
          <w:iCs/>
          <w:color w:val="5F6368"/>
          <w:sz w:val="18"/>
          <w:szCs w:val="18"/>
        </w:rPr>
        <w:t xml:space="preserve">  [Google Cloud Docs / Snowflake Developer Guides, 2026]</w:t>
      </w:r>
    </w:p>
    <w:p>
      <w:pPr>
        <w:pStyle w:val="ListParagraph"/>
        <w:numPr>
          <w:ilvl w:val="0"/>
          <w:numId w:val="2"/>
        </w:numPr>
        <w:spacing w:after="90" w:line="276"/>
      </w:pPr>
      <w:r>
        <w:rPr>
          <w:color w:val="202124"/>
          <w:sz w:val="21"/>
          <w:szCs w:val="21"/>
        </w:rPr>
        <w:t xml:space="preserve">A diferencia de un lago de datos autogestionado, BigQuery realiza mantenimiento de tablas Iceberg de forma autónoma: compactación de archivos pequeños, re-clustering automático y recolección de basura — es decir, resuelve de forma gestionada exactamente el mismo problema de 'small files' que en Databricks exige jobs manuales de OPTIMIZE/VACUUM.</w:t>
      </w:r>
      <w:r>
        <w:rPr>
          <w:i/>
          <w:iCs/>
          <w:color w:val="5F6368"/>
          <w:sz w:val="18"/>
          <w:szCs w:val="18"/>
        </w:rPr>
        <w:t xml:space="preserve">  [Google Cloud Blog, 'Announcing BigQuery tables for Apache Iceberg']</w:t>
      </w:r>
    </w:p>
    <w:p>
      <w:pPr>
        <w:pStyle w:val="ListParagraph"/>
        <w:numPr>
          <w:ilvl w:val="0"/>
          <w:numId w:val="2"/>
        </w:numPr>
        <w:spacing w:after="90" w:line="276"/>
      </w:pPr>
      <w:r>
        <w:rPr>
          <w:color w:val="202124"/>
          <w:sz w:val="21"/>
          <w:szCs w:val="21"/>
        </w:rPr>
        <w:t xml:space="preserve">La autenticación entre motores (p. ej. Snowflake u otros engines Iceberg-compatibles) se resuelve mediante workload identity federation sin necesidad de claves de service account, simplificando la gobernanza multi-motor.</w:t>
      </w:r>
      <w:r>
        <w:rPr>
          <w:i/>
          <w:iCs/>
          <w:color w:val="5F6368"/>
          <w:sz w:val="18"/>
          <w:szCs w:val="18"/>
        </w:rPr>
        <w:t xml:space="preserve">  [Snowflake Developer Guides, 'Getting Started with Snowflake and BigQuery via Iceberg']</w:t>
      </w:r>
    </w:p>
    <w:p>
      <w:pPr>
        <w:spacing w:after="160" w:line="288"/>
      </w:pPr>
      <w:r>
        <w:rPr>
          <w:color w:val="202124"/>
          <w:sz w:val="21"/>
          <w:szCs w:val="21"/>
        </w:rPr>
        <w:t xml:space="preserve">En la práctica, esto significa que Adevinta puede adoptar Apache Iceberg como formato de tabla de referencia —si así lo desea por razones de portabilidad— sin necesidad de Databricks: BigQuery ya es un motor de primera clase sobre Iceberg, con la ventaja añadida de que el mantenimiento de las tablas es automático en lugar de operado manualmente por el equipo de plataforma.</w:t>
      </w:r>
    </w:p>
    <w:p>
      <w:pPr>
        <w:pStyle w:val="Heading1"/>
        <w:pBdr>
          <w:bottom w:val="single" w:color="1A73E8" w:sz="12" w:space="4"/>
        </w:pBdr>
        <w:spacing w:after="200" w:before="400"/>
      </w:pPr>
      <w:r>
        <w:rPr>
          <w:b/>
          <w:bCs/>
          <w:color w:val="0B3D6E"/>
          <w:sz w:val="30"/>
          <w:szCs w:val="30"/>
        </w:rPr>
        <w:t xml:space="preserve">8. Tabla resumen de novedades y su impacto en el argumento de takeout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2218"/>
        <w:gridCol w:w="4838"/>
      </w:tblGrid>
      <w:tr>
        <w:trPr>
          <w:tblHeader/>
        </w:trPr>
        <w:tc>
          <w:tcPr>
            <w:tcW w:type="dxa" w:w="3024"/>
            <w:shd w:fill="0B3D6E" w:color="auto" w:val="clear"/>
            <w:tcMar>
              <w:top w:type="dxa" w:w="100"/>
              <w:left w:type="dxa" w:w="120"/>
              <w:bottom w:type="dxa" w:w="100"/>
              <w:right w:type="dxa" w:w="120"/>
            </w:tcMar>
            <w:vAlign w:val="center"/>
          </w:tcPr>
          <w:p>
            <w:pPr>
              <w:jc w:val="left"/>
            </w:pPr>
            <w:r>
              <w:rPr>
                <w:b/>
                <w:bCs/>
                <w:color w:val="FFFFFF"/>
                <w:sz w:val="19"/>
                <w:szCs w:val="19"/>
              </w:rPr>
              <w:t xml:space="preserve">Novedad (2026)</w:t>
            </w:r>
          </w:p>
        </w:tc>
        <w:tc>
          <w:tcPr>
            <w:tcW w:type="dxa" w:w="2218"/>
            <w:shd w:fill="0B3D6E" w:color="auto" w:val="clear"/>
            <w:tcMar>
              <w:top w:type="dxa" w:w="100"/>
              <w:left w:type="dxa" w:w="120"/>
              <w:bottom w:type="dxa" w:w="100"/>
              <w:right w:type="dxa" w:w="120"/>
            </w:tcMar>
            <w:vAlign w:val="center"/>
          </w:tcPr>
          <w:p>
            <w:pPr>
              <w:jc w:val="left"/>
            </w:pPr>
            <w:r>
              <w:rPr>
                <w:b/>
                <w:bCs/>
                <w:color w:val="FFFFFF"/>
                <w:sz w:val="19"/>
                <w:szCs w:val="19"/>
              </w:rPr>
              <w:t xml:space="preserve">Fuente</w:t>
            </w:r>
          </w:p>
        </w:tc>
        <w:tc>
          <w:tcPr>
            <w:tcW w:type="dxa" w:w="4838"/>
            <w:shd w:fill="0B3D6E" w:color="auto" w:val="clear"/>
            <w:tcMar>
              <w:top w:type="dxa" w:w="100"/>
              <w:left w:type="dxa" w:w="120"/>
              <w:bottom w:type="dxa" w:w="100"/>
              <w:right w:type="dxa" w:w="120"/>
            </w:tcMar>
            <w:vAlign w:val="center"/>
          </w:tcPr>
          <w:p>
            <w:pPr>
              <w:jc w:val="left"/>
            </w:pPr>
            <w:r>
              <w:rPr>
                <w:b/>
                <w:bCs/>
                <w:color w:val="FFFFFF"/>
                <w:sz w:val="19"/>
                <w:szCs w:val="19"/>
              </w:rPr>
              <w:t xml:space="preserve">Impacto en el caso de takeout</w:t>
            </w:r>
          </w:p>
        </w:tc>
      </w:tr>
      <w:tr>
        <w:tc>
          <w:tcPr>
            <w:tcW w:type="dxa" w:w="3024"/>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Gemini con contexto activo en BigQuery Studio</w:t>
            </w:r>
          </w:p>
        </w:tc>
        <w:tc>
          <w:tcPr>
            <w:tcW w:type="dxa" w:w="2218"/>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Google Cloud Blog</w:t>
            </w:r>
          </w:p>
        </w:tc>
        <w:tc>
          <w:tcPr>
            <w:tcW w:type="dxa" w:w="4838"/>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Reduce la brecha de UX de IA que Databricks explotaba comercialmente</w:t>
            </w:r>
          </w:p>
        </w:tc>
      </w:tr>
      <w:tr>
        <w:tc>
          <w:tcPr>
            <w:tcW w:type="dxa" w:w="3024"/>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Funciones gen-AI nativas en SQL (imagen/audio/vídeo)</w:t>
            </w:r>
          </w:p>
        </w:tc>
        <w:tc>
          <w:tcPr>
            <w:tcW w:type="dxa" w:w="2218"/>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Google Cloud Blog</w:t>
            </w:r>
          </w:p>
        </w:tc>
        <w:tc>
          <w:tcPr>
            <w:tcW w:type="dxa" w:w="4838"/>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Adevinta puede enriquecer anuncios/moderar contenido sin salir de BigQuery</w:t>
            </w:r>
          </w:p>
        </w:tc>
      </w:tr>
      <w:tr>
        <w:tc>
          <w:tcPr>
            <w:tcW w:type="dxa" w:w="3024"/>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Agentes proactivos de Analítica Conversacional</w:t>
            </w:r>
          </w:p>
        </w:tc>
        <w:tc>
          <w:tcPr>
            <w:tcW w:type="dxa" w:w="2218"/>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Google Cloud Blog</w:t>
            </w:r>
          </w:p>
        </w:tc>
        <w:tc>
          <w:tcPr>
            <w:tcW w:type="dxa" w:w="4838"/>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Reduce necesidad de tooling adicional de BI/alerting sobre métricas</w:t>
            </w:r>
          </w:p>
        </w:tc>
      </w:tr>
      <w:tr>
        <w:tc>
          <w:tcPr>
            <w:tcW w:type="dxa" w:w="3024"/>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BigLake / Lakehouse for Apache Iceberg (GA, escritura completa)</w:t>
            </w:r>
          </w:p>
        </w:tc>
        <w:tc>
          <w:tcPr>
            <w:tcW w:type="dxa" w:w="2218"/>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Google Cloud Docs</w:t>
            </w:r>
          </w:p>
        </w:tc>
        <w:tc>
          <w:tcPr>
            <w:tcW w:type="dxa" w:w="4838"/>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Neutraliza el argumento de 'formato abierto' exclusivo de Databricks</w:t>
            </w:r>
          </w:p>
        </w:tc>
      </w:tr>
      <w:tr>
        <w:tc>
          <w:tcPr>
            <w:tcW w:type="dxa" w:w="3024"/>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Incidente Unity Catalog de 50 min (jul. 2026)</w:t>
            </w:r>
          </w:p>
        </w:tc>
        <w:tc>
          <w:tcPr>
            <w:tcW w:type="dxa" w:w="2218"/>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IsDown</w:t>
            </w:r>
          </w:p>
        </w:tc>
        <w:tc>
          <w:tcPr>
            <w:tcW w:type="dxa" w:w="4838"/>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Evidencia de riesgo operativo en la capa de gobierno de Databricks</w:t>
            </w:r>
          </w:p>
        </w:tc>
      </w:tr>
      <w:tr>
        <w:tc>
          <w:tcPr>
            <w:tcW w:type="dxa" w:w="3024"/>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Review G2 de error de facturación no remediado</w:t>
            </w:r>
          </w:p>
        </w:tc>
        <w:tc>
          <w:tcPr>
            <w:tcW w:type="dxa" w:w="2218"/>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G2.com</w:t>
            </w:r>
          </w:p>
        </w:tc>
        <w:tc>
          <w:tcPr>
            <w:tcW w:type="dxa" w:w="4838"/>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Evidencia cuantitativa del riesgo de TCO impredecible ya señalado</w:t>
            </w:r>
          </w:p>
        </w:tc>
      </w:tr>
      <w:tr>
        <w:tc>
          <w:tcPr>
            <w:tcW w:type="dxa" w:w="3024"/>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Gartner: Databricks líder 5º año consecutivo</w:t>
            </w:r>
          </w:p>
        </w:tc>
        <w:tc>
          <w:tcPr>
            <w:tcW w:type="dxa" w:w="2218"/>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Gartner / Databricks Blog</w:t>
            </w:r>
          </w:p>
        </w:tc>
        <w:tc>
          <w:tcPr>
            <w:tcW w:type="dxa" w:w="4838"/>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Se reconoce con honestidad; el liderazgo pesa más en ML/OLTP que en BI</w:t>
            </w:r>
          </w:p>
        </w:tc>
      </w:tr>
    </w:tbl>
    <w:p>
      <w:pPr>
        <w:pStyle w:val="Heading1"/>
        <w:pBdr>
          <w:bottom w:val="single" w:color="1A73E8" w:sz="12" w:space="4"/>
        </w:pBdr>
        <w:spacing w:after="200" w:before="400"/>
      </w:pPr>
      <w:r>
        <w:rPr>
          <w:b/>
          <w:bCs/>
          <w:color w:val="0B3D6E"/>
          <w:sz w:val="30"/>
          <w:szCs w:val="30"/>
        </w:rPr>
        <w:t xml:space="preserve">9. Conclusión y recomendación actualizada</w:t>
      </w:r>
    </w:p>
    <w:p>
      <w:pPr>
        <w:spacing w:after="160" w:line="288"/>
      </w:pPr>
      <w:r>
        <w:rPr>
          <w:color w:val="202124"/>
          <w:sz w:val="21"/>
          <w:szCs w:val="21"/>
        </w:rPr>
        <w:t xml:space="preserve">La evidencia de mercado recogida en julio de 2026 —reviews de usuarios reales, incidentes de disponibilidad, un caso documentado de sobrecoste no remediado, y el avance acelerado de BigQuery en IA nativa e interoperabilidad de formato abierto— refuerza, con datos externos e independientes del proveedor, la recomendación de takeout planteada en el informe técnico anterior.</w:t>
      </w:r>
    </w:p>
    <w:p>
      <w:pPr>
        <w:spacing w:after="160" w:line="288"/>
      </w:pPr>
      <w:r>
        <w:rPr>
          <w:color w:val="202124"/>
          <w:sz w:val="21"/>
          <w:szCs w:val="21"/>
        </w:rPr>
        <w:t xml:space="preserve">Se recomienda incorporar estas fuentes al dossier de decisión que se presente a la Dirección de Ingeniería de Adevinta, citando explícitamente el review de G2 sobre errores de facturación y el incidente de Unity Catalog de julio de 2026 como evidencia concreta de riesgo operativo, y las novedades de Gemini/Iceberg en BigQuery como prueba de que la plataforma ya no tiene la brecha de IA y apertura de formato que historicamente se usaba a favor de Databricks.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B8043" w:sz="4"/>
              <w:left w:val="single" w:color="0B8043" w:sz="24"/>
              <w:bottom w:val="single" w:color="0B8043" w:sz="4"/>
              <w:right w:val="single" w:color="0B8043" w:sz="4"/>
            </w:tcBorders>
            <w:shd w:fill="E6F4EA" w:color="auto" w:val="clear"/>
            <w:tcMar>
              <w:top w:type="dxa" w:w="160"/>
              <w:left w:type="dxa" w:w="200"/>
              <w:bottom w:type="dxa" w:w="160"/>
              <w:right w:type="dxa" w:w="200"/>
            </w:tcMar>
          </w:tcPr>
          <w:p>
            <w:pPr>
              <w:spacing w:after="80"/>
            </w:pPr>
            <w:r>
              <w:rPr>
                <w:b/>
                <w:bCs/>
                <w:color w:val="0B8043"/>
                <w:sz w:val="21"/>
                <w:szCs w:val="21"/>
              </w:rPr>
              <w:t xml:space="preserve">Siguiente paso sugerido</w:t>
            </w:r>
          </w:p>
          <w:p>
            <w:pPr>
              <w:spacing w:after="0" w:line="276"/>
            </w:pPr>
            <w:r>
              <w:rPr>
                <w:color w:val="202124"/>
                <w:sz w:val="20"/>
                <w:szCs w:val="20"/>
              </w:rPr>
              <w:t xml:space="preserve">Solicitar a los equipos que hoy operan cargas en Databricks una lista de los 5-10 incidentes internos más recientes relacionados con clústeres, Unity Catalog o sobrecostes, para contrastar la experiencia real de Adevinta con la evidencia de mercado presentada en este documento antes de la reunión de decisión.</w:t>
            </w:r>
          </w:p>
        </w:tc>
      </w:tr>
    </w:tbl>
    <w:p>
      <w:pPr>
        <w:pStyle w:val="Heading1"/>
        <w:pBdr>
          <w:bottom w:val="single" w:color="1A73E8" w:sz="12" w:space="4"/>
        </w:pBdr>
        <w:spacing w:after="200" w:before="400"/>
      </w:pPr>
      <w:r>
        <w:rPr>
          <w:b/>
          <w:bCs/>
          <w:color w:val="0B3D6E"/>
          <w:sz w:val="30"/>
          <w:szCs w:val="30"/>
        </w:rPr>
        <w:t xml:space="preserve">10. Fuentes consultadas</w:t>
      </w:r>
    </w:p>
    <w:p>
      <w:pPr>
        <w:pStyle w:val="ListParagraph"/>
        <w:numPr>
          <w:ilvl w:val="0"/>
          <w:numId w:val="2"/>
        </w:numPr>
        <w:spacing w:after="90" w:line="276"/>
      </w:pPr>
      <w:r>
        <w:rPr>
          <w:color w:val="202124"/>
          <w:sz w:val="21"/>
          <w:szCs w:val="21"/>
        </w:rPr>
        <w:t xml:space="preserve">G2.com — Compare Databricks Data Intelligence Platform vs. Google Cloud BigQuery (comparativas y reviews AI-generated a partir de reviews reales).</w:t>
      </w:r>
    </w:p>
    <w:p>
      <w:pPr>
        <w:pStyle w:val="ListParagraph"/>
        <w:numPr>
          <w:ilvl w:val="0"/>
          <w:numId w:val="2"/>
        </w:numPr>
        <w:spacing w:after="90" w:line="276"/>
      </w:pPr>
      <w:r>
        <w:rPr>
          <w:color w:val="202124"/>
          <w:sz w:val="21"/>
          <w:szCs w:val="21"/>
        </w:rPr>
        <w:t xml:space="preserve">G2.com — Top 10 Databricks Alternatives &amp; Competitors.</w:t>
      </w:r>
    </w:p>
    <w:p>
      <w:pPr>
        <w:pStyle w:val="ListParagraph"/>
        <w:numPr>
          <w:ilvl w:val="0"/>
          <w:numId w:val="2"/>
        </w:numPr>
        <w:spacing w:after="90" w:line="276"/>
      </w:pPr>
      <w:r>
        <w:rPr>
          <w:color w:val="202124"/>
          <w:sz w:val="21"/>
          <w:szCs w:val="21"/>
        </w:rPr>
        <w:t xml:space="preserve">G2.com — Databricks Pricing Reviews (caso de error de facturación).</w:t>
      </w:r>
    </w:p>
    <w:p>
      <w:pPr>
        <w:pStyle w:val="ListParagraph"/>
        <w:numPr>
          <w:ilvl w:val="0"/>
          <w:numId w:val="2"/>
        </w:numPr>
        <w:spacing w:after="90" w:line="276"/>
      </w:pPr>
      <w:r>
        <w:rPr>
          <w:color w:val="202124"/>
          <w:sz w:val="21"/>
          <w:szCs w:val="21"/>
        </w:rPr>
        <w:t xml:space="preserve">PeerSpot — BigQuery vs. Databricks Report, actualizado abril 2026.</w:t>
      </w:r>
    </w:p>
    <w:p>
      <w:pPr>
        <w:pStyle w:val="ListParagraph"/>
        <w:numPr>
          <w:ilvl w:val="0"/>
          <w:numId w:val="2"/>
        </w:numPr>
        <w:spacing w:after="90" w:line="276"/>
      </w:pPr>
      <w:r>
        <w:rPr>
          <w:color w:val="202124"/>
          <w:sz w:val="21"/>
          <w:szCs w:val="21"/>
        </w:rPr>
        <w:t xml:space="preserve">Gartner — Magic Quadrant for Cloud Database Management Systems (vía Databricks Blog y b-eye.com).</w:t>
      </w:r>
    </w:p>
    <w:p>
      <w:pPr>
        <w:pStyle w:val="ListParagraph"/>
        <w:numPr>
          <w:ilvl w:val="0"/>
          <w:numId w:val="2"/>
        </w:numPr>
        <w:spacing w:after="90" w:line="276"/>
      </w:pPr>
      <w:r>
        <w:rPr>
          <w:color w:val="202124"/>
          <w:sz w:val="21"/>
          <w:szCs w:val="21"/>
        </w:rPr>
        <w:t xml:space="preserve">IsDown / StatusGator — paneles de incidentes de Azure Databricks, 2026.</w:t>
      </w:r>
    </w:p>
    <w:p>
      <w:pPr>
        <w:pStyle w:val="ListParagraph"/>
        <w:numPr>
          <w:ilvl w:val="0"/>
          <w:numId w:val="2"/>
        </w:numPr>
        <w:spacing w:after="90" w:line="276"/>
      </w:pPr>
      <w:r>
        <w:rPr>
          <w:color w:val="202124"/>
          <w:sz w:val="21"/>
          <w:szCs w:val="21"/>
        </w:rPr>
        <w:t xml:space="preserve">Google Cloud Blog — 'Gemini supercharges the BigQuery Studio assistant', marzo 2026.</w:t>
      </w:r>
    </w:p>
    <w:p>
      <w:pPr>
        <w:pStyle w:val="ListParagraph"/>
        <w:numPr>
          <w:ilvl w:val="0"/>
          <w:numId w:val="2"/>
        </w:numPr>
        <w:spacing w:after="90" w:line="276"/>
      </w:pPr>
      <w:r>
        <w:rPr>
          <w:color w:val="202124"/>
          <w:sz w:val="21"/>
          <w:szCs w:val="21"/>
        </w:rPr>
        <w:t xml:space="preserve">Google Cloud Blog — 'New BigQuery gen AI functions for better data analysis', enero 2026.</w:t>
      </w:r>
    </w:p>
    <w:p>
      <w:pPr>
        <w:pStyle w:val="ListParagraph"/>
        <w:numPr>
          <w:ilvl w:val="0"/>
          <w:numId w:val="2"/>
        </w:numPr>
        <w:spacing w:after="90" w:line="276"/>
      </w:pPr>
      <w:r>
        <w:rPr>
          <w:color w:val="202124"/>
          <w:sz w:val="21"/>
          <w:szCs w:val="21"/>
        </w:rPr>
        <w:t xml:space="preserve">Google Cloud Blog — 'Unveiling new BigQuery capabilities for the agentic era', abril 2026.</w:t>
      </w:r>
    </w:p>
    <w:p>
      <w:pPr>
        <w:pStyle w:val="ListParagraph"/>
        <w:numPr>
          <w:ilvl w:val="0"/>
          <w:numId w:val="2"/>
        </w:numPr>
        <w:spacing w:after="90" w:line="276"/>
      </w:pPr>
      <w:r>
        <w:rPr>
          <w:color w:val="202124"/>
          <w:sz w:val="21"/>
          <w:szCs w:val="21"/>
        </w:rPr>
        <w:t xml:space="preserve">Google Cloud Blog — 'Announcing BigQuery tables for Apache Iceberg' y 'Enhancing BigLake for Iceberg lakehouses'.</w:t>
      </w:r>
    </w:p>
    <w:p>
      <w:pPr>
        <w:pStyle w:val="ListParagraph"/>
        <w:numPr>
          <w:ilvl w:val="0"/>
          <w:numId w:val="2"/>
        </w:numPr>
        <w:spacing w:after="90" w:line="276"/>
      </w:pPr>
      <w:r>
        <w:rPr>
          <w:color w:val="202124"/>
          <w:sz w:val="21"/>
          <w:szCs w:val="21"/>
        </w:rPr>
        <w:t xml:space="preserve">Rittman Analytics — cobertura de Google Next 2026 (Data Agent Kit).</w:t>
      </w:r>
    </w:p>
    <w:p>
      <w:pPr>
        <w:pStyle w:val="ListParagraph"/>
        <w:numPr>
          <w:ilvl w:val="0"/>
          <w:numId w:val="2"/>
        </w:numPr>
        <w:spacing w:after="90" w:line="276"/>
      </w:pPr>
      <w:r>
        <w:rPr>
          <w:color w:val="202124"/>
          <w:sz w:val="21"/>
          <w:szCs w:val="21"/>
        </w:rPr>
        <w:t xml:space="preserve">Revefi — 'Databricks Cost Optimization: The Complete Guide', mayo 2026.</w:t>
      </w:r>
    </w:p>
    <w:p>
      <w:pPr>
        <w:pStyle w:val="ListParagraph"/>
        <w:numPr>
          <w:ilvl w:val="0"/>
          <w:numId w:val="2"/>
        </w:numPr>
        <w:spacing w:after="90" w:line="276"/>
      </w:pPr>
      <w:r>
        <w:rPr>
          <w:color w:val="202124"/>
          <w:sz w:val="21"/>
          <w:szCs w:val="21"/>
        </w:rPr>
        <w:t xml:space="preserve">Snowflake Developer Guides — 'Getting Started with Snowflake and BigQuery via Iceberg'.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5"/>
        <w:szCs w:val="15"/>
      </w:rPr>
      <w:t xml:space="preserve">Página </w:t>
    </w:r>
    <w:r>
      <w:rPr>
        <w:color w:val="5F6368"/>
        <w:sz w:val="15"/>
        <w:szCs w:val="15"/>
      </w:rPr>
      <w:fldChar w:fldCharType="begin"/>
      <w:instrText xml:space="preserve">PAGE</w:instrText>
      <w:fldChar w:fldCharType="separate"/>
      <w:fldChar w:fldCharType="end"/>
    </w:r>
    <w:r>
      <w:rPr>
        <w:color w:val="5F6368"/>
        <w:sz w:val="15"/>
        <w:szCs w:val="15"/>
      </w:rPr>
      <w:t xml:space="preserve"> de </w:t>
    </w:r>
    <w:r>
      <w:rPr>
        <w:color w:val="5F636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F6368"/>
        <w:sz w:val="15"/>
        <w:szCs w:val="15"/>
      </w:rPr>
      <w:t xml:space="preserve">Confidencial — Uso interno Adevinta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2026-07-21T16:34:30.100Z</dcterms:created>
  <dcterms:modified xsi:type="dcterms:W3CDTF">2026-07-21T16:34:30.121Z</dcterms:modified>
</cp:coreProperties>
</file>

<file path=docProps/custom.xml><?xml version="1.0" encoding="utf-8"?>
<Properties xmlns="http://schemas.openxmlformats.org/officeDocument/2006/custom-properties" xmlns:vt="http://schemas.openxmlformats.org/officeDocument/2006/docPropsVTypes"/>
</file>