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EleveAI — le journal scientifique de La Réunion où les enfants apprennent</w:t>
      </w:r>
    </w:p>
    <w:p>
      <w:pPr>
        <w:pStyle w:val="Corpsdetextesub"/>
        <w:bidi w:val="0"/>
        <w:jc w:val="left"/>
        <w:rPr/>
      </w:pPr>
      <w:r>
        <w:rPr>
          <w:b/>
        </w:rPr>
        <w:t>Frédéric Lacoste</w:t>
      </w:r>
      <w:r>
        <w:rPr/>
        <w:t>, professeur de mathématiques à La Réunion, fondateur d'EleveAI</w:t>
      </w:r>
    </w:p>
    <w:p>
      <w:pPr>
        <w:pStyle w:val="Corpsdetextedest"/>
        <w:bidi w:val="0"/>
        <w:jc w:val="left"/>
        <w:rPr/>
      </w:pPr>
      <w:r>
        <w:rPr/>
        <w:t>Dossier de partenariat éditorial — à l'attention d'EDF à La Réunion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Ce que nous sommes</w:t>
      </w:r>
    </w:p>
    <w:p>
      <w:pPr>
        <w:pStyle w:val="BodyText"/>
        <w:bidi w:val="0"/>
        <w:jc w:val="left"/>
        <w:rPr/>
      </w:pPr>
      <w:r>
        <w:rPr/>
        <w:t>EleveAI est un journal scientifique en ligne, gratuit et sans publicité, fondé par un professeur de mathématiques de La Réunion. Les enfants de l'île y comprennent et s'y entraînent en manipulant le réel qui les entoure : l'eau, le sucre, le volcan, le lagon — et l'énergie.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Audience</w:t>
      </w:r>
      <w:r>
        <w:rPr/>
        <w:t xml:space="preserve"> : de l'ordre de 1 000 visiteurs par semaine, en croissance, tous contenus confondus.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Reconnaissance</w:t>
      </w:r>
      <w:r>
        <w:rPr/>
        <w:t xml:space="preserve"> : projet présenté à la DRANE et soutenu par le rectorat de La Réunion, utilisé dans plusieurs collèges de l'île.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>
          <w:b/>
        </w:rPr>
        <w:t>Ancrage</w:t>
      </w:r>
      <w:r>
        <w:rPr/>
        <w:t xml:space="preserve"> : chaque contenu part d'un fait réunionnais concret, pour que la science parle de ce que l'élève voit dehors. </w:t>
      </w:r>
    </w:p>
    <w:p>
      <w:pPr>
        <w:pStyle w:val="Heading2"/>
        <w:bidi w:val="0"/>
        <w:jc w:val="left"/>
        <w:rPr/>
      </w:pPr>
      <w:r>
        <w:rPr/>
        <w:t>Votre métier est déjà une leçon chez nous</w:t>
      </w:r>
    </w:p>
    <w:p>
      <w:pPr>
        <w:pStyle w:val="BodyText"/>
        <w:bidi w:val="0"/>
        <w:jc w:val="left"/>
        <w:rPr/>
      </w:pPr>
      <w:r>
        <w:rPr/>
        <w:t>Nous n'avons rien demandé, et pourtant l'hydroélectricité réunionnaise est déjà en ligne sur EleveAI, accessible et manipulable par les élèves de l'île. Trois contenus sont déjà publiés 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Un simulateur interactif</w:t>
      </w:r>
      <w:r>
        <w:rPr/>
        <w:t xml:space="preserve"> (eleveai.fr/simulateur-barrage), inspiré de l'hydroélectricité de montagne, dont la centrale de </w:t>
      </w:r>
      <w:r>
        <w:rPr>
          <w:b/>
        </w:rPr>
        <w:t>Takamaka</w:t>
      </w:r>
      <w:r>
        <w:rPr/>
        <w:t xml:space="preserve"> sur la Rivière des Marsouins à Saint-Benoît, que vous exploitez. L'élève règle un curseur (le débit turbiné) et voit la puissance se calculer en direct, formule affichée en clair : </w:t>
      </w:r>
      <w:r>
        <w:rPr>
          <w:b/>
        </w:rPr>
        <w:t>puissance = 8 × débit × chute</w:t>
      </w:r>
      <w:r>
        <w:rPr/>
        <w:t xml:space="preserve">. Le simulateur insiste, chiffres à l'appui, sur le fait que l'eau est rendue intacte à la rivière : « on emprunte sa chute, pas sa vie ». Les valeurs qu'il utilise aujourd'hui sont des ordres de grandeur pédagogiques, que vos données réelles rendraient exacts.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Un schéma animé</w:t>
      </w:r>
      <w:r>
        <w:rPr/>
        <w:t xml:space="preserve"> en coupe du barrage (dessin de Frédéric, avec une animation où l'eau suit la conduite forcée jusqu'à la turbine), en tête de la Une.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>
          <w:b/>
        </w:rPr>
        <w:t>Un épisode vidéo « en vrai »</w:t>
      </w:r>
      <w:r>
        <w:rPr/>
        <w:t xml:space="preserve"> sur l'eau de La Réunion : de l'évaporation à l'effet de foehn, jusqu'à la centrale hydroélectrique. </w:t>
      </w:r>
    </w:p>
    <w:p>
      <w:pPr>
        <w:pStyle w:val="BodyText"/>
        <w:bidi w:val="0"/>
        <w:jc w:val="left"/>
        <w:rPr/>
      </w:pPr>
      <w:r>
        <w:rPr/>
        <w:t xml:space="preserve">Ces pages sont aujourd'hui volontairement </w:t>
      </w:r>
      <w:r>
        <w:rPr>
          <w:b/>
        </w:rPr>
        <w:t>sans logo ni marque</w:t>
      </w:r>
      <w:r>
        <w:rPr/>
        <w:t xml:space="preserve"> (« procédé public, inspiré des centrales de Takamaka »). Un partenariat permettrait précisément de créditer EDF comme partenaire, tout en fiabilisant les chiffres.</w:t>
      </w:r>
    </w:p>
    <w:p>
      <w:pPr>
        <w:pStyle w:val="Heading2"/>
        <w:bidi w:val="0"/>
        <w:jc w:val="left"/>
        <w:rPr/>
      </w:pPr>
      <w:r>
        <w:rPr/>
        <w:t>Ce que nous proposons</w:t>
      </w:r>
    </w:p>
    <w:p>
      <w:pPr>
        <w:pStyle w:val="BodyText"/>
        <w:bidi w:val="0"/>
        <w:jc w:val="left"/>
        <w:rPr/>
      </w:pPr>
      <w:r>
        <w:rPr/>
        <w:t xml:space="preserve">Un </w:t>
      </w:r>
      <w:r>
        <w:rPr>
          <w:b/>
        </w:rPr>
        <w:t>partenariat éditorial</w:t>
      </w:r>
      <w:r>
        <w:rPr/>
        <w:t>. Votre métier — l'énergie, les barrages, la transition en zone non interconnectée — devient un contenu pédagogique que les élèves manipulent. Concrètement, un ou plusieurs de ces formats à partir de votre réel 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un </w:t>
      </w:r>
      <w:r>
        <w:rPr>
          <w:b/>
        </w:rPr>
        <w:t>article</w:t>
      </w:r>
      <w:r>
        <w:rPr/>
        <w:t xml:space="preserve"> de vulgarisation (la centrale, la chaîne de l'énergie, la ZNI) 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une </w:t>
      </w:r>
      <w:r>
        <w:rPr>
          <w:b/>
        </w:rPr>
        <w:t>simulation</w:t>
      </w:r>
      <w:r>
        <w:rPr/>
        <w:t xml:space="preserve"> affinée avec vos vrais chiffres 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un </w:t>
      </w:r>
      <w:r>
        <w:rPr>
          <w:b/>
        </w:rPr>
        <w:t>défi</w:t>
      </w:r>
      <w:r>
        <w:rPr/>
        <w:t xml:space="preserve"> chiffré que l'élève résout et que la page vérifie 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une </w:t>
      </w:r>
      <w:r>
        <w:rPr>
          <w:b/>
        </w:rPr>
        <w:t>vidéo « en vrai »</w:t>
      </w:r>
      <w:r>
        <w:rPr/>
        <w:t xml:space="preserve"> qui montre la physique de la chute d'eau, une installation réelle servant d'exemple. </w:t>
      </w:r>
    </w:p>
    <w:p>
      <w:pPr>
        <w:pStyle w:val="Heading2"/>
        <w:bidi w:val="0"/>
        <w:jc w:val="left"/>
        <w:rPr/>
      </w:pPr>
      <w:r>
        <w:rPr/>
        <w:t>Ce que nous demandons</w:t>
      </w:r>
    </w:p>
    <w:p>
      <w:pPr>
        <w:pStyle w:val="BodyText"/>
        <w:bidi w:val="0"/>
        <w:jc w:val="left"/>
        <w:rPr/>
      </w:pPr>
      <w:r>
        <w:rPr/>
        <w:t xml:space="preserve">Pas d'argent. L'accès au </w:t>
      </w:r>
      <w:r>
        <w:rPr>
          <w:b/>
        </w:rPr>
        <w:t>réel</w:t>
      </w:r>
      <w:r>
        <w:rPr/>
        <w:t xml:space="preserve"> 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les </w:t>
      </w:r>
      <w:r>
        <w:rPr>
          <w:b/>
        </w:rPr>
        <w:t>vrais chiffres</w:t>
      </w:r>
      <w:r>
        <w:rPr/>
        <w:t xml:space="preserve"> d'une centrale — débit, hauteur de chute, puissance (Takamaka ou la Rivière de l'Est) — pour remplacer nos ordres de grandeur pédagogiques par des données exactes 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si possible, une </w:t>
      </w:r>
      <w:r>
        <w:rPr>
          <w:b/>
        </w:rPr>
        <w:t>visite</w:t>
      </w:r>
      <w:r>
        <w:rPr/>
        <w:t xml:space="preserve"> de site — vous ouvrez déjà des barrages aux scolaires ailleurs en France 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>l'</w:t>
      </w:r>
      <w:r>
        <w:rPr>
          <w:b/>
        </w:rPr>
        <w:t>expertise d'un ingénieur</w:t>
      </w:r>
      <w:r>
        <w:rPr/>
        <w:t xml:space="preserve"> pour vérifier l'exactitude de ce que nous publions. </w:t>
      </w:r>
    </w:p>
    <w:p>
      <w:pPr>
        <w:pStyle w:val="Heading2"/>
        <w:bidi w:val="0"/>
        <w:jc w:val="left"/>
        <w:rPr/>
      </w:pPr>
      <w:r>
        <w:rPr/>
        <w:t>Ce qu'EDF y gagne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La transmission aux jeunes de l'île</w:t>
      </w:r>
      <w:r>
        <w:rPr/>
        <w:t xml:space="preserve"> : votre métier compris et refait par les élèves qui grandissent ici, une trace concrète de votre présence éducative sur le territoire.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La transition énergétique expliquée simplement</w:t>
      </w:r>
      <w:r>
        <w:rPr/>
        <w:t xml:space="preserve"> : l'hydroélectricité comme énergie renouvelable qui ne consomme pas l'eau, dans une île à environ 92 % d'électricité renouvelable en 2024, visant 100 %.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>
          <w:b/>
        </w:rPr>
        <w:t>Un ancrage territorial réel</w:t>
      </w:r>
      <w:r>
        <w:rPr/>
        <w:t xml:space="preserve">, cohérent avec un engagement éducatif de terrain — sans que le contenu devienne un support de communication. </w:t>
      </w:r>
    </w:p>
    <w:p>
      <w:pPr>
        <w:pStyle w:val="Heading2"/>
        <w:bidi w:val="0"/>
        <w:jc w:val="left"/>
        <w:rPr/>
      </w:pPr>
      <w:r>
        <w:rPr/>
        <w:t>Le cadre, noir sur blanc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Gratuit des deux côtés.</w:t>
      </w:r>
      <w:r>
        <w:rPr/>
        <w:t xml:space="preserve"> Personne ne paie personne.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Pédagogie d'abord.</w:t>
      </w:r>
      <w:r>
        <w:rPr/>
        <w:t xml:space="preserve"> Le contenu sert l'élève. EleveAI garde la main éditoriale : le choix du sujet, le ton et l'angle restent à EleveAI.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Validation bornée à l'exactitude.</w:t>
      </w:r>
      <w:r>
        <w:rPr/>
        <w:t xml:space="preserve"> EDF vérifie uniquement l'exactitude factuelle des données qui la concernent, avant publication, et peut demander une correction ou un retrait à tout moment.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>
          <w:b/>
        </w:rPr>
        <w:t>Jamais de publicité.</w:t>
      </w:r>
      <w:r>
        <w:rPr/>
        <w:t xml:space="preserve"> Aucun encart, aucun sponsoring payant, aucun habillage de marque. La promesse « gratuit, sans publicité » est notre crédibilité.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>
          <w:b/>
        </w:rPr>
        <w:t>EDF créditée comme partenaire, pas comme annonceur.</w:t>
      </w:r>
      <w:r>
        <w:rPr/>
        <w:t xml:space="preserve"> Le crédit prend la forme d'une mention pédagogique discrète (« données vérifiées avec EDF ») — jamais un logo-bandeau ni un encart sur une page manipulée par des élèves. </w:t>
      </w:r>
    </w:p>
    <w:p>
      <w:pPr>
        <w:pStyle w:val="Heading2"/>
        <w:bidi w:val="0"/>
        <w:jc w:val="left"/>
        <w:rPr/>
      </w:pPr>
      <w:r>
        <w:rPr/>
        <w:t>La suite</w:t>
      </w:r>
    </w:p>
    <w:p>
      <w:pPr>
        <w:pStyle w:val="BodyText"/>
        <w:bidi w:val="0"/>
        <w:jc w:val="left"/>
        <w:rPr/>
      </w:pPr>
      <w:r>
        <w:rPr/>
        <w:t xml:space="preserve">Une étape simple, si le principe vous convient : </w:t>
      </w:r>
      <w:r>
        <w:rPr>
          <w:b/>
        </w:rPr>
        <w:t>un échange de 20 minutes</w:t>
      </w:r>
      <w:r>
        <w:rPr/>
        <w:t>, et idéalement une mise en relation avec l'ingénieur responsable de Takamaka pour vérifier ensemble trois chiffres (débit, chute, puissance). Nous corrigeons nos pages dans la foulée.</w:t>
      </w:r>
    </w:p>
    <w:p>
      <w:pPr>
        <w:pStyle w:val="Corpsdetextecontact"/>
        <w:bidi w:val="0"/>
        <w:spacing w:before="280" w:after="80"/>
        <w:jc w:val="left"/>
        <w:rPr/>
      </w:pPr>
      <w:r>
        <w:rPr>
          <w:b/>
        </w:rPr>
        <w:t>Contact EleveAI</w:t>
      </w:r>
      <w:r>
        <w:rPr/>
        <w:t xml:space="preserve"> — Frédéric Lacoste, professeur de mathématiques</w:t>
        <w:br/>
        <w:t>academienumerique@gmail.com  ·  eleveai.fr  ·  06 92 74 29 58</w:t>
      </w:r>
    </w:p>
    <w:sectPr>
      <w:type w:val="nextPage"/>
      <w:pgSz w:w="11906" w:h="16838"/>
      <w:pgMar w:left="1134" w:right="1134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Arial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Arial;sans-serif" w:hAnsi="Calibri;Arial;sans-serif" w:eastAsia="Calibri;Arial;sans-serif" w:cs="Calibri;Arial;sans-serif"/>
      <w:color w:val="24303A"/>
      <w:sz w:val="22"/>
      <w:szCs w:val="22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lineRule="auto" w:line="274" w:before="240" w:after="40"/>
    </w:pPr>
    <w:rPr>
      <w:b/>
      <w:bCs/>
      <w:color w:val="0F5C52"/>
      <w:sz w:val="38"/>
      <w:szCs w:val="38"/>
    </w:rPr>
  </w:style>
  <w:style w:type="paragraph" w:styleId="Heading2">
    <w:name w:val="heading 2"/>
    <w:basedOn w:val="Titre"/>
    <w:next w:val="BodyText"/>
    <w:qFormat/>
    <w:pPr>
      <w:pBdr>
        <w:bottom w:val="single" w:sz="2" w:space="2" w:color="CFE0DC"/>
      </w:pBdr>
      <w:spacing w:before="300" w:after="80"/>
      <w:ind w:left="300" w:right="300"/>
      <w:outlineLvl w:val="1"/>
    </w:pPr>
    <w:rPr>
      <w:rFonts w:ascii="Liberation Serif" w:hAnsi="Liberation Serif" w:eastAsia="NSimSun" w:cs="Lucida Sans"/>
      <w:b/>
      <w:bCs/>
      <w:color w:val="0F5C52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strike w:val="false"/>
      <w:dstrike w:val="false"/>
      <w:color w:val="0F5C52"/>
      <w:u w:val="none"/>
      <w:effect w:val="none"/>
    </w:rPr>
  </w:style>
  <w:style w:type="character" w:styleId="Strong">
    <w:name w:val="Strong"/>
    <w:qFormat/>
    <w:rPr>
      <w:b/>
      <w:bCs/>
      <w:color w:val="17303A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0F5C52"/>
      <w:u w:val="none"/>
      <w:effect w:val="none"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80" w:after="80"/>
      <w:ind w:left="80" w:right="80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orpsdetextesub">
    <w:name w:val="Corps de texte.sub"/>
    <w:basedOn w:val="BodyText"/>
    <w:qFormat/>
    <w:pPr>
      <w:spacing w:before="80" w:after="20"/>
    </w:pPr>
    <w:rPr>
      <w:color w:val="3A4A55"/>
      <w:sz w:val="21"/>
      <w:szCs w:val="21"/>
    </w:rPr>
  </w:style>
  <w:style w:type="paragraph" w:styleId="Corpsdetextedest">
    <w:name w:val="Corps de texte.dest"/>
    <w:basedOn w:val="BodyText"/>
    <w:qFormat/>
    <w:pPr>
      <w:spacing w:before="40" w:after="40"/>
      <w:ind w:left="40" w:right="40"/>
    </w:pPr>
    <w:rPr>
      <w:i/>
      <w:iCs/>
      <w:color w:val="55707A"/>
      <w:sz w:val="21"/>
      <w:szCs w:val="21"/>
    </w:rPr>
  </w:style>
  <w:style w:type="paragraph" w:styleId="Corpsdetextecontact">
    <w:name w:val="Corps de texte.contact"/>
    <w:basedOn w:val="BodyText"/>
    <w:qFormat/>
    <w:pPr>
      <w:pBdr>
        <w:top w:val="single" w:sz="2" w:space="8" w:color="CFE0DC"/>
      </w:pBdr>
      <w:spacing w:before="280" w:after="80"/>
    </w:pPr>
    <w:rPr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Dossier de partenariat EleveAI — EDF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