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jc w:val="center"/>
      </w:pPr>
      <w:r>
        <w:rPr>
          <w:rFonts w:ascii="Arial" w:cs="Arial" w:eastAsia="Arial" w:hAnsi="Arial"/>
          <w:b/>
          <w:bCs/>
          <w:color w:val="1B6CA8"/>
          <w:sz w:val="56"/>
          <w:szCs w:val="56"/>
        </w:rPr>
        <w:t xml:space="preserve">GPU Benchmark Analysis</w:t>
      </w:r>
    </w:p>
    <w:p>
      <w:pPr>
        <w:spacing w:after="80"/>
        <w:jc w:val="center"/>
      </w:pPr>
      <w:r>
        <w:rPr>
          <w:rFonts w:ascii="Arial" w:cs="Arial" w:eastAsia="Arial" w:hAnsi="Arial"/>
          <w:color w:val="555555"/>
          <w:sz w:val="26"/>
          <w:szCs w:val="26"/>
        </w:rPr>
        <w:t xml:space="preserve">GB10 DGX Spark  |  RTX 3050  |  RTX 4090  |  RTX 5060</w:t>
      </w:r>
    </w:p>
    <w:p>
      <w:pPr>
        <w:spacing w:after="320"/>
        <w:jc w:val="center"/>
      </w:pPr>
      <w:r>
        <w:rPr>
          <w:rFonts w:ascii="Arial" w:cs="Arial" w:eastAsia="Arial" w:hAnsi="Arial"/>
          <w:i/>
          <w:iCs/>
          <w:color w:val="888888"/>
          <w:sz w:val="22"/>
          <w:szCs w:val="22"/>
        </w:rPr>
        <w:t xml:space="preserve">Benchmarked April 12–13, 2026  •  AI/ML Workload Focus  •  Buyer’s Guide</w:t>
      </w:r>
    </w:p>
    <w:p>
      <w:pPr>
        <w:pStyle w:val="Heading1"/>
      </w:pPr>
      <w:r>
        <w:rPr>
          <w:rFonts w:ascii="Arial" w:cs="Arial" w:eastAsia="Arial" w:hAnsi="Arial"/>
          <w:b/>
          <w:bCs/>
          <w:sz w:val="36"/>
          <w:szCs w:val="36"/>
        </w:rPr>
        <w:t xml:space="preserve">Executive Summary</w:t>
      </w:r>
    </w:p>
    <w:p>
      <w:pPr>
        <w:spacing w:after="120"/>
      </w:pPr>
      <w:r>
        <w:rPr>
          <w:rFonts w:ascii="Arial" w:cs="Arial" w:eastAsia="Arial" w:hAnsi="Arial"/>
          <w:sz w:val="22"/>
          <w:szCs w:val="22"/>
        </w:rPr>
        <w:t xml:space="preserve">This report analyses benchmark data collected across four GPUs: the </w:t>
      </w:r>
      <w:r>
        <w:rPr>
          <w:rFonts w:ascii="Arial" w:cs="Arial" w:eastAsia="Arial" w:hAnsi="Arial"/>
          <w:b/>
          <w:bCs/>
          <w:sz w:val="22"/>
          <w:szCs w:val="22"/>
        </w:rPr>
        <w:t xml:space="preserve">NVIDIA GB10 in the DGX Spark</w:t>
      </w:r>
      <w:r>
        <w:rPr>
          <w:rFonts w:ascii="Arial" w:cs="Arial" w:eastAsia="Arial" w:hAnsi="Arial"/>
          <w:sz w:val="22"/>
          <w:szCs w:val="22"/>
        </w:rPr>
        <w:t xml:space="preserve"> ($3,999), the </w:t>
      </w:r>
      <w:r>
        <w:rPr>
          <w:rFonts w:ascii="Arial" w:cs="Arial" w:eastAsia="Arial" w:hAnsi="Arial"/>
          <w:b/>
          <w:bCs/>
          <w:sz w:val="22"/>
          <w:szCs w:val="22"/>
        </w:rPr>
        <w:t xml:space="preserve">RTX 4090</w:t>
      </w:r>
      <w:r>
        <w:rPr>
          <w:rFonts w:ascii="Arial" w:cs="Arial" w:eastAsia="Arial" w:hAnsi="Arial"/>
          <w:sz w:val="22"/>
          <w:szCs w:val="22"/>
        </w:rPr>
        <w:t xml:space="preserve"> ($1,500–1,700 street), the </w:t>
      </w:r>
      <w:r>
        <w:rPr>
          <w:rFonts w:ascii="Arial" w:cs="Arial" w:eastAsia="Arial" w:hAnsi="Arial"/>
          <w:b/>
          <w:bCs/>
          <w:sz w:val="22"/>
          <w:szCs w:val="22"/>
        </w:rPr>
        <w:t xml:space="preserve">RTX 5060</w:t>
      </w:r>
      <w:r>
        <w:rPr>
          <w:rFonts w:ascii="Arial" w:cs="Arial" w:eastAsia="Arial" w:hAnsi="Arial"/>
          <w:sz w:val="22"/>
          <w:szCs w:val="22"/>
        </w:rPr>
        <w:t xml:space="preserve"> ($299 MSRP), and the </w:t>
      </w:r>
      <w:r>
        <w:rPr>
          <w:rFonts w:ascii="Arial" w:cs="Arial" w:eastAsia="Arial" w:hAnsi="Arial"/>
          <w:b/>
          <w:bCs/>
          <w:sz w:val="22"/>
          <w:szCs w:val="22"/>
        </w:rPr>
        <w:t xml:space="preserve">RTX 3050 OEM</w:t>
      </w:r>
      <w:r>
        <w:rPr>
          <w:rFonts w:ascii="Arial" w:cs="Arial" w:eastAsia="Arial" w:hAnsi="Arial"/>
          <w:sz w:val="22"/>
          <w:szCs w:val="22"/>
        </w:rPr>
        <w:t xml:space="preserve"> (entry-level, ~$150–200 used). Benchmarks cover matrix multiplication (FP4 through FP32), ResNet-50 image inference, GPT-2 scale transformer inference, and memory bandwidth across small, medium, and large workloads.</w:t>
      </w:r>
    </w:p>
    <w:p>
      <w:pPr>
        <w:spacing w:after="120"/>
      </w:pPr>
      <w:r>
        <w:rPr>
          <w:rFonts w:ascii="Arial" w:cs="Arial" w:eastAsia="Arial" w:hAnsi="Arial"/>
          <w:sz w:val="22"/>
          <w:szCs w:val="22"/>
        </w:rPr>
        <w:t xml:space="preserve">The most stable and comparable metric across all four GPUs is </w:t>
      </w:r>
      <w:r>
        <w:rPr>
          <w:rFonts w:ascii="Arial" w:cs="Arial" w:eastAsia="Arial" w:hAnsi="Arial"/>
          <w:b/>
          <w:bCs/>
          <w:sz w:val="22"/>
          <w:szCs w:val="22"/>
        </w:rPr>
        <w:t xml:space="preserve">GPU FP16 TFLOPS on large matrix multiplication (8192×8192)</w:t>
      </w:r>
      <w:r>
        <w:rPr>
          <w:rFonts w:ascii="Arial" w:cs="Arial" w:eastAsia="Arial" w:hAnsi="Arial"/>
          <w:sz w:val="22"/>
          <w:szCs w:val="22"/>
        </w:rPr>
        <w:t xml:space="preserve">, as this saturates the GPU’s tensor cores at a scale that reveals sustained throughput rather than launch latency. For practical AI workloads, </w:t>
      </w:r>
      <w:r>
        <w:rPr>
          <w:rFonts w:ascii="Arial" w:cs="Arial" w:eastAsia="Arial" w:hAnsi="Arial"/>
          <w:b/>
          <w:bCs/>
          <w:sz w:val="22"/>
          <w:szCs w:val="22"/>
        </w:rPr>
        <w:t xml:space="preserve">FP16 transformer tokens/second at seq=2048</w:t>
      </w:r>
      <w:r>
        <w:rPr>
          <w:rFonts w:ascii="Arial" w:cs="Arial" w:eastAsia="Arial" w:hAnsi="Arial"/>
          <w:sz w:val="22"/>
          <w:szCs w:val="22"/>
        </w:rPr>
        <w:t xml:space="preserve"> is the best single metric for real-world local inference speed.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B6CA8" w:sz="12"/>
              <w:bottom w:val="single" w:color="CCCCCC" w:sz="1"/>
              <w:right w:val="single" w:color="CCCCCC" w:sz="1"/>
            </w:tcBorders>
            <w:shd w:fill="D5E8F0" w:val="clear"/>
            <w:tcMar>
              <w:top w:type="dxa" w:w="120"/>
              <w:left w:type="dxa" w:w="240"/>
              <w:bottom w:type="dxa" w:w="120"/>
              <w:right w:type="dxa" w:w="240"/>
            </w:tcMar>
          </w:tcPr>
          <w:p>
            <w:pPr>
              <w:spacing w:after="80"/>
            </w:pPr>
            <w:r>
              <w:rPr>
                <w:rFonts w:ascii="Arial" w:cs="Arial" w:eastAsia="Arial" w:hAnsi="Arial"/>
                <w:b/>
                <w:bCs/>
                <w:color w:val="1B6CA8"/>
                <w:sz w:val="24"/>
                <w:szCs w:val="24"/>
              </w:rPr>
              <w:t xml:space="preserve">Key Findings at a Glance</w:t>
            </w:r>
          </w:p>
          <w:p>
            <w:pPr>
              <w:spacing w:after="60"/>
            </w:pPr>
            <w:r>
              <w:rPr>
                <w:rFonts w:ascii="Arial" w:cs="Arial" w:eastAsia="Arial" w:hAnsi="Arial"/>
                <w:sz w:val="22"/>
                <w:szCs w:val="22"/>
              </w:rPr>
              <w:t xml:space="preserve">• RTX 4090 is the dominant GPU for AI throughput at the consumer level, leading all benchmarks at medium/large scale.</w:t>
            </w:r>
          </w:p>
          <w:p>
            <w:pPr>
              <w:spacing w:after="60"/>
            </w:pPr>
            <w:r>
              <w:rPr>
                <w:rFonts w:ascii="Arial" w:cs="Arial" w:eastAsia="Arial" w:hAnsi="Arial"/>
                <w:sz w:val="22"/>
                <w:szCs w:val="22"/>
              </w:rPr>
              <w:t xml:space="preserve">• RTX 5060 punches well above its $299 price: outperforms the GB10 on transformer inference, matches the 4090 on small-batch CNN.</w:t>
            </w:r>
          </w:p>
          <w:p>
            <w:pPr>
              <w:spacing w:after="60"/>
            </w:pPr>
            <w:r>
              <w:rPr>
                <w:rFonts w:ascii="Arial" w:cs="Arial" w:eastAsia="Arial" w:hAnsi="Arial"/>
                <w:sz w:val="22"/>
                <w:szCs w:val="22"/>
              </w:rPr>
              <w:t xml:space="preserve">• GB10 DGX Spark is not a fast GPU—it is a large-memory platform. Its 128 GB unified pool enables model sizes no consumer GPU can run.</w:t>
            </w:r>
          </w:p>
          <w:p>
            <w:pPr>
              <w:spacing w:after="60"/>
            </w:pPr>
            <w:r>
              <w:rPr>
                <w:rFonts w:ascii="Arial" w:cs="Arial" w:eastAsia="Arial" w:hAnsi="Arial"/>
                <w:sz w:val="22"/>
                <w:szCs w:val="22"/>
              </w:rPr>
              <w:t xml:space="preserve">• RTX 3050 shows two surprises: its D2D bandwidth collapses at large sizes (22 GB/s vs. expected 77 GB/s), and its CNN throughput surprisingly holds up better than its matmul numbers suggest.</w:t>
            </w:r>
          </w:p>
          <w:p>
            <w:pPr>
              <w:spacing w:after="0"/>
            </w:pPr>
            <w:r>
              <w:rPr>
                <w:rFonts w:ascii="Arial" w:cs="Arial" w:eastAsia="Arial" w:hAnsi="Arial"/>
                <w:sz w:val="22"/>
                <w:szCs w:val="22"/>
              </w:rPr>
              <w:t xml:space="preserve">• FP4 on the RTX 5060 and GB10 represents a genuine 2× leap over FP8 at large matrix sizes—Blackwell’s headline feature delivers.</w:t>
            </w:r>
          </w:p>
        </w:tc>
      </w:tr>
    </w:tbl>
    <w:p>
      <w:pPr>
        <w:spacing w:after="80"/>
      </w:pPr>
      <w:r>
        <w:t xml:space="preserve"/>
      </w:r>
    </w:p>
    <w:p>
      <w:pPr>
        <w:pStyle w:val="Heading1"/>
      </w:pPr>
      <w:r>
        <w:rPr>
          <w:rFonts w:ascii="Arial" w:cs="Arial" w:eastAsia="Arial" w:hAnsi="Arial"/>
          <w:b/>
          <w:bCs/>
          <w:sz w:val="36"/>
          <w:szCs w:val="36"/>
        </w:rPr>
        <w:t xml:space="preserve">Devices Under Test</w:t>
      </w:r>
    </w:p>
    <w:p>
      <w:pPr>
        <w:spacing w:after="120"/>
      </w:pPr>
      <w:r>
        <w:rPr>
          <w:rFonts w:ascii="Arial" w:cs="Arial" w:eastAsia="Arial" w:hAnsi="Arial"/>
          <w:sz w:val="22"/>
          <w:szCs w:val="22"/>
        </w:rPr>
        <w:t xml:space="preserve">The four GPUs represent very different market positions and architectural generations: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90"/>
        <w:gridCol w:w="1790"/>
        <w:gridCol w:w="1790"/>
        <w:gridCol w:w="1790"/>
      </w:tblGrid>
      <w:tr>
        <w:trPr>
          <w:tblHeader/>
        </w:trPr>
        <w:tc>
          <w:tcPr>
            <w:tcW w:type="dxa" w:w="2200"/>
            <w:tcBorders>
              <w:top w:val="single" w:color="CCCCCC" w:sz="1"/>
              <w:left w:val="single" w:color="CCCCCC" w:sz="1"/>
              <w:bottom w:val="single" w:color="CCCCCC" w:sz="1"/>
              <w:right w:val="single" w:color="CCCCCC" w:sz="1"/>
            </w:tcBorders>
            <w:shd w:fill="1B6C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w:r>
          </w:p>
        </w:tc>
        <w:tc>
          <w:tcPr>
            <w:tcW w:type="dxa" w:w="1790"/>
            <w:tcBorders>
              <w:top w:val="single" w:color="CCCCCC" w:sz="1"/>
              <w:left w:val="single" w:color="CCCCCC" w:sz="1"/>
              <w:bottom w:val="single" w:color="CCCCCC" w:sz="1"/>
              <w:right w:val="single" w:color="CCCCCC" w:sz="1"/>
            </w:tcBorders>
            <w:shd w:fill="1B6C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GB10 / DGX Spark</w:t>
            </w:r>
          </w:p>
        </w:tc>
        <w:tc>
          <w:tcPr>
            <w:tcW w:type="dxa" w:w="1790"/>
            <w:tcBorders>
              <w:top w:val="single" w:color="CCCCCC" w:sz="1"/>
              <w:left w:val="single" w:color="CCCCCC" w:sz="1"/>
              <w:bottom w:val="single" w:color="CCCCCC" w:sz="1"/>
              <w:right w:val="single" w:color="CCCCCC" w:sz="1"/>
            </w:tcBorders>
            <w:shd w:fill="1B6C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RTX 3050 OEM</w:t>
            </w:r>
          </w:p>
        </w:tc>
        <w:tc>
          <w:tcPr>
            <w:tcW w:type="dxa" w:w="1790"/>
            <w:tcBorders>
              <w:top w:val="single" w:color="CCCCCC" w:sz="1"/>
              <w:left w:val="single" w:color="CCCCCC" w:sz="1"/>
              <w:bottom w:val="single" w:color="CCCCCC" w:sz="1"/>
              <w:right w:val="single" w:color="CCCCCC" w:sz="1"/>
            </w:tcBorders>
            <w:shd w:fill="1B6C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RTX 4090</w:t>
            </w:r>
          </w:p>
        </w:tc>
        <w:tc>
          <w:tcPr>
            <w:tcW w:type="dxa" w:w="1790"/>
            <w:tcBorders>
              <w:top w:val="single" w:color="CCCCCC" w:sz="1"/>
              <w:left w:val="single" w:color="CCCCCC" w:sz="1"/>
              <w:bottom w:val="single" w:color="CCCCCC" w:sz="1"/>
              <w:right w:val="single" w:color="CCCCCC" w:sz="1"/>
            </w:tcBorders>
            <w:shd w:fill="1B6C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RTX 5060</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Architecture</w:t>
            </w:r>
          </w:p>
        </w:tc>
        <w:tc>
          <w:tcPr>
            <w:tcW w:type="dxa" w:w="17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Blackwell (GB10)</w:t>
            </w:r>
          </w:p>
        </w:tc>
        <w:tc>
          <w:tcPr>
            <w:tcW w:type="dxa" w:w="17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Ampere</w:t>
            </w:r>
          </w:p>
        </w:tc>
        <w:tc>
          <w:tcPr>
            <w:tcW w:type="dxa" w:w="17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Ada Lovelace</w:t>
            </w:r>
          </w:p>
        </w:tc>
        <w:tc>
          <w:tcPr>
            <w:tcW w:type="dxa" w:w="17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Blackwell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Memory</w:t>
            </w:r>
          </w:p>
        </w:tc>
        <w:tc>
          <w:tcPr>
            <w:tcW w:type="dxa" w:w="17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128 GB LPDDR5X (unified)</w:t>
            </w:r>
          </w:p>
        </w:tc>
        <w:tc>
          <w:tcPr>
            <w:tcW w:type="dxa" w:w="17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8 GB GDDR6</w:t>
            </w:r>
          </w:p>
        </w:tc>
        <w:tc>
          <w:tcPr>
            <w:tcW w:type="dxa" w:w="17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24 GB GDDR6X</w:t>
            </w:r>
          </w:p>
        </w:tc>
        <w:tc>
          <w:tcPr>
            <w:tcW w:type="dxa" w:w="17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8 GB GDDR7</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Approx. Price</w:t>
            </w:r>
          </w:p>
        </w:tc>
        <w:tc>
          <w:tcPr>
            <w:tcW w:type="dxa" w:w="17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$3,999</w:t>
            </w:r>
          </w:p>
        </w:tc>
        <w:tc>
          <w:tcPr>
            <w:tcW w:type="dxa" w:w="17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~$150–200 used</w:t>
            </w:r>
          </w:p>
        </w:tc>
        <w:tc>
          <w:tcPr>
            <w:tcW w:type="dxa" w:w="17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$1,500–1,700</w:t>
            </w:r>
          </w:p>
        </w:tc>
        <w:tc>
          <w:tcPr>
            <w:tcW w:type="dxa" w:w="17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$299 MSRP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TDP</w:t>
            </w:r>
          </w:p>
        </w:tc>
        <w:tc>
          <w:tcPr>
            <w:tcW w:type="dxa" w:w="17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140 W (SoC)</w:t>
            </w:r>
          </w:p>
        </w:tc>
        <w:tc>
          <w:tcPr>
            <w:tcW w:type="dxa" w:w="17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108 W</w:t>
            </w:r>
          </w:p>
        </w:tc>
        <w:tc>
          <w:tcPr>
            <w:tcW w:type="dxa" w:w="17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450 W</w:t>
            </w:r>
          </w:p>
        </w:tc>
        <w:tc>
          <w:tcPr>
            <w:tcW w:type="dxa" w:w="17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145 W</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Low-Precision Support</w:t>
            </w:r>
          </w:p>
        </w:tc>
        <w:tc>
          <w:tcPr>
            <w:tcW w:type="dxa" w:w="17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FP32/FP16/FP8/FP4</w:t>
            </w:r>
          </w:p>
        </w:tc>
        <w:tc>
          <w:tcPr>
            <w:tcW w:type="dxa" w:w="17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FP32/FP16 only</w:t>
            </w:r>
          </w:p>
        </w:tc>
        <w:tc>
          <w:tcPr>
            <w:tcW w:type="dxa" w:w="17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FP32/FP16/FP8</w:t>
            </w:r>
          </w:p>
        </w:tc>
        <w:tc>
          <w:tcPr>
            <w:tcW w:type="dxa" w:w="17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FP32/FP16/FP8/FP4</w:t>
            </w:r>
          </w:p>
        </w:tc>
      </w:tr>
    </w:tbl>
    <w:p>
      <w:pPr>
        <w:spacing w:after="80"/>
      </w:pPr>
      <w:r>
        <w:t xml:space="preserve"/>
      </w:r>
    </w:p>
    <w:p>
      <w:pPr>
        <w:spacing w:after="100"/>
      </w:pPr>
      <w:r>
        <w:rPr>
          <w:rFonts w:ascii="Arial" w:cs="Arial" w:eastAsia="Arial" w:hAnsi="Arial"/>
          <w:i/>
          <w:iCs/>
          <w:color w:val="666666"/>
          <w:sz w:val="18"/>
          <w:szCs w:val="18"/>
        </w:rPr>
        <w:t xml:space="preserve">GB10 is an SoC (integrated CPU+GPU) on TSMC 3nm. RTX 4090 is the Ada Lovelace flagship. RTX 5060 is a Blackwell mid-range at $299. RTX 3050 OEM is Ampere entry-level.</w:t>
      </w:r>
    </w:p>
    <w:p>
      <w:pPr>
        <w:spacing w:after="80"/>
      </w:pPr>
      <w:r>
        <w:t xml:space="preserve"/>
      </w:r>
    </w:p>
    <w:p>
      <w:pPr>
        <w:pStyle w:val="Heading1"/>
      </w:pPr>
      <w:r>
        <w:rPr>
          <w:rFonts w:ascii="Arial" w:cs="Arial" w:eastAsia="Arial" w:hAnsi="Arial"/>
          <w:b/>
          <w:bCs/>
          <w:sz w:val="36"/>
          <w:szCs w:val="36"/>
        </w:rPr>
        <w:t xml:space="preserve">Benchmark Methodology</w:t>
      </w:r>
    </w:p>
    <w:p>
      <w:pPr>
        <w:spacing w:after="120"/>
      </w:pPr>
      <w:r>
        <w:rPr>
          <w:rFonts w:ascii="Arial" w:cs="Arial" w:eastAsia="Arial" w:hAnsi="Arial"/>
          <w:sz w:val="22"/>
          <w:szCs w:val="22"/>
        </w:rPr>
        <w:t xml:space="preserve">All benchmarks were run with the mlmark tool on April 12–13, 2026. Three workload tiers are used:</w:t>
      </w:r>
    </w:p>
    <w:p>
      <w:pPr>
        <w:spacing w:after="120"/>
      </w:pPr>
      <w:r>
        <w:rPr>
          <w:rFonts w:ascii="Arial" w:cs="Arial" w:eastAsia="Arial" w:hAnsi="Arial"/>
          <w:b/>
          <w:bCs/>
          <w:sz w:val="22"/>
          <w:szCs w:val="22"/>
        </w:rPr>
        <w:t xml:space="preserve">Small: </w:t>
      </w:r>
      <w:r>
        <w:rPr>
          <w:rFonts w:ascii="Arial" w:cs="Arial" w:eastAsia="Arial" w:hAnsi="Arial"/>
          <w:sz w:val="22"/>
          <w:szCs w:val="22"/>
        </w:rPr>
        <w:t xml:space="preserve">matrix size 512, batch 8, seq 128. Good for launch-overhead and small-batch latency.</w:t>
      </w:r>
    </w:p>
    <w:p>
      <w:pPr>
        <w:spacing w:after="120"/>
      </w:pPr>
      <w:r>
        <w:rPr>
          <w:rFonts w:ascii="Arial" w:cs="Arial" w:eastAsia="Arial" w:hAnsi="Arial"/>
          <w:b/>
          <w:bCs/>
          <w:sz w:val="22"/>
          <w:szCs w:val="22"/>
        </w:rPr>
        <w:t xml:space="preserve">Medium: </w:t>
      </w:r>
      <w:r>
        <w:rPr>
          <w:rFonts w:ascii="Arial" w:cs="Arial" w:eastAsia="Arial" w:hAnsi="Arial"/>
          <w:sz w:val="22"/>
          <w:szCs w:val="22"/>
        </w:rPr>
        <w:t xml:space="preserve">matrix size 2048, batch 32, seq 512. Representative of typical ML inference loops.</w:t>
      </w:r>
    </w:p>
    <w:p>
      <w:pPr>
        <w:spacing w:after="120"/>
      </w:pPr>
      <w:r>
        <w:rPr>
          <w:rFonts w:ascii="Arial" w:cs="Arial" w:eastAsia="Arial" w:hAnsi="Arial"/>
          <w:b/>
          <w:bCs/>
          <w:sz w:val="22"/>
          <w:szCs w:val="22"/>
        </w:rPr>
        <w:t xml:space="preserve">Large: </w:t>
      </w:r>
      <w:r>
        <w:rPr>
          <w:rFonts w:ascii="Arial" w:cs="Arial" w:eastAsia="Arial" w:hAnsi="Arial"/>
          <w:sz w:val="22"/>
          <w:szCs w:val="22"/>
        </w:rPr>
        <w:t xml:space="preserve">matrix size 8192, batch 128, seq 2048. Best for sustained throughput comparison; this is the most stable tier.</w:t>
      </w:r>
    </w:p>
    <w:p>
      <w:pPr>
        <w:spacing w:after="120"/>
      </w:pPr>
      <w:r>
        <w:rPr>
          <w:rFonts w:ascii="Arial" w:cs="Arial" w:eastAsia="Arial" w:hAnsi="Arial"/>
          <w:b/>
          <w:bCs/>
          <w:sz w:val="22"/>
          <w:szCs w:val="22"/>
        </w:rPr>
        <w:t xml:space="preserve">Primary comparison metric: </w:t>
      </w:r>
      <w:r>
        <w:rPr>
          <w:rFonts w:ascii="Arial" w:cs="Arial" w:eastAsia="Arial" w:hAnsi="Arial"/>
          <w:sz w:val="22"/>
          <w:szCs w:val="22"/>
        </w:rPr>
        <w:t xml:space="preserve">GPU FP16 TFLOPS at large-tier matrix multiplication (N=8192). </w:t>
      </w:r>
      <w:r>
        <w:rPr>
          <w:rFonts w:ascii="Arial" w:cs="Arial" w:eastAsia="Arial" w:hAnsi="Arial"/>
          <w:sz w:val="22"/>
          <w:szCs w:val="22"/>
        </w:rPr>
        <w:t xml:space="preserve">This metric is hardware-bound, reproducible, and not sensitive to batch-size tuning or kernel launch overhead. For AI inference applications, FP16 token generation rate at seq=2048 is used as the practical proxy.</w:t>
      </w:r>
    </w:p>
    <w:p>
      <w:pPr>
        <w:spacing w:after="80"/>
      </w:pPr>
      <w:r>
        <w:t xml:space="preserve"/>
      </w:r>
    </w:p>
    <w:p>
      <w:pPr>
        <w:pStyle w:val="Heading1"/>
      </w:pPr>
      <w:r>
        <w:rPr>
          <w:rFonts w:ascii="Arial" w:cs="Arial" w:eastAsia="Arial" w:hAnsi="Arial"/>
          <w:b/>
          <w:bCs/>
          <w:sz w:val="36"/>
          <w:szCs w:val="36"/>
        </w:rPr>
        <w:t xml:space="preserve">Matrix Multiplication Results (FP16 CUDA, TFLOPS)</w:t>
      </w:r>
    </w:p>
    <w:p>
      <w:pPr>
        <w:spacing w:after="120"/>
      </w:pPr>
      <w:r>
        <w:rPr>
          <w:rFonts w:ascii="Arial" w:cs="Arial" w:eastAsia="Arial" w:hAnsi="Arial"/>
          <w:sz w:val="22"/>
          <w:szCs w:val="22"/>
        </w:rPr>
        <w:t xml:space="preserve">The table below shows FP16 matrix multiplication throughput. Higher is better.</w:t>
      </w:r>
    </w:p>
    <w:p>
      <w:pPr>
        <w:spacing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rPr>
          <w:tblHeader/>
        </w:trPr>
        <w:tc>
          <w:tcPr>
            <w:tcW w:type="dxa" w:w="1800"/>
            <w:tcBorders>
              <w:top w:val="single" w:color="CCCCCC" w:sz="1"/>
              <w:left w:val="single" w:color="CCCCCC" w:sz="1"/>
              <w:bottom w:val="single" w:color="CCCCCC" w:sz="1"/>
              <w:right w:val="single" w:color="CCCCCC" w:sz="1"/>
            </w:tcBorders>
            <w:shd w:fill="1B6C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Size (FP16 CUDA)</w:t>
            </w:r>
          </w:p>
        </w:tc>
        <w:tc>
          <w:tcPr>
            <w:tcW w:type="dxa" w:w="1800"/>
            <w:tcBorders>
              <w:top w:val="single" w:color="CCCCCC" w:sz="1"/>
              <w:left w:val="single" w:color="CCCCCC" w:sz="1"/>
              <w:bottom w:val="single" w:color="CCCCCC" w:sz="1"/>
              <w:right w:val="single" w:color="CCCCCC" w:sz="1"/>
            </w:tcBorders>
            <w:shd w:fill="1B6C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GB10</w:t>
            </w:r>
          </w:p>
        </w:tc>
        <w:tc>
          <w:tcPr>
            <w:tcW w:type="dxa" w:w="1800"/>
            <w:tcBorders>
              <w:top w:val="single" w:color="CCCCCC" w:sz="1"/>
              <w:left w:val="single" w:color="CCCCCC" w:sz="1"/>
              <w:bottom w:val="single" w:color="CCCCCC" w:sz="1"/>
              <w:right w:val="single" w:color="CCCCCC" w:sz="1"/>
            </w:tcBorders>
            <w:shd w:fill="1B6C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RTX 3050</w:t>
            </w:r>
          </w:p>
        </w:tc>
        <w:tc>
          <w:tcPr>
            <w:tcW w:type="dxa" w:w="1800"/>
            <w:tcBorders>
              <w:top w:val="single" w:color="CCCCCC" w:sz="1"/>
              <w:left w:val="single" w:color="CCCCCC" w:sz="1"/>
              <w:bottom w:val="single" w:color="CCCCCC" w:sz="1"/>
              <w:right w:val="single" w:color="CCCCCC" w:sz="1"/>
            </w:tcBorders>
            <w:shd w:fill="1B6C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RTX 4090</w:t>
            </w:r>
          </w:p>
        </w:tc>
        <w:tc>
          <w:tcPr>
            <w:tcW w:type="dxa" w:w="1800"/>
            <w:tcBorders>
              <w:top w:val="single" w:color="CCCCCC" w:sz="1"/>
              <w:left w:val="single" w:color="CCCCCC" w:sz="1"/>
              <w:bottom w:val="single" w:color="CCCCCC" w:sz="1"/>
              <w:right w:val="single" w:color="CCCCCC" w:sz="1"/>
            </w:tcBorders>
            <w:shd w:fill="1B6C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RTX 5060</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512 (small)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7.5</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7.1</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14.6</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14.1</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2048 (medium)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54.7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14.3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85.3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40.5</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8192 (large)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60.7</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16.9</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160.0</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39.3</w:t>
            </w:r>
          </w:p>
        </w:tc>
      </w:tr>
    </w:tbl>
    <w:p>
      <w:pPr>
        <w:spacing w:after="80"/>
      </w:pPr>
      <w:r>
        <w:t xml:space="preserve"/>
      </w:r>
    </w:p>
    <w:p>
      <w:pPr>
        <w:spacing w:after="100"/>
      </w:pPr>
      <w:r>
        <w:rPr>
          <w:rFonts w:ascii="Arial" w:cs="Arial" w:eastAsia="Arial" w:hAnsi="Arial"/>
          <w:i/>
          <w:iCs/>
          <w:color w:val="666666"/>
          <w:sz w:val="18"/>
          <w:szCs w:val="18"/>
        </w:rPr>
        <w:t xml:space="preserve">FP16 at large sizes is the most reliable compute metric. Small matrices are dominated by kernel launch overhead and are less indicative of real workload throughput.</w:t>
      </w:r>
    </w:p>
    <w:p>
      <w:pPr>
        <w:spacing w:after="80"/>
      </w:pPr>
      <w:r>
        <w:t xml:space="preserve"/>
      </w:r>
    </w:p>
    <w:p>
      <w:pPr>
        <w:spacing w:after="120"/>
      </w:pPr>
      <w:r>
        <w:rPr>
          <w:rFonts w:ascii="Arial" w:cs="Arial" w:eastAsia="Arial" w:hAnsi="Arial"/>
          <w:b/>
          <w:bCs/>
          <w:sz w:val="22"/>
          <w:szCs w:val="22"/>
        </w:rPr>
        <w:t xml:space="preserve">RTX 4090 leads at large scale</w:t>
      </w:r>
      <w:r>
        <w:rPr>
          <w:rFonts w:ascii="Arial" w:cs="Arial" w:eastAsia="Arial" w:hAnsi="Arial"/>
          <w:sz w:val="22"/>
          <w:szCs w:val="22"/>
        </w:rPr>
        <w:t xml:space="preserve"> by a significant margin: 160.0 TFLOPS vs. 60.7 for the GB10, 39.3 for the RTX 5060, and 16.9 for the RTX 3050. The 4090’s Ada Lovelace tensor cores excel at the large matrix regime. </w:t>
      </w:r>
      <w:r>
        <w:rPr>
          <w:rFonts w:ascii="Arial" w:cs="Arial" w:eastAsia="Arial" w:hAnsi="Arial"/>
          <w:b/>
          <w:bCs/>
          <w:sz w:val="22"/>
          <w:szCs w:val="22"/>
        </w:rPr>
        <w:t xml:space="preserve">RTX 5060 scales better than expected</w:t>
      </w:r>
      <w:r>
        <w:rPr>
          <w:rFonts w:ascii="Arial" w:cs="Arial" w:eastAsia="Arial" w:hAnsi="Arial"/>
          <w:sz w:val="22"/>
          <w:szCs w:val="22"/>
        </w:rPr>
        <w:t xml:space="preserve">: it achieves 40.5 TFLOPS at medium size, which is only 2.1× behind the 4090 despite being ≈5× cheaper. The GB10 plateaus around 60 TFLOPS—its design optimises for memory capacity rather than raw tensor throughput.</w:t>
      </w:r>
    </w:p>
    <w:p>
      <w:pPr>
        <w:spacing w:after="80"/>
      </w:pPr>
      <w:r>
        <w:t xml:space="preserve"/>
      </w:r>
    </w:p>
    <w:p>
      <w:pPr>
        <w:pStyle w:val="Heading2"/>
      </w:pPr>
      <w:r>
        <w:rPr>
          <w:rFonts w:ascii="Arial" w:cs="Arial" w:eastAsia="Arial" w:hAnsi="Arial"/>
          <w:b/>
          <w:bCs/>
          <w:sz w:val="28"/>
          <w:szCs w:val="28"/>
        </w:rPr>
        <w:t xml:space="preserve">Anomaly: RTX 4090 FP16 Drops at Small Size</w:t>
      </w:r>
    </w:p>
    <w:p>
      <w:pPr>
        <w:spacing w:after="120"/>
      </w:pPr>
      <w:r>
        <w:rPr>
          <w:rFonts w:ascii="Arial" w:cs="Arial" w:eastAsia="Arial" w:hAnsi="Arial"/>
          <w:sz w:val="22"/>
          <w:szCs w:val="22"/>
        </w:rPr>
        <w:t xml:space="preserve">At size 512, the RTX 4090 scores only 14.6 TFLOPS FP16, which is </w:t>
      </w:r>
      <w:r>
        <w:rPr>
          <w:rFonts w:ascii="Arial" w:cs="Arial" w:eastAsia="Arial" w:hAnsi="Arial"/>
          <w:b/>
          <w:bCs/>
          <w:sz w:val="22"/>
          <w:szCs w:val="22"/>
        </w:rPr>
        <w:t xml:space="preserve">lower than its own FP32 score of 19.5 TFLOPS</w:t>
      </w:r>
      <w:r>
        <w:rPr>
          <w:rFonts w:ascii="Arial" w:cs="Arial" w:eastAsia="Arial" w:hAnsi="Arial"/>
          <w:sz w:val="22"/>
          <w:szCs w:val="22"/>
        </w:rPr>
        <w:t xml:space="preserve">. This is a genuine anomaly and contradicts the expected 2× advantage of FP16 over FP32. Cross-referencing with published Ada Lovelace tensor core behaviour: at very small matrix sizes (N≤512), kernel overhead and tensor core occupancy issues can cause FP16 to underperform FP32 in microbenchmarks. This is a benchmark artefact specific to small matrices and </w:t>
      </w:r>
      <w:r>
        <w:rPr>
          <w:rFonts w:ascii="Arial" w:cs="Arial" w:eastAsia="Arial" w:hAnsi="Arial"/>
          <w:b/>
          <w:bCs/>
          <w:sz w:val="22"/>
          <w:szCs w:val="22"/>
        </w:rPr>
        <w:t xml:space="preserve">does not affect real workloads</w:t>
      </w:r>
      <w:r>
        <w:rPr>
          <w:rFonts w:ascii="Arial" w:cs="Arial" w:eastAsia="Arial" w:hAnsi="Arial"/>
          <w:sz w:val="22"/>
          <w:szCs w:val="22"/>
        </w:rPr>
        <w:t xml:space="preserve">, which operate at medium/large scales where the 4090’s FP16 advantage is clear.</w:t>
      </w:r>
    </w:p>
    <w:p>
      <w:pPr>
        <w:spacing w:after="80"/>
      </w:pPr>
      <w:r>
        <w:t xml:space="preserve"/>
      </w:r>
    </w:p>
    <w:p>
      <w:pPr>
        <w:pStyle w:val="Heading1"/>
      </w:pPr>
      <w:r>
        <w:rPr>
          <w:rFonts w:ascii="Arial" w:cs="Arial" w:eastAsia="Arial" w:hAnsi="Arial"/>
          <w:b/>
          <w:bCs/>
          <w:sz w:val="36"/>
          <w:szCs w:val="36"/>
        </w:rPr>
        <w:t xml:space="preserve">Low-Precision Matmul: FP8 and FP4 (N=8192)</w:t>
      </w:r>
    </w:p>
    <w:p>
      <w:pPr>
        <w:spacing w:after="120"/>
      </w:pPr>
      <w:r>
        <w:rPr>
          <w:rFonts w:ascii="Arial" w:cs="Arial" w:eastAsia="Arial" w:hAnsi="Arial"/>
          <w:sz w:val="22"/>
          <w:szCs w:val="22"/>
        </w:rPr>
        <w:t xml:space="preserve">FP8 and FP4 support are key differentiators for AI inference. The RTX 3050 supports neither.</w:t>
      </w:r>
    </w:p>
    <w:p>
      <w:pPr>
        <w:spacing w:after="80"/>
      </w:pPr>
      <w:r>
        <w:t xml:space="preserve"/>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100"/>
        <w:gridCol w:w="1740"/>
        <w:gridCol w:w="1740"/>
        <w:gridCol w:w="1740"/>
        <w:gridCol w:w="1740"/>
      </w:tblGrid>
      <w:tr>
        <w:trPr>
          <w:tblHeader/>
        </w:trPr>
        <w:tc>
          <w:tcPr>
            <w:tcW w:type="dxa" w:w="2100"/>
            <w:tcBorders>
              <w:top w:val="single" w:color="CCCCCC" w:sz="1"/>
              <w:left w:val="single" w:color="CCCCCC" w:sz="1"/>
              <w:bottom w:val="single" w:color="CCCCCC" w:sz="1"/>
              <w:right w:val="single" w:color="CCCCCC" w:sz="1"/>
            </w:tcBorders>
            <w:shd w:fill="1B6C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Format (size 8192)</w:t>
            </w:r>
          </w:p>
        </w:tc>
        <w:tc>
          <w:tcPr>
            <w:tcW w:type="dxa" w:w="1740"/>
            <w:tcBorders>
              <w:top w:val="single" w:color="CCCCCC" w:sz="1"/>
              <w:left w:val="single" w:color="CCCCCC" w:sz="1"/>
              <w:bottom w:val="single" w:color="CCCCCC" w:sz="1"/>
              <w:right w:val="single" w:color="CCCCCC" w:sz="1"/>
            </w:tcBorders>
            <w:shd w:fill="1B6C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GB10</w:t>
            </w:r>
          </w:p>
        </w:tc>
        <w:tc>
          <w:tcPr>
            <w:tcW w:type="dxa" w:w="1740"/>
            <w:tcBorders>
              <w:top w:val="single" w:color="CCCCCC" w:sz="1"/>
              <w:left w:val="single" w:color="CCCCCC" w:sz="1"/>
              <w:bottom w:val="single" w:color="CCCCCC" w:sz="1"/>
              <w:right w:val="single" w:color="CCCCCC" w:sz="1"/>
            </w:tcBorders>
            <w:shd w:fill="1B6C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RTX 3050</w:t>
            </w:r>
          </w:p>
        </w:tc>
        <w:tc>
          <w:tcPr>
            <w:tcW w:type="dxa" w:w="1740"/>
            <w:tcBorders>
              <w:top w:val="single" w:color="CCCCCC" w:sz="1"/>
              <w:left w:val="single" w:color="CCCCCC" w:sz="1"/>
              <w:bottom w:val="single" w:color="CCCCCC" w:sz="1"/>
              <w:right w:val="single" w:color="CCCCCC" w:sz="1"/>
            </w:tcBorders>
            <w:shd w:fill="1B6C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RTX 4090</w:t>
            </w:r>
          </w:p>
        </w:tc>
        <w:tc>
          <w:tcPr>
            <w:tcW w:type="dxa" w:w="1740"/>
            <w:tcBorders>
              <w:top w:val="single" w:color="CCCCCC" w:sz="1"/>
              <w:left w:val="single" w:color="CCCCCC" w:sz="1"/>
              <w:bottom w:val="single" w:color="CCCCCC" w:sz="1"/>
              <w:right w:val="single" w:color="CCCCCC" w:sz="1"/>
            </w:tcBorders>
            <w:shd w:fill="1B6C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RTX 5060</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FP32 (baseline)</w:t>
            </w:r>
          </w:p>
        </w:tc>
        <w:tc>
          <w:tcPr>
            <w:tcW w:type="dxa" w:w="17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38.2 TFLOPS</w:t>
            </w:r>
          </w:p>
        </w:tc>
        <w:tc>
          <w:tcPr>
            <w:tcW w:type="dxa" w:w="17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4.9 TFLOPS</w:t>
            </w:r>
          </w:p>
        </w:tc>
        <w:tc>
          <w:tcPr>
            <w:tcW w:type="dxa" w:w="17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54.2 TFLOPS</w:t>
            </w:r>
          </w:p>
        </w:tc>
        <w:tc>
          <w:tcPr>
            <w:tcW w:type="dxa" w:w="17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13.9 TFLOPS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FP16 (2x expected)</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60.7 TFLOPS</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16.9 TFLOPS</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160.0 TFLOPS</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39.3 TFLOPS</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FP8 (4x expected)</w:t>
            </w:r>
          </w:p>
        </w:tc>
        <w:tc>
          <w:tcPr>
            <w:tcW w:type="dxa" w:w="17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134.4 TFLOPS</w:t>
            </w:r>
          </w:p>
        </w:tc>
        <w:tc>
          <w:tcPr>
            <w:tcW w:type="dxa" w:w="17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N/A</w:t>
            </w:r>
          </w:p>
        </w:tc>
        <w:tc>
          <w:tcPr>
            <w:tcW w:type="dxa" w:w="17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328.8 TFLOPS</w:t>
            </w:r>
          </w:p>
        </w:tc>
        <w:tc>
          <w:tcPr>
            <w:tcW w:type="dxa" w:w="17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81.2 TFLOPS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FP4 (8x expected)</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314.5 TFLOPS</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N/A</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N/A</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287.1 TFLOPS</w:t>
            </w:r>
          </w:p>
        </w:tc>
      </w:tr>
    </w:tbl>
    <w:p>
      <w:pPr>
        <w:spacing w:after="80"/>
      </w:pPr>
      <w:r>
        <w:t xml:space="preserve"/>
      </w:r>
    </w:p>
    <w:p>
      <w:pPr>
        <w:spacing w:after="100"/>
      </w:pPr>
      <w:r>
        <w:rPr>
          <w:rFonts w:ascii="Arial" w:cs="Arial" w:eastAsia="Arial" w:hAnsi="Arial"/>
          <w:i/>
          <w:iCs/>
          <w:color w:val="666666"/>
          <w:sz w:val="18"/>
          <w:szCs w:val="18"/>
        </w:rPr>
        <w:t xml:space="preserve">Expected scaling from FP32: FP16 ≈2×, FP8 ≈4×, FP4 ≈8×. Actual results vary depending on tensor core utilisation and memory bandwidth limits.</w:t>
      </w:r>
    </w:p>
    <w:p>
      <w:pPr>
        <w:spacing w:after="80"/>
      </w:pPr>
      <w:r>
        <w:t xml:space="preserve"/>
      </w:r>
    </w:p>
    <w:p>
      <w:pPr>
        <w:spacing w:after="120"/>
      </w:pPr>
      <w:r>
        <w:rPr>
          <w:rFonts w:ascii="Arial" w:cs="Arial" w:eastAsia="Arial" w:hAnsi="Arial"/>
          <w:b/>
          <w:bCs/>
          <w:sz w:val="22"/>
          <w:szCs w:val="22"/>
        </w:rPr>
        <w:t xml:space="preserve">RTX 4090 FP8 (328.8 TFLOPS)</w:t>
      </w:r>
      <w:r>
        <w:rPr>
          <w:rFonts w:ascii="Arial" w:cs="Arial" w:eastAsia="Arial" w:hAnsi="Arial"/>
          <w:sz w:val="22"/>
          <w:szCs w:val="22"/>
        </w:rPr>
        <w:t xml:space="preserve"> achieves 6.1× over its own FP32, well above the theoretical 4× — Ada’s fourth-gen tensor cores handle FP8 exceptionally well with sparsity. </w:t>
      </w:r>
      <w:r>
        <w:rPr>
          <w:rFonts w:ascii="Arial" w:cs="Arial" w:eastAsia="Arial" w:hAnsi="Arial"/>
          <w:b/>
          <w:bCs/>
          <w:sz w:val="22"/>
          <w:szCs w:val="22"/>
        </w:rPr>
        <w:t xml:space="preserve">GB10 FP4 (314.5 TFLOPS)</w:t>
      </w:r>
      <w:r>
        <w:rPr>
          <w:rFonts w:ascii="Arial" w:cs="Arial" w:eastAsia="Arial" w:hAnsi="Arial"/>
          <w:sz w:val="22"/>
          <w:szCs w:val="22"/>
        </w:rPr>
        <w:t xml:space="preserve"> nearly matches the 4090’s FP8 peak using FP4, which is the GB10’s native precision. </w:t>
      </w:r>
      <w:r>
        <w:rPr>
          <w:rFonts w:ascii="Arial" w:cs="Arial" w:eastAsia="Arial" w:hAnsi="Arial"/>
          <w:b/>
          <w:bCs/>
          <w:sz w:val="22"/>
          <w:szCs w:val="22"/>
        </w:rPr>
        <w:t xml:space="preserve">RTX 5060 FP4 (287.1 TFLOPS)</w:t>
      </w:r>
      <w:r>
        <w:rPr>
          <w:rFonts w:ascii="Arial" w:cs="Arial" w:eastAsia="Arial" w:hAnsi="Arial"/>
          <w:sz w:val="22"/>
          <w:szCs w:val="22"/>
        </w:rPr>
        <w:t xml:space="preserve"> is impressive at $299 and matches the GB10’s FP4 score closely. For quantised model inference (4-bit weights), the RTX 5060 delivers near-GB10 matmul throughput at 7.5× lower cost.</w:t>
      </w:r>
    </w:p>
    <w:p>
      <w:pPr>
        <w:spacing w:after="80"/>
      </w:pPr>
      <w:r>
        <w:t xml:space="preserve"/>
      </w:r>
    </w:p>
    <w:p>
      <w:pPr>
        <w:pStyle w:val="Heading2"/>
      </w:pPr>
      <w:r>
        <w:rPr>
          <w:rFonts w:ascii="Arial" w:cs="Arial" w:eastAsia="Arial" w:hAnsi="Arial"/>
          <w:b/>
          <w:bCs/>
          <w:sz w:val="28"/>
          <w:szCs w:val="28"/>
        </w:rPr>
        <w:t xml:space="preserve">Anomaly: GB10 FP8 Underperforms at Small Size</w:t>
      </w:r>
    </w:p>
    <w:p>
      <w:pPr>
        <w:spacing w:after="120"/>
      </w:pPr>
      <w:r>
        <w:rPr>
          <w:rFonts w:ascii="Arial" w:cs="Arial" w:eastAsia="Arial" w:hAnsi="Arial"/>
          <w:sz w:val="22"/>
          <w:szCs w:val="22"/>
        </w:rPr>
        <w:t xml:space="preserve">At size=512, the GB10’s FP8 score (2.38 TFLOPS) is </w:t>
      </w:r>
      <w:r>
        <w:rPr>
          <w:rFonts w:ascii="Arial" w:cs="Arial" w:eastAsia="Arial" w:hAnsi="Arial"/>
          <w:b/>
          <w:bCs/>
          <w:sz w:val="22"/>
          <w:szCs w:val="22"/>
        </w:rPr>
        <w:t xml:space="preserve">lower than FP16 (7.51) and FP4 (5.97)</w:t>
      </w:r>
      <w:r>
        <w:rPr>
          <w:rFonts w:ascii="Arial" w:cs="Arial" w:eastAsia="Arial" w:hAnsi="Arial"/>
          <w:sz w:val="22"/>
          <w:szCs w:val="22"/>
        </w:rPr>
        <w:t xml:space="preserve">. This is unexpected. The GB10 is an integrated SoC with shared LPDDR5X memory rather than dedicated HBM or GDDR. At small matrix sizes, the FP8 path may incur higher overhead (scaling factors, dequantisation logic) that overwhelms the compute benefit. </w:t>
      </w:r>
      <w:r>
        <w:rPr>
          <w:rFonts w:ascii="Arial" w:cs="Arial" w:eastAsia="Arial" w:hAnsi="Arial"/>
          <w:b/>
          <w:bCs/>
          <w:sz w:val="22"/>
          <w:szCs w:val="22"/>
        </w:rPr>
        <w:t xml:space="preserve">This is not a flaw for real workloads</w:t>
      </w:r>
      <w:r>
        <w:rPr>
          <w:rFonts w:ascii="Arial" w:cs="Arial" w:eastAsia="Arial" w:hAnsi="Arial"/>
          <w:sz w:val="22"/>
          <w:szCs w:val="22"/>
        </w:rPr>
        <w:t xml:space="preserve">: at medium (60.8 TFLOPS) and large (134.4 TFLOPS) sizes, FP8 scales correctly to 3–4× over FP32 on the GB10.</w:t>
      </w:r>
    </w:p>
    <w:p>
      <w:pPr>
        <w:spacing w:after="80"/>
      </w:pPr>
      <w:r>
        <w:t xml:space="preserve"/>
      </w:r>
    </w:p>
    <w:p>
      <w:pPr>
        <w:pStyle w:val="Heading1"/>
      </w:pPr>
      <w:r>
        <w:rPr>
          <w:rFonts w:ascii="Arial" w:cs="Arial" w:eastAsia="Arial" w:hAnsi="Arial"/>
          <w:b/>
          <w:bCs/>
          <w:sz w:val="36"/>
          <w:szCs w:val="36"/>
        </w:rPr>
        <w:t xml:space="preserve">CNN Inference — ResNet-50 (images/second, FP16)</w:t>
      </w:r>
    </w:p>
    <w:p>
      <w:pPr>
        <w:spacing w:after="120"/>
      </w:pPr>
      <w:r>
        <w:rPr>
          <w:rFonts w:ascii="Arial" w:cs="Arial" w:eastAsia="Arial" w:hAnsi="Arial"/>
          <w:sz w:val="22"/>
          <w:szCs w:val="22"/>
        </w:rPr>
        <w:t xml:space="preserve">Throughput on a standard vision model. Higher is better.</w:t>
      </w:r>
    </w:p>
    <w:p>
      <w:pPr>
        <w:spacing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rPr>
          <w:tblHeader/>
        </w:trPr>
        <w:tc>
          <w:tcPr>
            <w:tcW w:type="dxa" w:w="1800"/>
            <w:tcBorders>
              <w:top w:val="single" w:color="CCCCCC" w:sz="1"/>
              <w:left w:val="single" w:color="CCCCCC" w:sz="1"/>
              <w:bottom w:val="single" w:color="CCCCCC" w:sz="1"/>
              <w:right w:val="single" w:color="CCCCCC" w:sz="1"/>
            </w:tcBorders>
            <w:shd w:fill="1B6C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Batch (FP16 CUDA)</w:t>
            </w:r>
          </w:p>
        </w:tc>
        <w:tc>
          <w:tcPr>
            <w:tcW w:type="dxa" w:w="1800"/>
            <w:tcBorders>
              <w:top w:val="single" w:color="CCCCCC" w:sz="1"/>
              <w:left w:val="single" w:color="CCCCCC" w:sz="1"/>
              <w:bottom w:val="single" w:color="CCCCCC" w:sz="1"/>
              <w:right w:val="single" w:color="CCCCCC" w:sz="1"/>
            </w:tcBorders>
            <w:shd w:fill="1B6C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GB10</w:t>
            </w:r>
          </w:p>
        </w:tc>
        <w:tc>
          <w:tcPr>
            <w:tcW w:type="dxa" w:w="1800"/>
            <w:tcBorders>
              <w:top w:val="single" w:color="CCCCCC" w:sz="1"/>
              <w:left w:val="single" w:color="CCCCCC" w:sz="1"/>
              <w:bottom w:val="single" w:color="CCCCCC" w:sz="1"/>
              <w:right w:val="single" w:color="CCCCCC" w:sz="1"/>
            </w:tcBorders>
            <w:shd w:fill="1B6C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RTX 3050</w:t>
            </w:r>
          </w:p>
        </w:tc>
        <w:tc>
          <w:tcPr>
            <w:tcW w:type="dxa" w:w="1800"/>
            <w:tcBorders>
              <w:top w:val="single" w:color="CCCCCC" w:sz="1"/>
              <w:left w:val="single" w:color="CCCCCC" w:sz="1"/>
              <w:bottom w:val="single" w:color="CCCCCC" w:sz="1"/>
              <w:right w:val="single" w:color="CCCCCC" w:sz="1"/>
            </w:tcBorders>
            <w:shd w:fill="1B6C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RTX 4090</w:t>
            </w:r>
          </w:p>
        </w:tc>
        <w:tc>
          <w:tcPr>
            <w:tcW w:type="dxa" w:w="1800"/>
            <w:tcBorders>
              <w:top w:val="single" w:color="CCCCCC" w:sz="1"/>
              <w:left w:val="single" w:color="CCCCCC" w:sz="1"/>
              <w:bottom w:val="single" w:color="CCCCCC" w:sz="1"/>
              <w:right w:val="single" w:color="CCCCCC" w:sz="1"/>
            </w:tcBorders>
            <w:shd w:fill="1B6C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RTX 5060</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8 (small)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1,326</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578</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1,822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1,313</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32 (medium)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1,149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670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4,476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1,515</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128 (large)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1,054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699</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4,319</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1,418</w:t>
            </w:r>
          </w:p>
        </w:tc>
      </w:tr>
    </w:tbl>
    <w:p>
      <w:pPr>
        <w:spacing w:after="80"/>
      </w:pPr>
      <w:r>
        <w:t xml:space="preserve"/>
      </w:r>
    </w:p>
    <w:p>
      <w:pPr>
        <w:spacing w:after="120"/>
      </w:pPr>
      <w:r>
        <w:rPr>
          <w:rFonts w:ascii="Arial" w:cs="Arial" w:eastAsia="Arial" w:hAnsi="Arial"/>
          <w:b/>
          <w:bCs/>
          <w:sz w:val="22"/>
          <w:szCs w:val="22"/>
        </w:rPr>
        <w:t xml:space="preserve">RTX 4090 dominates CNN inference</w:t>
      </w:r>
      <w:r>
        <w:rPr>
          <w:rFonts w:ascii="Arial" w:cs="Arial" w:eastAsia="Arial" w:hAnsi="Arial"/>
          <w:sz w:val="22"/>
          <w:szCs w:val="22"/>
        </w:rPr>
        <w:t xml:space="preserve">: at batch=32, it achieves 4,476 img/s, over 3× the RTX 5060 (1,515) and 4× the GB10 (1,149). This reflects the 4090’s much higher VRAM bandwidth (1,008 GB/s spec) enabling it to sustain compute across larger batches. The </w:t>
      </w:r>
      <w:r>
        <w:rPr>
          <w:rFonts w:ascii="Arial" w:cs="Arial" w:eastAsia="Arial" w:hAnsi="Arial"/>
          <w:b/>
          <w:bCs/>
          <w:sz w:val="22"/>
          <w:szCs w:val="22"/>
        </w:rPr>
        <w:t xml:space="preserve">RTX 5060 is competitive at $299</w:t>
      </w:r>
      <w:r>
        <w:rPr>
          <w:rFonts w:ascii="Arial" w:cs="Arial" w:eastAsia="Arial" w:hAnsi="Arial"/>
          <w:sz w:val="22"/>
          <w:szCs w:val="22"/>
        </w:rPr>
        <w:t xml:space="preserve">, reaching 1,515 img/s at batch=32, comparable to what a mid-2022 enthusiast card would achieve.</w:t>
      </w:r>
    </w:p>
    <w:p>
      <w:pPr>
        <w:spacing w:after="80"/>
      </w:pPr>
      <w:r>
        <w:t xml:space="preserve"/>
      </w:r>
    </w:p>
    <w:p>
      <w:pPr>
        <w:pStyle w:val="Heading2"/>
      </w:pPr>
      <w:r>
        <w:rPr>
          <w:rFonts w:ascii="Arial" w:cs="Arial" w:eastAsia="Arial" w:hAnsi="Arial"/>
          <w:b/>
          <w:bCs/>
          <w:sz w:val="28"/>
          <w:szCs w:val="28"/>
        </w:rPr>
        <w:t xml:space="preserve">Anomaly: RTX 4090 FP16 Slower Than FP32 at Batch=8</w:t>
      </w:r>
    </w:p>
    <w:p>
      <w:pPr>
        <w:spacing w:after="120"/>
      </w:pPr>
      <w:r>
        <w:rPr>
          <w:rFonts w:ascii="Arial" w:cs="Arial" w:eastAsia="Arial" w:hAnsi="Arial"/>
          <w:sz w:val="22"/>
          <w:szCs w:val="22"/>
        </w:rPr>
        <w:t xml:space="preserve">At batch=8, the RTX 4090’s FP16 ResNet-50 score (1,822 img/s) is </w:t>
      </w:r>
      <w:r>
        <w:rPr>
          <w:rFonts w:ascii="Arial" w:cs="Arial" w:eastAsia="Arial" w:hAnsi="Arial"/>
          <w:b/>
          <w:bCs/>
          <w:sz w:val="22"/>
          <w:szCs w:val="22"/>
        </w:rPr>
        <w:t xml:space="preserve">lower than its FP32 score (2,479 img/s)</w:t>
      </w:r>
      <w:r>
        <w:rPr>
          <w:rFonts w:ascii="Arial" w:cs="Arial" w:eastAsia="Arial" w:hAnsi="Arial"/>
          <w:sz w:val="22"/>
          <w:szCs w:val="22"/>
        </w:rPr>
        <w:t xml:space="preserve">. This is counterintuitive. At very small batch sizes, the 4090 is no longer compute-bound—it is memory-access and kernel launch limited. The FP16 path may incur extra overhead (type conversion, fused operation restrictions) that hurts at batch=8 but disappears at batch=32 where FP16 leads by 67%. </w:t>
      </w:r>
      <w:r>
        <w:rPr>
          <w:rFonts w:ascii="Arial" w:cs="Arial" w:eastAsia="Arial" w:hAnsi="Arial"/>
          <w:b/>
          <w:bCs/>
          <w:sz w:val="22"/>
          <w:szCs w:val="22"/>
        </w:rPr>
        <w:t xml:space="preserve">Do not choose inference batch size based on small-batch benchmarks.</w:t>
      </w:r>
    </w:p>
    <w:p>
      <w:pPr>
        <w:spacing w:after="80"/>
      </w:pPr>
      <w:r>
        <w:t xml:space="preserve"/>
      </w:r>
    </w:p>
    <w:p>
      <w:pPr>
        <w:pStyle w:val="Heading1"/>
      </w:pPr>
      <w:r>
        <w:rPr>
          <w:rFonts w:ascii="Arial" w:cs="Arial" w:eastAsia="Arial" w:hAnsi="Arial"/>
          <w:b/>
          <w:bCs/>
          <w:sz w:val="36"/>
          <w:szCs w:val="36"/>
        </w:rPr>
        <w:t xml:space="preserve">Transformer Inference — GPT-2 Scale (tokens/second, FP16)</w:t>
      </w:r>
    </w:p>
    <w:p>
      <w:pPr>
        <w:spacing w:after="120"/>
      </w:pPr>
      <w:r>
        <w:rPr>
          <w:rFonts w:ascii="Arial" w:cs="Arial" w:eastAsia="Arial" w:hAnsi="Arial"/>
          <w:sz w:val="22"/>
          <w:szCs w:val="22"/>
        </w:rPr>
        <w:t xml:space="preserve">This is the most practically relevant benchmark for local LLM inference. Higher is better.</w:t>
      </w:r>
    </w:p>
    <w:p>
      <w:pPr>
        <w:spacing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rPr>
          <w:tblHeader/>
        </w:trPr>
        <w:tc>
          <w:tcPr>
            <w:tcW w:type="dxa" w:w="1800"/>
            <w:tcBorders>
              <w:top w:val="single" w:color="CCCCCC" w:sz="1"/>
              <w:left w:val="single" w:color="CCCCCC" w:sz="1"/>
              <w:bottom w:val="single" w:color="CCCCCC" w:sz="1"/>
              <w:right w:val="single" w:color="CCCCCC" w:sz="1"/>
            </w:tcBorders>
            <w:shd w:fill="1B6C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Seq len (FP16 CUDA)</w:t>
            </w:r>
          </w:p>
        </w:tc>
        <w:tc>
          <w:tcPr>
            <w:tcW w:type="dxa" w:w="1800"/>
            <w:tcBorders>
              <w:top w:val="single" w:color="CCCCCC" w:sz="1"/>
              <w:left w:val="single" w:color="CCCCCC" w:sz="1"/>
              <w:bottom w:val="single" w:color="CCCCCC" w:sz="1"/>
              <w:right w:val="single" w:color="CCCCCC" w:sz="1"/>
            </w:tcBorders>
            <w:shd w:fill="1B6C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GB10</w:t>
            </w:r>
          </w:p>
        </w:tc>
        <w:tc>
          <w:tcPr>
            <w:tcW w:type="dxa" w:w="1800"/>
            <w:tcBorders>
              <w:top w:val="single" w:color="CCCCCC" w:sz="1"/>
              <w:left w:val="single" w:color="CCCCCC" w:sz="1"/>
              <w:bottom w:val="single" w:color="CCCCCC" w:sz="1"/>
              <w:right w:val="single" w:color="CCCCCC" w:sz="1"/>
            </w:tcBorders>
            <w:shd w:fill="1B6C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RTX 3050</w:t>
            </w:r>
          </w:p>
        </w:tc>
        <w:tc>
          <w:tcPr>
            <w:tcW w:type="dxa" w:w="1800"/>
            <w:tcBorders>
              <w:top w:val="single" w:color="CCCCCC" w:sz="1"/>
              <w:left w:val="single" w:color="CCCCCC" w:sz="1"/>
              <w:bottom w:val="single" w:color="CCCCCC" w:sz="1"/>
              <w:right w:val="single" w:color="CCCCCC" w:sz="1"/>
            </w:tcBorders>
            <w:shd w:fill="1B6C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RTX 4090</w:t>
            </w:r>
          </w:p>
        </w:tc>
        <w:tc>
          <w:tcPr>
            <w:tcW w:type="dxa" w:w="1800"/>
            <w:tcBorders>
              <w:top w:val="single" w:color="CCCCCC" w:sz="1"/>
              <w:left w:val="single" w:color="CCCCCC" w:sz="1"/>
              <w:bottom w:val="single" w:color="CCCCCC" w:sz="1"/>
              <w:right w:val="single" w:color="CCCCCC" w:sz="1"/>
            </w:tcBorders>
            <w:shd w:fill="1B6C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RTX 5060</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128 (small)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76,210</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27,348</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31,728</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40,036</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512 (medium)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126,484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48,129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167,698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106,988</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2048 (large)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45,231</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21,910</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160,022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64,441</w:t>
            </w:r>
          </w:p>
        </w:tc>
      </w:tr>
    </w:tbl>
    <w:p>
      <w:pPr>
        <w:spacing w:after="80"/>
      </w:pPr>
      <w:r>
        <w:t xml:space="preserve"/>
      </w:r>
    </w:p>
    <w:p>
      <w:pPr>
        <w:spacing w:after="120"/>
      </w:pPr>
      <w:r>
        <w:rPr>
          <w:rFonts w:ascii="Arial" w:cs="Arial" w:eastAsia="Arial" w:hAnsi="Arial"/>
          <w:b/>
          <w:bCs/>
          <w:sz w:val="22"/>
          <w:szCs w:val="22"/>
        </w:rPr>
        <w:t xml:space="preserve">RTX 4090 leads at large context (160,022 tok/s at seq=2048)</w:t>
      </w:r>
      <w:r>
        <w:rPr>
          <w:rFonts w:ascii="Arial" w:cs="Arial" w:eastAsia="Arial" w:hAnsi="Arial"/>
          <w:sz w:val="22"/>
          <w:szCs w:val="22"/>
        </w:rPr>
        <w:t xml:space="preserve">, but the </w:t>
      </w:r>
      <w:r>
        <w:rPr>
          <w:rFonts w:ascii="Arial" w:cs="Arial" w:eastAsia="Arial" w:hAnsi="Arial"/>
          <w:b/>
          <w:bCs/>
          <w:sz w:val="22"/>
          <w:szCs w:val="22"/>
        </w:rPr>
        <w:t xml:space="preserve">RTX 5060 is remarkably close at 64,441 tok/s</w:t>
      </w:r>
      <w:r>
        <w:rPr>
          <w:rFonts w:ascii="Arial" w:cs="Arial" w:eastAsia="Arial" w:hAnsi="Arial"/>
          <w:sz w:val="22"/>
          <w:szCs w:val="22"/>
        </w:rPr>
        <w:t xml:space="preserve">—a 2.5× deficit at 7.5× lower price. The </w:t>
      </w:r>
      <w:r>
        <w:rPr>
          <w:rFonts w:ascii="Arial" w:cs="Arial" w:eastAsia="Arial" w:hAnsi="Arial"/>
          <w:b/>
          <w:bCs/>
          <w:sz w:val="22"/>
          <w:szCs w:val="22"/>
        </w:rPr>
        <w:t xml:space="preserve">GB10 produces 45,231 tok/s</w:t>
      </w:r>
      <w:r>
        <w:rPr>
          <w:rFonts w:ascii="Arial" w:cs="Arial" w:eastAsia="Arial" w:hAnsi="Arial"/>
          <w:sz w:val="22"/>
          <w:szCs w:val="22"/>
        </w:rPr>
        <w:t xml:space="preserve"> at seq=2048 in FP16. This is lower than the RTX 5060 despite costing 13× more, </w:t>
      </w:r>
      <w:r>
        <w:rPr>
          <w:rFonts w:ascii="Arial" w:cs="Arial" w:eastAsia="Arial" w:hAnsi="Arial"/>
          <w:b/>
          <w:bCs/>
          <w:sz w:val="22"/>
          <w:szCs w:val="22"/>
        </w:rPr>
        <w:t xml:space="preserve">because the GB10’s value proposition is memory capacity, not speed</w:t>
      </w:r>
      <w:r>
        <w:rPr>
          <w:rFonts w:ascii="Arial" w:cs="Arial" w:eastAsia="Arial" w:hAnsi="Arial"/>
          <w:sz w:val="22"/>
          <w:szCs w:val="22"/>
        </w:rPr>
        <w:t xml:space="preserve">. It can run 70B parameter models that no 8 or 24 GB card can touch.</w:t>
      </w:r>
    </w:p>
    <w:p>
      <w:pPr>
        <w:spacing w:after="80"/>
      </w:pPr>
      <w:r>
        <w:t xml:space="preserve"/>
      </w:r>
    </w:p>
    <w:p>
      <w:pPr>
        <w:pStyle w:val="Heading2"/>
      </w:pPr>
      <w:r>
        <w:rPr>
          <w:rFonts w:ascii="Arial" w:cs="Arial" w:eastAsia="Arial" w:hAnsi="Arial"/>
          <w:b/>
          <w:bCs/>
          <w:sz w:val="28"/>
          <w:szCs w:val="28"/>
        </w:rPr>
        <w:t xml:space="preserve">Anomaly: GB10 Drops Sharply at seq=2048</w:t>
      </w:r>
    </w:p>
    <w:p>
      <w:pPr>
        <w:spacing w:after="120"/>
      </w:pPr>
      <w:r>
        <w:rPr>
          <w:rFonts w:ascii="Arial" w:cs="Arial" w:eastAsia="Arial" w:hAnsi="Arial"/>
          <w:sz w:val="22"/>
          <w:szCs w:val="22"/>
        </w:rPr>
        <w:t xml:space="preserve">The GB10 scores 76,210 tok/s at seq=128 but only 45,231 at seq=2048—a 40% drop. The RTX 4090 and 5060 both </w:t>
      </w:r>
      <w:r>
        <w:rPr>
          <w:rFonts w:ascii="Arial" w:cs="Arial" w:eastAsia="Arial" w:hAnsi="Arial"/>
          <w:b/>
          <w:bCs/>
          <w:sz w:val="22"/>
          <w:szCs w:val="22"/>
        </w:rPr>
        <w:t xml:space="preserve">improve</w:t>
      </w:r>
      <w:r>
        <w:rPr>
          <w:rFonts w:ascii="Arial" w:cs="Arial" w:eastAsia="Arial" w:hAnsi="Arial"/>
          <w:sz w:val="22"/>
          <w:szCs w:val="22"/>
        </w:rPr>
        <w:t xml:space="preserve"> from seq=128 to seq=512 before declining at seq=2048. The GB10’s LPDDR5X memory (≈600 GB/s aggregate bandwidth per the hardware spec) is lower than GDDR6X in sustained sequential access. At long sequences, the attention mechanism becomes memory-bandwidth-bound, and the GB10’s unified RAM shows its limits. </w:t>
      </w:r>
      <w:r>
        <w:rPr>
          <w:rFonts w:ascii="Arial" w:cs="Arial" w:eastAsia="Arial" w:hAnsi="Arial"/>
          <w:b/>
          <w:bCs/>
          <w:sz w:val="22"/>
          <w:szCs w:val="22"/>
        </w:rPr>
        <w:t xml:space="preserve">For long-context inference, the 4090 or 5060 will be faster per token</w:t>
      </w:r>
      <w:r>
        <w:rPr>
          <w:rFonts w:ascii="Arial" w:cs="Arial" w:eastAsia="Arial" w:hAnsi="Arial"/>
          <w:sz w:val="22"/>
          <w:szCs w:val="22"/>
        </w:rPr>
        <w:t xml:space="preserve">; the GB10’s advantage is solely that it can run models that are too large to fit into 8 or 24 GB.</w:t>
      </w:r>
    </w:p>
    <w:p>
      <w:pPr>
        <w:spacing w:after="80"/>
      </w:pPr>
      <w:r>
        <w:t xml:space="preserve"/>
      </w:r>
    </w:p>
    <w:p>
      <w:pPr>
        <w:pStyle w:val="Heading2"/>
      </w:pPr>
      <w:r>
        <w:rPr>
          <w:rFonts w:ascii="Arial" w:cs="Arial" w:eastAsia="Arial" w:hAnsi="Arial"/>
          <w:b/>
          <w:bCs/>
          <w:sz w:val="28"/>
          <w:szCs w:val="28"/>
        </w:rPr>
        <w:t xml:space="preserve">Anomaly: GB10 Beats RTX 4090 at Short Context</w:t>
      </w:r>
    </w:p>
    <w:p>
      <w:pPr>
        <w:spacing w:after="120"/>
      </w:pPr>
      <w:r>
        <w:rPr>
          <w:rFonts w:ascii="Arial" w:cs="Arial" w:eastAsia="Arial" w:hAnsi="Arial"/>
          <w:sz w:val="22"/>
          <w:szCs w:val="22"/>
        </w:rPr>
        <w:t xml:space="preserve">At seq=128, the GB10 generates 76,210 tok/s vs. the RTX 4090’s 31,728 tok/s. This is the opposite of the large-context result. At short sequences, the workload is </w:t>
      </w:r>
      <w:r>
        <w:rPr>
          <w:rFonts w:ascii="Arial" w:cs="Arial" w:eastAsia="Arial" w:hAnsi="Arial"/>
          <w:b/>
          <w:bCs/>
          <w:sz w:val="22"/>
          <w:szCs w:val="22"/>
        </w:rPr>
        <w:t xml:space="preserve">compute-bound rather than memory-bandwidth-bound</w:t>
      </w:r>
      <w:r>
        <w:rPr>
          <w:rFonts w:ascii="Arial" w:cs="Arial" w:eastAsia="Arial" w:hAnsi="Arial"/>
          <w:sz w:val="22"/>
          <w:szCs w:val="22"/>
        </w:rPr>
        <w:t xml:space="preserve">. The GB10’s Blackwell GPU has more efficient tensor cores for small-batch inference than Ada Lovelace at this specific size. The RTX 4090 recovers decisively at seq=512 (167,698 tok/s). This finding matters for applications with short prompts and single-turn queries—the GB10 is actually faster in that regime.</w:t>
      </w:r>
    </w:p>
    <w:p>
      <w:pPr>
        <w:spacing w:after="80"/>
      </w:pPr>
      <w:r>
        <w:t xml:space="preserve"/>
      </w:r>
    </w:p>
    <w:p>
      <w:pPr>
        <w:pStyle w:val="Heading1"/>
      </w:pPr>
      <w:r>
        <w:rPr>
          <w:rFonts w:ascii="Arial" w:cs="Arial" w:eastAsia="Arial" w:hAnsi="Arial"/>
          <w:b/>
          <w:bCs/>
          <w:sz w:val="36"/>
          <w:szCs w:val="36"/>
        </w:rPr>
        <w:t xml:space="preserve">Memory Bandwidth</w:t>
      </w:r>
    </w:p>
    <w:p>
      <w:pPr>
        <w:spacing w:after="120"/>
      </w:pPr>
      <w:r>
        <w:rPr>
          <w:rFonts w:ascii="Arial" w:cs="Arial" w:eastAsia="Arial" w:hAnsi="Arial"/>
          <w:sz w:val="22"/>
          <w:szCs w:val="22"/>
        </w:rPr>
        <w:t xml:space="preserve">Memory bandwidth determines how fast models can be loaded and data streamed. Three transfer types are measured:</w:t>
      </w:r>
    </w:p>
    <w:p>
      <w:pPr>
        <w:spacing w:after="120"/>
      </w:pPr>
      <w:r>
        <w:rPr>
          <w:rFonts w:ascii="Arial" w:cs="Arial" w:eastAsia="Arial" w:hAnsi="Arial"/>
          <w:b/>
          <w:bCs/>
          <w:sz w:val="22"/>
          <w:szCs w:val="22"/>
        </w:rPr>
        <w:t xml:space="preserve">H2D</w:t>
      </w:r>
      <w:r>
        <w:rPr>
          <w:rFonts w:ascii="Arial" w:cs="Arial" w:eastAsia="Arial" w:hAnsi="Arial"/>
          <w:sz w:val="22"/>
          <w:szCs w:val="22"/>
        </w:rPr>
        <w:t xml:space="preserve">: Host (CPU RAM) to GPU — model loading speed</w:t>
      </w:r>
    </w:p>
    <w:p>
      <w:pPr>
        <w:spacing w:after="120"/>
      </w:pPr>
      <w:r>
        <w:rPr>
          <w:rFonts w:ascii="Arial" w:cs="Arial" w:eastAsia="Arial" w:hAnsi="Arial"/>
          <w:b/>
          <w:bCs/>
          <w:sz w:val="22"/>
          <w:szCs w:val="22"/>
        </w:rPr>
        <w:t xml:space="preserve">D2H</w:t>
      </w:r>
      <w:r>
        <w:rPr>
          <w:rFonts w:ascii="Arial" w:cs="Arial" w:eastAsia="Arial" w:hAnsi="Arial"/>
          <w:sz w:val="22"/>
          <w:szCs w:val="22"/>
        </w:rPr>
        <w:t xml:space="preserve">: GPU to Host — result retrieval</w:t>
      </w:r>
    </w:p>
    <w:p>
      <w:pPr>
        <w:spacing w:after="120"/>
      </w:pPr>
      <w:r>
        <w:rPr>
          <w:rFonts w:ascii="Arial" w:cs="Arial" w:eastAsia="Arial" w:hAnsi="Arial"/>
          <w:b/>
          <w:bCs/>
          <w:sz w:val="22"/>
          <w:szCs w:val="22"/>
        </w:rPr>
        <w:t xml:space="preserve">D2D</w:t>
      </w:r>
      <w:r>
        <w:rPr>
          <w:rFonts w:ascii="Arial" w:cs="Arial" w:eastAsia="Arial" w:hAnsi="Arial"/>
          <w:sz w:val="22"/>
          <w:szCs w:val="22"/>
        </w:rPr>
        <w:t xml:space="preserve">: GPU internal copy — pure on-chip bandwidth (GB/s)</w:t>
      </w:r>
    </w:p>
    <w:p>
      <w:pPr>
        <w:spacing w:after="80"/>
      </w:pPr>
      <w:r>
        <w:t xml:space="preserve"/>
      </w:r>
    </w:p>
    <w:tbl>
      <w:tblPr>
        <w:tblW w:type="dxa" w:w="8910"/>
        <w:tblBorders>
          <w:top w:val="single" w:color="auto" w:sz="4"/>
          <w:left w:val="single" w:color="auto" w:sz="4"/>
          <w:bottom w:val="single" w:color="auto" w:sz="4"/>
          <w:right w:val="single" w:color="auto" w:sz="4"/>
          <w:insideH w:val="single" w:color="auto" w:sz="4"/>
          <w:insideV w:val="single" w:color="auto" w:sz="4"/>
        </w:tblBorders>
      </w:tblPr>
      <w:tblGrid>
        <w:gridCol w:w="1560"/>
        <w:gridCol w:w="1050"/>
        <w:gridCol w:w="1050"/>
        <w:gridCol w:w="1050"/>
        <w:gridCol w:w="1050"/>
        <w:gridCol w:w="1050"/>
        <w:gridCol w:w="1050"/>
        <w:gridCol w:w="1050"/>
      </w:tblGrid>
      <w:tr>
        <w:trPr>
          <w:tblHeader/>
        </w:trPr>
        <w:tc>
          <w:tcPr>
            <w:tcW w:type="dxa" w:w="1560"/>
            <w:tcBorders>
              <w:top w:val="single" w:color="CCCCCC" w:sz="1"/>
              <w:left w:val="single" w:color="CCCCCC" w:sz="1"/>
              <w:bottom w:val="single" w:color="CCCCCC" w:sz="1"/>
              <w:right w:val="single" w:color="CCCCCC" w:sz="1"/>
            </w:tcBorders>
            <w:shd w:fill="1B6C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Size</w:t>
            </w:r>
          </w:p>
        </w:tc>
        <w:tc>
          <w:tcPr>
            <w:tcW w:type="dxa" w:w="1050"/>
            <w:tcBorders>
              <w:top w:val="single" w:color="CCCCCC" w:sz="1"/>
              <w:left w:val="single" w:color="CCCCCC" w:sz="1"/>
              <w:bottom w:val="single" w:color="CCCCCC" w:sz="1"/>
              <w:right w:val="single" w:color="CCCCCC" w:sz="1"/>
            </w:tcBorders>
            <w:shd w:fill="1B6C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GB10 H2D</w:t>
            </w:r>
          </w:p>
        </w:tc>
        <w:tc>
          <w:tcPr>
            <w:tcW w:type="dxa" w:w="1050"/>
            <w:tcBorders>
              <w:top w:val="single" w:color="CCCCCC" w:sz="1"/>
              <w:left w:val="single" w:color="CCCCCC" w:sz="1"/>
              <w:bottom w:val="single" w:color="CCCCCC" w:sz="1"/>
              <w:right w:val="single" w:color="CCCCCC" w:sz="1"/>
            </w:tcBorders>
            <w:shd w:fill="1B6C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GB10 D2D</w:t>
            </w:r>
          </w:p>
        </w:tc>
        <w:tc>
          <w:tcPr>
            <w:tcW w:type="dxa" w:w="1050"/>
            <w:tcBorders>
              <w:top w:val="single" w:color="CCCCCC" w:sz="1"/>
              <w:left w:val="single" w:color="CCCCCC" w:sz="1"/>
              <w:bottom w:val="single" w:color="CCCCCC" w:sz="1"/>
              <w:right w:val="single" w:color="CCCCCC" w:sz="1"/>
            </w:tcBorders>
            <w:shd w:fill="1B6C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3050 D2D</w:t>
            </w:r>
          </w:p>
        </w:tc>
        <w:tc>
          <w:tcPr>
            <w:tcW w:type="dxa" w:w="1050"/>
            <w:tcBorders>
              <w:top w:val="single" w:color="CCCCCC" w:sz="1"/>
              <w:left w:val="single" w:color="CCCCCC" w:sz="1"/>
              <w:bottom w:val="single" w:color="CCCCCC" w:sz="1"/>
              <w:right w:val="single" w:color="CCCCCC" w:sz="1"/>
            </w:tcBorders>
            <w:shd w:fill="1B6C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4090 D2D</w:t>
            </w:r>
          </w:p>
        </w:tc>
        <w:tc>
          <w:tcPr>
            <w:tcW w:type="dxa" w:w="1050"/>
            <w:tcBorders>
              <w:top w:val="single" w:color="CCCCCC" w:sz="1"/>
              <w:left w:val="single" w:color="CCCCCC" w:sz="1"/>
              <w:bottom w:val="single" w:color="CCCCCC" w:sz="1"/>
              <w:right w:val="single" w:color="CCCCCC" w:sz="1"/>
            </w:tcBorders>
            <w:shd w:fill="1B6C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5060 D2D</w:t>
            </w:r>
          </w:p>
        </w:tc>
        <w:tc>
          <w:tcPr>
            <w:tcW w:type="dxa" w:w="1050"/>
            <w:tcBorders>
              <w:top w:val="single" w:color="CCCCCC" w:sz="1"/>
              <w:left w:val="single" w:color="CCCCCC" w:sz="1"/>
              <w:bottom w:val="single" w:color="CCCCCC" w:sz="1"/>
              <w:right w:val="single" w:color="CCCCCC" w:sz="1"/>
            </w:tcBorders>
            <w:shd w:fill="1B6C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3050 H2D</w:t>
            </w:r>
          </w:p>
        </w:tc>
        <w:tc>
          <w:tcPr>
            <w:tcW w:type="dxa" w:w="1050"/>
            <w:tcBorders>
              <w:top w:val="single" w:color="CCCCCC" w:sz="1"/>
              <w:left w:val="single" w:color="CCCCCC" w:sz="1"/>
              <w:bottom w:val="single" w:color="CCCCCC" w:sz="1"/>
              <w:right w:val="single" w:color="CCCCCC" w:sz="1"/>
            </w:tcBorders>
            <w:shd w:fill="1B6C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4090 H2D</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64 MB</w:t>
            </w:r>
          </w:p>
        </w:tc>
        <w:tc>
          <w:tcPr>
            <w:tcW w:type="dxa" w:w="10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29.4</w:t>
            </w:r>
          </w:p>
        </w:tc>
        <w:tc>
          <w:tcPr>
            <w:tcW w:type="dxa" w:w="10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61.4</w:t>
            </w:r>
          </w:p>
        </w:tc>
        <w:tc>
          <w:tcPr>
            <w:tcW w:type="dxa" w:w="10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77.6</w:t>
            </w:r>
          </w:p>
        </w:tc>
        <w:tc>
          <w:tcPr>
            <w:tcW w:type="dxa" w:w="10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154.4</w:t>
            </w:r>
          </w:p>
        </w:tc>
        <w:tc>
          <w:tcPr>
            <w:tcW w:type="dxa" w:w="10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97.5</w:t>
            </w:r>
          </w:p>
        </w:tc>
        <w:tc>
          <w:tcPr>
            <w:tcW w:type="dxa" w:w="10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10.3</w:t>
            </w:r>
          </w:p>
        </w:tc>
        <w:tc>
          <w:tcPr>
            <w:tcW w:type="dxa" w:w="10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9.8</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512 MB</w:t>
            </w:r>
          </w:p>
        </w:tc>
        <w:tc>
          <w:tcPr>
            <w:tcW w:type="dxa" w:w="1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42.4</w:t>
            </w:r>
          </w:p>
        </w:tc>
        <w:tc>
          <w:tcPr>
            <w:tcW w:type="dxa" w:w="1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71.8</w:t>
            </w:r>
          </w:p>
        </w:tc>
        <w:tc>
          <w:tcPr>
            <w:tcW w:type="dxa" w:w="1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77.7</w:t>
            </w:r>
          </w:p>
        </w:tc>
        <w:tc>
          <w:tcPr>
            <w:tcW w:type="dxa" w:w="1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287.1</w:t>
            </w:r>
          </w:p>
        </w:tc>
        <w:tc>
          <w:tcPr>
            <w:tcW w:type="dxa" w:w="1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141.4</w:t>
            </w:r>
          </w:p>
        </w:tc>
        <w:tc>
          <w:tcPr>
            <w:tcW w:type="dxa" w:w="1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10.6</w:t>
            </w:r>
          </w:p>
        </w:tc>
        <w:tc>
          <w:tcPr>
            <w:tcW w:type="dxa" w:w="1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11.2</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2048 MB</w:t>
            </w:r>
          </w:p>
        </w:tc>
        <w:tc>
          <w:tcPr>
            <w:tcW w:type="dxa" w:w="10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45.6</w:t>
            </w:r>
          </w:p>
        </w:tc>
        <w:tc>
          <w:tcPr>
            <w:tcW w:type="dxa" w:w="10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76.1</w:t>
            </w:r>
          </w:p>
        </w:tc>
        <w:tc>
          <w:tcPr>
            <w:tcW w:type="dxa" w:w="10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22.1</w:t>
            </w:r>
          </w:p>
        </w:tc>
        <w:tc>
          <w:tcPr>
            <w:tcW w:type="dxa" w:w="10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207.7</w:t>
            </w:r>
          </w:p>
        </w:tc>
        <w:tc>
          <w:tcPr>
            <w:tcW w:type="dxa" w:w="10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38.3</w:t>
            </w:r>
          </w:p>
        </w:tc>
        <w:tc>
          <w:tcPr>
            <w:tcW w:type="dxa" w:w="10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10.2</w:t>
            </w:r>
          </w:p>
        </w:tc>
        <w:tc>
          <w:tcPr>
            <w:tcW w:type="dxa" w:w="10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11.4</w:t>
            </w:r>
          </w:p>
        </w:tc>
      </w:tr>
    </w:tbl>
    <w:p>
      <w:pPr>
        <w:spacing w:after="80"/>
      </w:pPr>
      <w:r>
        <w:t xml:space="preserve"/>
      </w:r>
    </w:p>
    <w:p>
      <w:pPr>
        <w:spacing w:after="100"/>
      </w:pPr>
      <w:r>
        <w:rPr>
          <w:rFonts w:ascii="Arial" w:cs="Arial" w:eastAsia="Arial" w:hAnsi="Arial"/>
          <w:i/>
          <w:iCs/>
          <w:color w:val="666666"/>
          <w:sz w:val="18"/>
          <w:szCs w:val="18"/>
        </w:rPr>
        <w:t xml:space="preserve">The GB10 DGX Spark’s H2D numbers are exceptional because CPU and GPU share the same physical memory pool via NVLink C2C — there is no PCIe transfer. Other GPUs are bottlenecked by PCIe bandwidth (~10–15 GB/s).</w:t>
      </w:r>
    </w:p>
    <w:p>
      <w:pPr>
        <w:spacing w:after="80"/>
      </w:pPr>
      <w:r>
        <w:t xml:space="preserve"/>
      </w:r>
    </w:p>
    <w:p>
      <w:pPr>
        <w:spacing w:after="120"/>
      </w:pPr>
      <w:r>
        <w:rPr>
          <w:rFonts w:ascii="Arial" w:cs="Arial" w:eastAsia="Arial" w:hAnsi="Arial"/>
          <w:b/>
          <w:bCs/>
          <w:sz w:val="22"/>
          <w:szCs w:val="22"/>
        </w:rPr>
        <w:t xml:space="preserve">RTX 4090 leads D2D at 287 GB/s (512 MB)</w:t>
      </w:r>
      <w:r>
        <w:rPr>
          <w:rFonts w:ascii="Arial" w:cs="Arial" w:eastAsia="Arial" w:hAnsi="Arial"/>
          <w:sz w:val="22"/>
          <w:szCs w:val="22"/>
        </w:rPr>
        <w:t xml:space="preserve">, which explains its advantage in compute-heavy workloads. The </w:t>
      </w:r>
      <w:r>
        <w:rPr>
          <w:rFonts w:ascii="Arial" w:cs="Arial" w:eastAsia="Arial" w:hAnsi="Arial"/>
          <w:b/>
          <w:bCs/>
          <w:sz w:val="22"/>
          <w:szCs w:val="22"/>
        </w:rPr>
        <w:t xml:space="preserve">GB10’s H2D of 45.6 GB/s</w:t>
      </w:r>
      <w:r>
        <w:rPr>
          <w:rFonts w:ascii="Arial" w:cs="Arial" w:eastAsia="Arial" w:hAnsi="Arial"/>
          <w:sz w:val="22"/>
          <w:szCs w:val="22"/>
        </w:rPr>
        <w:t xml:space="preserve"> at 2 GB is far ahead of all discrete GPUs (which top out at ≈13 GB/s) because there is no physical PCIe bus — the CPU and GPU share the same LPDDR5X pool. This means </w:t>
      </w:r>
      <w:r>
        <w:rPr>
          <w:rFonts w:ascii="Arial" w:cs="Arial" w:eastAsia="Arial" w:hAnsi="Arial"/>
          <w:b/>
          <w:bCs/>
          <w:sz w:val="22"/>
          <w:szCs w:val="22"/>
        </w:rPr>
        <w:t xml:space="preserve">model loading is dramatically faster on the DGX Spark</w:t>
      </w:r>
      <w:r>
        <w:rPr>
          <w:rFonts w:ascii="Arial" w:cs="Arial" w:eastAsia="Arial" w:hAnsi="Arial"/>
          <w:sz w:val="22"/>
          <w:szCs w:val="22"/>
        </w:rPr>
        <w:t xml:space="preserve">: a 70B model in FP16 (~140 GB) would take under 4 seconds to “load” vs. impossible on 8/24 GB cards. </w:t>
      </w:r>
      <w:r>
        <w:rPr>
          <w:rFonts w:ascii="Arial" w:cs="Arial" w:eastAsia="Arial" w:hAnsi="Arial"/>
          <w:b/>
          <w:bCs/>
          <w:sz w:val="22"/>
          <w:szCs w:val="22"/>
        </w:rPr>
        <w:t xml:space="preserve">The RTX 5060 shows a marked D2D drop at 2 GB (38.3 GB/s vs. 141 GB/s at 512 MB)</w:t>
      </w:r>
      <w:r>
        <w:rPr>
          <w:rFonts w:ascii="Arial" w:cs="Arial" w:eastAsia="Arial" w:hAnsi="Arial"/>
          <w:sz w:val="22"/>
          <w:szCs w:val="22"/>
        </w:rPr>
        <w:t xml:space="preserve"> — see the anomalies section below.</w:t>
      </w:r>
    </w:p>
    <w:p>
      <w:pPr>
        <w:spacing w:after="80"/>
      </w:pPr>
      <w:r>
        <w:t xml:space="preserve"/>
      </w:r>
    </w:p>
    <w:p>
      <w:pPr>
        <w:pStyle w:val="Heading2"/>
      </w:pPr>
      <w:r>
        <w:rPr>
          <w:rFonts w:ascii="Arial" w:cs="Arial" w:eastAsia="Arial" w:hAnsi="Arial"/>
          <w:b/>
          <w:bCs/>
          <w:sz w:val="28"/>
          <w:szCs w:val="28"/>
        </w:rPr>
        <w:t xml:space="preserve">Anomaly: RTX 3050 D2D Collapses at 2 GB</w:t>
      </w:r>
    </w:p>
    <w:p>
      <w:pPr>
        <w:spacing w:after="120"/>
      </w:pPr>
      <w:r>
        <w:rPr>
          <w:rFonts w:ascii="Arial" w:cs="Arial" w:eastAsia="Arial" w:hAnsi="Arial"/>
          <w:sz w:val="22"/>
          <w:szCs w:val="22"/>
        </w:rPr>
        <w:t xml:space="preserve">The RTX 3050 records 77.6 GB/s D2D at 64 MB and 512 MB, but drops to just </w:t>
      </w:r>
      <w:r>
        <w:rPr>
          <w:rFonts w:ascii="Arial" w:cs="Arial" w:eastAsia="Arial" w:hAnsi="Arial"/>
          <w:b/>
          <w:bCs/>
          <w:sz w:val="22"/>
          <w:szCs w:val="22"/>
        </w:rPr>
        <w:t xml:space="preserve">22.1 GB/s at 2048 MB</w:t>
      </w:r>
      <w:r>
        <w:rPr>
          <w:rFonts w:ascii="Arial" w:cs="Arial" w:eastAsia="Arial" w:hAnsi="Arial"/>
          <w:sz w:val="22"/>
          <w:szCs w:val="22"/>
        </w:rPr>
        <w:t xml:space="preserve">. This is a severe degradation. Cross-referencing: the RTX 3050 OEM variant has only 8 GB of GDDR6 at 128-bit bus width. At 2 GB copy size, the operation likely exceeds the effective L2 cache working set, forcing full DRAM transfers under thermal or power throttle. The </w:t>
      </w:r>
      <w:r>
        <w:rPr>
          <w:rFonts w:ascii="Arial" w:cs="Arial" w:eastAsia="Arial" w:hAnsi="Arial"/>
          <w:b/>
          <w:bCs/>
          <w:sz w:val="22"/>
          <w:szCs w:val="22"/>
        </w:rPr>
        <w:t xml:space="preserve">55 W / 108 W observed power usage</w:t>
      </w:r>
      <w:r>
        <w:rPr>
          <w:rFonts w:ascii="Arial" w:cs="Arial" w:eastAsia="Arial" w:hAnsi="Arial"/>
          <w:sz w:val="22"/>
          <w:szCs w:val="22"/>
        </w:rPr>
        <w:t xml:space="preserve"> in the nvidia-smi snapshot suggests the card was running near its limit. The collapse from 77 to 22 GB/s is a meaningful real-world signal: </w:t>
      </w:r>
      <w:r>
        <w:rPr>
          <w:rFonts w:ascii="Arial" w:cs="Arial" w:eastAsia="Arial" w:hAnsi="Arial"/>
          <w:b/>
          <w:bCs/>
          <w:sz w:val="22"/>
          <w:szCs w:val="22"/>
        </w:rPr>
        <w:t xml:space="preserve">the RTX 3050 will struggle with model sizes that approach or exceed its on-chip cache hierarchy.</w:t>
      </w:r>
    </w:p>
    <w:p>
      <w:pPr>
        <w:spacing w:after="80"/>
      </w:pPr>
      <w:r>
        <w:t xml:space="preserve"/>
      </w:r>
    </w:p>
    <w:p>
      <w:pPr>
        <w:pStyle w:val="Heading2"/>
      </w:pPr>
      <w:r>
        <w:rPr>
          <w:rFonts w:ascii="Arial" w:cs="Arial" w:eastAsia="Arial" w:hAnsi="Arial"/>
          <w:b/>
          <w:bCs/>
          <w:sz w:val="28"/>
          <w:szCs w:val="28"/>
        </w:rPr>
        <w:t xml:space="preserve">Anomaly: RTX 5060 D2D Collapses at 2 GB</w:t>
      </w:r>
    </w:p>
    <w:p>
      <w:pPr>
        <w:spacing w:after="120"/>
      </w:pPr>
      <w:r>
        <w:rPr>
          <w:rFonts w:ascii="Arial" w:cs="Arial" w:eastAsia="Arial" w:hAnsi="Arial"/>
          <w:sz w:val="22"/>
          <w:szCs w:val="22"/>
        </w:rPr>
        <w:t xml:space="preserve">The RTX 5060 also drops dramatically from 141.4 GB/s (512 MB) to 38.3 GB/s (2 GB). This is surprising for a brand-new Blackwell card. The RTX 5060 uses GDDR7 with a 128-bit bus. Unlike the RTX 5060 Ti (which has the same GDDR7 but higher VRAM configuration), the base 5060’s </w:t>
      </w:r>
      <w:r>
        <w:rPr>
          <w:rFonts w:ascii="Arial" w:cs="Arial" w:eastAsia="Arial" w:hAnsi="Arial"/>
          <w:b/>
          <w:bCs/>
          <w:sz w:val="22"/>
          <w:szCs w:val="22"/>
        </w:rPr>
        <w:t xml:space="preserve">128-bit bus is narrow</w:t>
      </w:r>
      <w:r>
        <w:rPr>
          <w:rFonts w:ascii="Arial" w:cs="Arial" w:eastAsia="Arial" w:hAnsi="Arial"/>
          <w:sz w:val="22"/>
          <w:szCs w:val="22"/>
        </w:rPr>
        <w:t xml:space="preserve"> and the 2 GB stress test may be hitting PCIe or power-limit constraints on this early production card (observed 113 W / 145 W TDP, running at 100% util). Note that for typical AI inference in 8 GB of VRAM, most models will not require sustained 2 GB block copies, so this may be </w:t>
      </w:r>
      <w:r>
        <w:rPr>
          <w:rFonts w:ascii="Arial" w:cs="Arial" w:eastAsia="Arial" w:hAnsi="Arial"/>
          <w:b/>
          <w:bCs/>
          <w:sz w:val="22"/>
          <w:szCs w:val="22"/>
        </w:rPr>
        <w:t xml:space="preserve">less relevant in practice than the raw number suggests.</w:t>
      </w:r>
    </w:p>
    <w:p>
      <w:pPr>
        <w:spacing w:after="80"/>
      </w:pPr>
      <w:r>
        <w:t xml:space="preserve"/>
      </w:r>
    </w:p>
    <w:p>
      <w:pPr>
        <w:pStyle w:val="Heading2"/>
      </w:pPr>
      <w:r>
        <w:rPr>
          <w:rFonts w:ascii="Arial" w:cs="Arial" w:eastAsia="Arial" w:hAnsi="Arial"/>
          <w:b/>
          <w:bCs/>
          <w:sz w:val="28"/>
          <w:szCs w:val="28"/>
        </w:rPr>
        <w:t xml:space="preserve">GB10 D2H Is Extremely Low</w:t>
      </w:r>
    </w:p>
    <w:p>
      <w:pPr>
        <w:spacing w:after="120"/>
      </w:pPr>
      <w:r>
        <w:rPr>
          <w:rFonts w:ascii="Arial" w:cs="Arial" w:eastAsia="Arial" w:hAnsi="Arial"/>
          <w:sz w:val="22"/>
          <w:szCs w:val="22"/>
        </w:rPr>
        <w:t xml:space="preserve">The GB10’s D2H bandwidth (2.94–4.32 GB/s) is far below H2D (29–45 GB/s). On an integrated SoC with unified memory, the D2H direction is architecturally slower due to CPU-side bus controller characteristics. For inference use cases where results are small (text tokens, classification scores), this is </w:t>
      </w:r>
      <w:r>
        <w:rPr>
          <w:rFonts w:ascii="Arial" w:cs="Arial" w:eastAsia="Arial" w:hAnsi="Arial"/>
          <w:b/>
          <w:bCs/>
          <w:sz w:val="22"/>
          <w:szCs w:val="22"/>
        </w:rPr>
        <w:t xml:space="preserve">not a practical concern</w:t>
      </w:r>
      <w:r>
        <w:rPr>
          <w:rFonts w:ascii="Arial" w:cs="Arial" w:eastAsia="Arial" w:hAnsi="Arial"/>
          <w:sz w:val="22"/>
          <w:szCs w:val="22"/>
        </w:rPr>
        <w:t xml:space="preserve">. It would matter for vision or video pipelines returning large tensors to the host CPU.</w:t>
      </w:r>
    </w:p>
    <w:p>
      <w:pPr>
        <w:spacing w:after="80"/>
      </w:pPr>
      <w:r>
        <w:t xml:space="preserve"/>
      </w:r>
    </w:p>
    <w:p>
      <w:pPr>
        <w:pStyle w:val="Heading1"/>
      </w:pPr>
      <w:r>
        <w:rPr>
          <w:rFonts w:ascii="Arial" w:cs="Arial" w:eastAsia="Arial" w:hAnsi="Arial"/>
          <w:b/>
          <w:bCs/>
          <w:sz w:val="36"/>
          <w:szCs w:val="36"/>
        </w:rPr>
        <w:t xml:space="preserve">Cross-Reference with Published Specifications</w:t>
      </w:r>
    </w:p>
    <w:p>
      <w:pPr>
        <w:spacing w:after="120"/>
      </w:pPr>
      <w:r>
        <w:rPr>
          <w:rFonts w:ascii="Arial" w:cs="Arial" w:eastAsia="Arial" w:hAnsi="Arial"/>
          <w:sz w:val="22"/>
          <w:szCs w:val="22"/>
        </w:rPr>
        <w:t xml:space="preserve">Comparing benchmark results against published hardware specs reveals where measured performance aligns and where it diverges: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tcBorders>
              <w:top w:val="single" w:color="CCCCCC" w:sz="1"/>
              <w:left w:val="single" w:color="CCCCCC" w:sz="1"/>
              <w:bottom w:val="single" w:color="CCCCCC" w:sz="1"/>
              <w:right w:val="single" w:color="CCCCCC" w:sz="1"/>
            </w:tcBorders>
            <w:shd w:fill="1B6C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2320"/>
            <w:tcBorders>
              <w:top w:val="single" w:color="CCCCCC" w:sz="1"/>
              <w:left w:val="single" w:color="CCCCCC" w:sz="1"/>
              <w:bottom w:val="single" w:color="CCCCCC" w:sz="1"/>
              <w:right w:val="single" w:color="CCCCCC" w:sz="1"/>
            </w:tcBorders>
            <w:shd w:fill="1B6C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Expected (spec/theoretical)</w:t>
            </w:r>
          </w:p>
        </w:tc>
        <w:tc>
          <w:tcPr>
            <w:tcW w:type="dxa" w:w="2320"/>
            <w:tcBorders>
              <w:top w:val="single" w:color="CCCCCC" w:sz="1"/>
              <w:left w:val="single" w:color="CCCCCC" w:sz="1"/>
              <w:bottom w:val="single" w:color="CCCCCC" w:sz="1"/>
              <w:right w:val="single" w:color="CCCCCC" w:sz="1"/>
            </w:tcBorders>
            <w:shd w:fill="1B6C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Measured (large tier)</w:t>
            </w:r>
          </w:p>
        </w:tc>
        <w:tc>
          <w:tcPr>
            <w:tcW w:type="dxa" w:w="2320"/>
            <w:tcBorders>
              <w:top w:val="single" w:color="CCCCCC" w:sz="1"/>
              <w:left w:val="single" w:color="CCCCCC" w:sz="1"/>
              <w:bottom w:val="single" w:color="CCCCCC" w:sz="1"/>
              <w:right w:val="single" w:color="CCCCCC" w:sz="1"/>
            </w:tcBorders>
            <w:shd w:fill="1B6C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RTX 4090 FP16 TFLOPS</w:t>
            </w:r>
          </w:p>
        </w:tc>
        <w:tc>
          <w:tcPr>
            <w:tcW w:type="dxa" w:w="2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~165 TFLOPS (spec)</w:t>
            </w:r>
          </w:p>
        </w:tc>
        <w:tc>
          <w:tcPr>
            <w:tcW w:type="dxa" w:w="2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160.0 TFLOPS</w:t>
            </w:r>
          </w:p>
        </w:tc>
        <w:tc>
          <w:tcPr>
            <w:tcW w:type="dxa" w:w="232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 97% efficiency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RTX 4090 D2D BW</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1,008 GB/s (spec)</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207–287 GB/s</w:t>
            </w:r>
          </w:p>
        </w:tc>
        <w:tc>
          <w:tcPr>
            <w:tcW w:type="dxa" w:w="232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 20–28% of spec</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GB10 FP4 TFLOPS</w:t>
            </w:r>
          </w:p>
        </w:tc>
        <w:tc>
          <w:tcPr>
            <w:tcW w:type="dxa" w:w="2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~1,000 TOPS (spec, FP4 AI)</w:t>
            </w:r>
          </w:p>
        </w:tc>
        <w:tc>
          <w:tcPr>
            <w:tcW w:type="dxa" w:w="2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314.5 TFLOPS FP4</w:t>
            </w:r>
          </w:p>
        </w:tc>
        <w:tc>
          <w:tcPr>
            <w:tcW w:type="dxa" w:w="232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 Below spec (different metric)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RTX 5060 FP16 TFLOPS</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~45 TFLOPS (estimated)</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39.3 TFLOPS</w:t>
            </w:r>
          </w:p>
        </w:tc>
        <w:tc>
          <w:tcPr>
            <w:tcW w:type="dxa" w:w="232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 87% efficiency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RTX 3050 FP16 TFLOPS</w:t>
            </w:r>
          </w:p>
        </w:tc>
        <w:tc>
          <w:tcPr>
            <w:tcW w:type="dxa" w:w="2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~20 TFLOPS (spec)</w:t>
            </w:r>
          </w:p>
        </w:tc>
        <w:tc>
          <w:tcPr>
            <w:tcW w:type="dxa" w:w="2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16.9 TFLOPS</w:t>
            </w:r>
          </w:p>
        </w:tc>
        <w:tc>
          <w:tcPr>
            <w:tcW w:type="dxa" w:w="232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 85% efficiency</w:t>
            </w:r>
          </w:p>
        </w:tc>
      </w:tr>
    </w:tbl>
    <w:p>
      <w:pPr>
        <w:spacing w:after="80"/>
      </w:pPr>
      <w:r>
        <w:t xml:space="preserve"/>
      </w:r>
    </w:p>
    <w:p>
      <w:pPr>
        <w:spacing w:after="100"/>
      </w:pPr>
      <w:r>
        <w:rPr>
          <w:rFonts w:ascii="Arial" w:cs="Arial" w:eastAsia="Arial" w:hAnsi="Arial"/>
          <w:i/>
          <w:iCs/>
          <w:color w:val="666666"/>
          <w:sz w:val="18"/>
          <w:szCs w:val="18"/>
        </w:rPr>
        <w:t xml:space="preserve">The RTX 4090 D2D bandwidth gap vs. spec is expected: published 1,008 GB/s is peak theoretical, while the benchmark measures sustained real-world memcopy. The GB10 NVIDIA spec cites 1 petaFLOP at FP4 precision using AI TOPS with structured sparsity — directly comparable to the matmul FP4 TFLOPS metric only at full utilisation with sparsity enabled.</w:t>
      </w:r>
    </w:p>
    <w:p>
      <w:pPr>
        <w:spacing w:after="80"/>
      </w:pPr>
      <w:r>
        <w:t xml:space="preserve"/>
      </w:r>
    </w:p>
    <w:p>
      <w:pPr>
        <w:pStyle w:val="Heading1"/>
      </w:pPr>
      <w:r>
        <w:rPr>
          <w:rFonts w:ascii="Arial" w:cs="Arial" w:eastAsia="Arial" w:hAnsi="Arial"/>
          <w:b/>
          <w:bCs/>
          <w:sz w:val="36"/>
          <w:szCs w:val="36"/>
        </w:rPr>
        <w:t xml:space="preserve">Practical AI Inference Comparison</w:t>
      </w:r>
    </w:p>
    <w:p>
      <w:pPr>
        <w:spacing w:after="120"/>
      </w:pPr>
      <w:r>
        <w:rPr>
          <w:rFonts w:ascii="Arial" w:cs="Arial" w:eastAsia="Arial" w:hAnsi="Arial"/>
          <w:sz w:val="22"/>
          <w:szCs w:val="22"/>
        </w:rPr>
        <w:t xml:space="preserve">Using FP16 GPU transformer throughput (seq=2048) as the proxy for real LLM inference speed:</w:t>
      </w:r>
    </w:p>
    <w:p>
      <w:pPr>
        <w:spacing w:after="8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1840"/>
        <w:gridCol w:w="1840"/>
        <w:gridCol w:w="1840"/>
        <w:gridCol w:w="1840"/>
      </w:tblGrid>
      <w:tr>
        <w:trPr>
          <w:tblHeader/>
        </w:trPr>
        <w:tc>
          <w:tcPr>
            <w:tcW w:type="dxa" w:w="2200"/>
            <w:tcBorders>
              <w:top w:val="single" w:color="CCCCCC" w:sz="1"/>
              <w:left w:val="single" w:color="CCCCCC" w:sz="1"/>
              <w:bottom w:val="single" w:color="CCCCCC" w:sz="1"/>
              <w:right w:val="single" w:color="CCCCCC" w:sz="1"/>
            </w:tcBorders>
            <w:shd w:fill="1B6C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Benchmark (large-tier)</w:t>
            </w:r>
          </w:p>
        </w:tc>
        <w:tc>
          <w:tcPr>
            <w:tcW w:type="dxa" w:w="1840"/>
            <w:tcBorders>
              <w:top w:val="single" w:color="CCCCCC" w:sz="1"/>
              <w:left w:val="single" w:color="CCCCCC" w:sz="1"/>
              <w:bottom w:val="single" w:color="CCCCCC" w:sz="1"/>
              <w:right w:val="single" w:color="CCCCCC" w:sz="1"/>
            </w:tcBorders>
            <w:shd w:fill="1B6C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GB10 DGX Spark</w:t>
            </w:r>
          </w:p>
        </w:tc>
        <w:tc>
          <w:tcPr>
            <w:tcW w:type="dxa" w:w="1840"/>
            <w:tcBorders>
              <w:top w:val="single" w:color="CCCCCC" w:sz="1"/>
              <w:left w:val="single" w:color="CCCCCC" w:sz="1"/>
              <w:bottom w:val="single" w:color="CCCCCC" w:sz="1"/>
              <w:right w:val="single" w:color="CCCCCC" w:sz="1"/>
            </w:tcBorders>
            <w:shd w:fill="1B6C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RTX 3050</w:t>
            </w:r>
          </w:p>
        </w:tc>
        <w:tc>
          <w:tcPr>
            <w:tcW w:type="dxa" w:w="1840"/>
            <w:tcBorders>
              <w:top w:val="single" w:color="CCCCCC" w:sz="1"/>
              <w:left w:val="single" w:color="CCCCCC" w:sz="1"/>
              <w:bottom w:val="single" w:color="CCCCCC" w:sz="1"/>
              <w:right w:val="single" w:color="CCCCCC" w:sz="1"/>
            </w:tcBorders>
            <w:shd w:fill="1B6C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RTX 4090</w:t>
            </w:r>
          </w:p>
        </w:tc>
        <w:tc>
          <w:tcPr>
            <w:tcW w:type="dxa" w:w="1840"/>
            <w:tcBorders>
              <w:top w:val="single" w:color="CCCCCC" w:sz="1"/>
              <w:left w:val="single" w:color="CCCCCC" w:sz="1"/>
              <w:bottom w:val="single" w:color="CCCCCC" w:sz="1"/>
              <w:right w:val="single" w:color="CCCCCC" w:sz="1"/>
            </w:tcBorders>
            <w:shd w:fill="1B6C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RTX 5060</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Matmul FP16 @ 8192 (TFLOPS)</w:t>
            </w:r>
          </w:p>
        </w:tc>
        <w:tc>
          <w:tcPr>
            <w:tcW w:type="dxa" w:w="1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60.7</w:t>
            </w:r>
          </w:p>
        </w:tc>
        <w:tc>
          <w:tcPr>
            <w:tcW w:type="dxa" w:w="1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16.9</w:t>
            </w:r>
          </w:p>
        </w:tc>
        <w:tc>
          <w:tcPr>
            <w:tcW w:type="dxa" w:w="1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160.0</w:t>
            </w:r>
          </w:p>
        </w:tc>
        <w:tc>
          <w:tcPr>
            <w:tcW w:type="dxa" w:w="1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39.3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Matmul FP32 @ 8192 (TFLOPS)</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38.2</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4.9</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54.2</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13.9</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ResNet-50 FP16 batch=128 (img/s)</w:t>
            </w:r>
          </w:p>
        </w:tc>
        <w:tc>
          <w:tcPr>
            <w:tcW w:type="dxa" w:w="1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1,054</w:t>
            </w:r>
          </w:p>
        </w:tc>
        <w:tc>
          <w:tcPr>
            <w:tcW w:type="dxa" w:w="1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699</w:t>
            </w:r>
          </w:p>
        </w:tc>
        <w:tc>
          <w:tcPr>
            <w:tcW w:type="dxa" w:w="1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4,319</w:t>
            </w:r>
          </w:p>
        </w:tc>
        <w:tc>
          <w:tcPr>
            <w:tcW w:type="dxa" w:w="1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1,418</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ResNet-50 FP32 batch=128 (img/s)</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561</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388</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2,283</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806</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GPT-2 FP16 seq=2048 (tok/s)</w:t>
            </w:r>
          </w:p>
        </w:tc>
        <w:tc>
          <w:tcPr>
            <w:tcW w:type="dxa" w:w="1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45,231</w:t>
            </w:r>
          </w:p>
        </w:tc>
        <w:tc>
          <w:tcPr>
            <w:tcW w:type="dxa" w:w="1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21,910</w:t>
            </w:r>
          </w:p>
        </w:tc>
        <w:tc>
          <w:tcPr>
            <w:tcW w:type="dxa" w:w="1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160,022</w:t>
            </w:r>
          </w:p>
        </w:tc>
        <w:tc>
          <w:tcPr>
            <w:tcW w:type="dxa" w:w="1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64,441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GPT-2 FP32 seq=2048 (tok/s)</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23,821</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10,493</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64,452</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23,964</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D2D BW @ 2048MB (GB/s)</w:t>
            </w:r>
          </w:p>
        </w:tc>
        <w:tc>
          <w:tcPr>
            <w:tcW w:type="dxa" w:w="1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76.1</w:t>
            </w:r>
          </w:p>
        </w:tc>
        <w:tc>
          <w:tcPr>
            <w:tcW w:type="dxa" w:w="1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22.1</w:t>
            </w:r>
          </w:p>
        </w:tc>
        <w:tc>
          <w:tcPr>
            <w:tcW w:type="dxa" w:w="1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207.7</w:t>
            </w:r>
          </w:p>
        </w:tc>
        <w:tc>
          <w:tcPr>
            <w:tcW w:type="dxa" w:w="1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38.3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H2D BW @ 2048MB (GB/s)</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45.6</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10.2</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11.4</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13.2</w:t>
            </w:r>
          </w:p>
        </w:tc>
      </w:tr>
    </w:tbl>
    <w:p>
      <w:pPr>
        <w:spacing w:after="80"/>
      </w:pPr>
      <w:r>
        <w:t xml:space="preserve"/>
      </w:r>
    </w:p>
    <w:p>
      <w:pPr>
        <w:spacing w:after="120"/>
      </w:pPr>
      <w:r>
        <w:rPr>
          <w:rFonts w:ascii="Arial" w:cs="Arial" w:eastAsia="Arial" w:hAnsi="Arial"/>
          <w:b/>
          <w:bCs/>
          <w:sz w:val="22"/>
          <w:szCs w:val="22"/>
        </w:rPr>
        <w:t xml:space="preserve">Value analysis: </w:t>
      </w:r>
      <w:r>
        <w:rPr>
          <w:rFonts w:ascii="Arial" w:cs="Arial" w:eastAsia="Arial" w:hAnsi="Arial"/>
          <w:sz w:val="22"/>
          <w:szCs w:val="22"/>
        </w:rPr>
        <w:t xml:space="preserve">At $299, the RTX 5060 delivers 64,441 tok/s FP16. The RTX 4090 at ~$1,600 delivers 160,022 tok/s—a 2.5× speed improvement at a 5.4× price increase. For a solo developer running 7–13B models, the RTX 5060 is the most efficient entry point. For teams needing maximum throughput on a single GPU, the RTX 4090 remains the consumer-class standard. For anyone who needs to run 70B+ models locally, the DGX Spark is the only viable option in this group.</w:t>
      </w:r>
    </w:p>
    <w:p>
      <w:pPr>
        <w:spacing w:after="80"/>
      </w:pPr>
      <w:r>
        <w:t xml:space="preserve"/>
      </w:r>
    </w:p>
    <w:p>
      <w:pPr>
        <w:pStyle w:val="Heading1"/>
      </w:pPr>
      <w:r>
        <w:rPr>
          <w:rFonts w:ascii="Arial" w:cs="Arial" w:eastAsia="Arial" w:hAnsi="Arial"/>
          <w:b/>
          <w:bCs/>
          <w:sz w:val="36"/>
          <w:szCs w:val="36"/>
        </w:rPr>
        <w:t xml:space="preserve">Buyer’s Guide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400"/>
      </w:tblGrid>
      <w:tr>
        <w:trPr>
          <w:tblHeader/>
        </w:trPr>
        <w:tc>
          <w:tcPr>
            <w:tcW w:type="dxa" w:w="2600"/>
            <w:tcBorders>
              <w:top w:val="single" w:color="CCCCCC" w:sz="1"/>
              <w:left w:val="single" w:color="CCCCCC" w:sz="1"/>
              <w:bottom w:val="single" w:color="CCCCCC" w:sz="1"/>
              <w:right w:val="single" w:color="CCCCCC" w:sz="1"/>
            </w:tcBorders>
            <w:shd w:fill="1B6C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Buyer Profile</w:t>
            </w:r>
          </w:p>
        </w:tc>
        <w:tc>
          <w:tcPr>
            <w:tcW w:type="dxa" w:w="3400"/>
            <w:tcBorders>
              <w:top w:val="single" w:color="CCCCCC" w:sz="1"/>
              <w:left w:val="single" w:color="CCCCCC" w:sz="1"/>
              <w:bottom w:val="single" w:color="CCCCCC" w:sz="1"/>
              <w:right w:val="single" w:color="CCCCCC" w:sz="1"/>
            </w:tcBorders>
            <w:shd w:fill="1B6C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Recommended GPU</w:t>
            </w:r>
          </w:p>
        </w:tc>
        <w:tc>
          <w:tcPr>
            <w:tcW w:type="dxa" w:w="3400"/>
            <w:tcBorders>
              <w:top w:val="single" w:color="CCCCCC" w:sz="1"/>
              <w:left w:val="single" w:color="CCCCCC" w:sz="1"/>
              <w:bottom w:val="single" w:color="CCCCCC" w:sz="1"/>
              <w:right w:val="single" w:color="CCCCCC" w:sz="1"/>
            </w:tcBorders>
            <w:shd w:fill="1B6C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Reason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Local LLM inference (7B–13B)</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RTX 4090</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Highest tokens/s in class; 24 GB VRAM avoids offloading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Large model dev (70B+)</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DGX Spark (GB10)</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128 GB unified memory is the only option at this price tier</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Budget PC ML / hobbyist</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RTX 5060</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Best modern architecture at $299; FP4/FP8 support; DLSS 4</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Casual gaming + light AI</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RTX 5060 or RTX 3050</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RTX 3050 for lowest cost; RTX 5060 for longevity</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Throughput-focused training</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RTX 4090</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D2D bandwidth leads consumer cards; 24 GB VRAM headroom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Compact desk AI workstation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DGX Spark (GB10)</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Integrated CUDA stack, 200 GbE, designed for this use case</w:t>
            </w:r>
          </w:p>
        </w:tc>
      </w:tr>
    </w:tbl>
    <w:p>
      <w:pPr>
        <w:spacing w:after="80"/>
      </w:pPr>
      <w:r>
        <w:t xml:space="preserve"/>
      </w:r>
    </w:p>
    <w:p>
      <w:pPr>
        <w:pStyle w:val="Heading2"/>
      </w:pPr>
      <w:r>
        <w:rPr>
          <w:rFonts w:ascii="Arial" w:cs="Arial" w:eastAsia="Arial" w:hAnsi="Arial"/>
          <w:b/>
          <w:bCs/>
          <w:sz w:val="28"/>
          <w:szCs w:val="28"/>
        </w:rPr>
        <w:t xml:space="preserve">RTX 5060 — The Surprise Contender</w:t>
      </w:r>
    </w:p>
    <w:p>
      <w:pPr>
        <w:spacing w:after="120"/>
      </w:pPr>
      <w:r>
        <w:rPr>
          <w:rFonts w:ascii="Arial" w:cs="Arial" w:eastAsia="Arial" w:hAnsi="Arial"/>
          <w:sz w:val="22"/>
          <w:szCs w:val="22"/>
        </w:rPr>
        <w:t xml:space="preserve">At $299, the RTX 5060 offers FP4 and FP8 hardware support, DLSS 4 Multi Frame Generation, and transformer inference only 2.5× behind the $1,600 RTX 4090. Independent gaming reviews (GamersNexus, TechRadar) place it roughly </w:t>
      </w:r>
      <w:r>
        <w:rPr>
          <w:rFonts w:ascii="Arial" w:cs="Arial" w:eastAsia="Arial" w:hAnsi="Arial"/>
          <w:b/>
          <w:bCs/>
          <w:sz w:val="22"/>
          <w:szCs w:val="22"/>
        </w:rPr>
        <w:t xml:space="preserve">equal to an RTX 3070 in gaming performance</w:t>
      </w:r>
      <w:r>
        <w:rPr>
          <w:rFonts w:ascii="Arial" w:cs="Arial" w:eastAsia="Arial" w:hAnsi="Arial"/>
          <w:sz w:val="22"/>
          <w:szCs w:val="22"/>
        </w:rPr>
        <w:t xml:space="preserve"> at a lower price. The key caveat is </w:t>
      </w:r>
      <w:r>
        <w:rPr>
          <w:rFonts w:ascii="Arial" w:cs="Arial" w:eastAsia="Arial" w:hAnsi="Arial"/>
          <w:b/>
          <w:bCs/>
          <w:sz w:val="22"/>
          <w:szCs w:val="22"/>
        </w:rPr>
        <w:t xml:space="preserve">8 GB VRAM</w:t>
      </w:r>
      <w:r>
        <w:rPr>
          <w:rFonts w:ascii="Arial" w:cs="Arial" w:eastAsia="Arial" w:hAnsi="Arial"/>
          <w:sz w:val="22"/>
          <w:szCs w:val="22"/>
        </w:rPr>
        <w:t xml:space="preserve">: sufficient for 7B models in Q4 quantisation and all gaming at 1080p, but limiting for larger models or 1440p+ at maximum settings. NVIDIA did not sample the RTX 5060 to reviewers at launch, which is a yellow flag; third-party benchmarks confirm the performance but also confirm that 8 GB will be a ceiling for model size.</w:t>
      </w:r>
    </w:p>
    <w:p>
      <w:pPr>
        <w:spacing w:after="80"/>
      </w:pPr>
      <w:r>
        <w:t xml:space="preserve"/>
      </w:r>
    </w:p>
    <w:p>
      <w:pPr>
        <w:pStyle w:val="Heading2"/>
      </w:pPr>
      <w:r>
        <w:rPr>
          <w:rFonts w:ascii="Arial" w:cs="Arial" w:eastAsia="Arial" w:hAnsi="Arial"/>
          <w:b/>
          <w:bCs/>
          <w:sz w:val="28"/>
          <w:szCs w:val="28"/>
        </w:rPr>
        <w:t xml:space="preserve">RTX 4090 — Still the AI Throughput King</w:t>
      </w:r>
    </w:p>
    <w:p>
      <w:pPr>
        <w:spacing w:after="120"/>
      </w:pPr>
      <w:r>
        <w:rPr>
          <w:rFonts w:ascii="Arial" w:cs="Arial" w:eastAsia="Arial" w:hAnsi="Arial"/>
          <w:sz w:val="22"/>
          <w:szCs w:val="22"/>
        </w:rPr>
        <w:t xml:space="preserve">The RTX 4090’s 24 GB GDDR6X and Ada Lovelace FP8 tensor cores make it the fastest single-consumer GPU for AI workloads in these benchmarks. It is now 3+ years old (released October 2022) and street prices have settled at ~$1,500–1,700. For ML developers who need maximum single-GPU inference speed and model fit up to ~20B parameters in FP16, </w:t>
      </w:r>
      <w:r>
        <w:rPr>
          <w:rFonts w:ascii="Arial" w:cs="Arial" w:eastAsia="Arial" w:hAnsi="Arial"/>
          <w:b/>
          <w:bCs/>
          <w:sz w:val="22"/>
          <w:szCs w:val="22"/>
        </w:rPr>
        <w:t xml:space="preserve">no other consumer option beats it</w:t>
      </w:r>
      <w:r>
        <w:rPr>
          <w:rFonts w:ascii="Arial" w:cs="Arial" w:eastAsia="Arial" w:hAnsi="Arial"/>
          <w:sz w:val="22"/>
          <w:szCs w:val="22"/>
        </w:rPr>
        <w:t xml:space="preserve">. Its 450 W TDP requires a robust PSU (850–1,000 W recommended).</w:t>
      </w:r>
    </w:p>
    <w:p>
      <w:pPr>
        <w:spacing w:after="80"/>
      </w:pPr>
      <w:r>
        <w:t xml:space="preserve"/>
      </w:r>
    </w:p>
    <w:p>
      <w:pPr>
        <w:pStyle w:val="Heading2"/>
      </w:pPr>
      <w:r>
        <w:rPr>
          <w:rFonts w:ascii="Arial" w:cs="Arial" w:eastAsia="Arial" w:hAnsi="Arial"/>
          <w:b/>
          <w:bCs/>
          <w:sz w:val="28"/>
          <w:szCs w:val="28"/>
        </w:rPr>
        <w:t xml:space="preserve">DGX Spark (GB10) — A Different Category</w:t>
      </w:r>
    </w:p>
    <w:p>
      <w:pPr>
        <w:spacing w:after="120"/>
      </w:pPr>
      <w:r>
        <w:rPr>
          <w:rFonts w:ascii="Arial" w:cs="Arial" w:eastAsia="Arial" w:hAnsi="Arial"/>
          <w:sz w:val="22"/>
          <w:szCs w:val="22"/>
        </w:rPr>
        <w:t xml:space="preserve">The DGX Spark is not a GPU upgrade—it is a </w:t>
      </w:r>
      <w:r>
        <w:rPr>
          <w:rFonts w:ascii="Arial" w:cs="Arial" w:eastAsia="Arial" w:hAnsi="Arial"/>
          <w:b/>
          <w:bCs/>
          <w:sz w:val="22"/>
          <w:szCs w:val="22"/>
        </w:rPr>
        <w:t xml:space="preserve">personal AI development appliance</w:t>
      </w:r>
      <w:r>
        <w:rPr>
          <w:rFonts w:ascii="Arial" w:cs="Arial" w:eastAsia="Arial" w:hAnsi="Arial"/>
          <w:sz w:val="22"/>
          <w:szCs w:val="22"/>
        </w:rPr>
        <w:t xml:space="preserve">. At $3,999, it provides 128 GB of unified memory, full CUDA software stack, and 200 GbE networking. Benchmarks show it is </w:t>
      </w:r>
      <w:r>
        <w:rPr>
          <w:rFonts w:ascii="Arial" w:cs="Arial" w:eastAsia="Arial" w:hAnsi="Arial"/>
          <w:b/>
          <w:bCs/>
          <w:sz w:val="22"/>
          <w:szCs w:val="22"/>
        </w:rPr>
        <w:t xml:space="preserve">not the fastest GPU for throughput</w:t>
      </w:r>
      <w:r>
        <w:rPr>
          <w:rFonts w:ascii="Arial" w:cs="Arial" w:eastAsia="Arial" w:hAnsi="Arial"/>
          <w:sz w:val="22"/>
          <w:szCs w:val="22"/>
        </w:rPr>
        <w:t xml:space="preserve">: the RTX 4090 and RTX 5060 both beat it on tokens/second for models that fit in their VRAM. The DGX Spark’s value is entirely in its ability to run </w:t>
      </w:r>
      <w:r>
        <w:rPr>
          <w:rFonts w:ascii="Arial" w:cs="Arial" w:eastAsia="Arial" w:hAnsi="Arial"/>
          <w:b/>
          <w:bCs/>
          <w:sz w:val="22"/>
          <w:szCs w:val="22"/>
        </w:rPr>
        <w:t xml:space="preserve">70B parameter models locally without quantisation</w:t>
      </w:r>
      <w:r>
        <w:rPr>
          <w:rFonts w:ascii="Arial" w:cs="Arial" w:eastAsia="Arial" w:hAnsi="Arial"/>
          <w:sz w:val="22"/>
          <w:szCs w:val="22"/>
        </w:rPr>
        <w:t xml:space="preserve">, something no consumer GPU can do. NVIDIA prices it against a Mac Studio with 128 GB—and the comparison is apt: it’s a developer workstation, not a gaming upgrade.</w:t>
      </w:r>
    </w:p>
    <w:p>
      <w:pPr>
        <w:spacing w:after="80"/>
      </w:pPr>
      <w:r>
        <w:t xml:space="preserve"/>
      </w:r>
    </w:p>
    <w:p>
      <w:pPr>
        <w:pStyle w:val="Heading2"/>
      </w:pPr>
      <w:r>
        <w:rPr>
          <w:rFonts w:ascii="Arial" w:cs="Arial" w:eastAsia="Arial" w:hAnsi="Arial"/>
          <w:b/>
          <w:bCs/>
          <w:sz w:val="28"/>
          <w:szCs w:val="28"/>
        </w:rPr>
        <w:t xml:space="preserve">RTX 3050 OEM — Entry Level with Hidden Flaws</w:t>
      </w:r>
    </w:p>
    <w:p>
      <w:pPr>
        <w:spacing w:after="120"/>
      </w:pPr>
      <w:r>
        <w:rPr>
          <w:rFonts w:ascii="Arial" w:cs="Arial" w:eastAsia="Arial" w:hAnsi="Arial"/>
          <w:sz w:val="22"/>
          <w:szCs w:val="22"/>
        </w:rPr>
        <w:t xml:space="preserve">The RTX 3050 OEM is Ampere-generation entry-level hardware. It lacks FP8/FP4 support and shows the D2D bandwidth collapse at 2 GB that limits its suitability for models approaching its VRAM ceiling. At ~$150–200 used, it is adequate for 3–7B quantised models, basic fine-tuning experiments, and 1080p gaming. </w:t>
      </w:r>
      <w:r>
        <w:rPr>
          <w:rFonts w:ascii="Arial" w:cs="Arial" w:eastAsia="Arial" w:hAnsi="Arial"/>
          <w:b/>
          <w:bCs/>
          <w:sz w:val="22"/>
          <w:szCs w:val="22"/>
        </w:rPr>
        <w:t xml:space="preserve">It is not a good long-term investment</w:t>
      </w:r>
      <w:r>
        <w:rPr>
          <w:rFonts w:ascii="Arial" w:cs="Arial" w:eastAsia="Arial" w:hAnsi="Arial"/>
          <w:sz w:val="22"/>
          <w:szCs w:val="22"/>
        </w:rPr>
        <w:t xml:space="preserve"> given that Blackwell cards with FP4 support are now available at $299 (RTX 5060), and the architectural gap will widen as quantisation-aware inference frameworks mature.</w:t>
      </w:r>
    </w:p>
    <w:p>
      <w:pPr>
        <w:spacing w:after="80"/>
      </w:pPr>
      <w:r>
        <w:t xml:space="preserve"/>
      </w:r>
    </w:p>
    <w:p>
      <w:pPr>
        <w:pStyle w:val="Heading1"/>
      </w:pPr>
      <w:r>
        <w:rPr>
          <w:rFonts w:ascii="Arial" w:cs="Arial" w:eastAsia="Arial" w:hAnsi="Arial"/>
          <w:b/>
          <w:bCs/>
          <w:sz w:val="36"/>
          <w:szCs w:val="36"/>
        </w:rPr>
        <w:t xml:space="preserve">Conclusions</w:t>
      </w:r>
    </w:p>
    <w:p>
      <w:pPr>
        <w:spacing w:after="120"/>
      </w:pPr>
      <w:r>
        <w:rPr>
          <w:rFonts w:ascii="Arial" w:cs="Arial" w:eastAsia="Arial" w:hAnsi="Arial"/>
          <w:sz w:val="22"/>
          <w:szCs w:val="22"/>
        </w:rPr>
        <w:t xml:space="preserve">These benchmarks reveal a GPU market stratified more by memory capacity and precision format support than by raw TFLOPS. The headline findings are:</w:t>
      </w:r>
    </w:p>
    <w:p>
      <w:pPr>
        <w:spacing w:after="80"/>
      </w:pPr>
      <w:r>
        <w:t xml:space="preserve"/>
      </w:r>
    </w:p>
    <w:p>
      <w:pPr>
        <w:pStyle w:val="ListParagraph"/>
        <w:numPr>
          <w:ilvl w:val="0"/>
          <w:numId w:val="2"/>
        </w:numPr>
        <w:spacing w:after="80"/>
      </w:pPr>
      <w:r>
        <w:rPr>
          <w:rFonts w:ascii="Arial" w:cs="Arial" w:eastAsia="Arial" w:hAnsi="Arial"/>
          <w:sz w:val="22"/>
          <w:szCs w:val="22"/>
        </w:rPr>
        <w:t xml:space="preserve">1. The RTX 4090 remains the best single consumer GPU for AI throughput where 24 GB VRAM suffices.</w:t>
      </w:r>
    </w:p>
    <w:p>
      <w:pPr>
        <w:pStyle w:val="ListParagraph"/>
        <w:numPr>
          <w:ilvl w:val="0"/>
          <w:numId w:val="2"/>
        </w:numPr>
        <w:spacing w:after="80"/>
      </w:pPr>
      <w:r>
        <w:rPr>
          <w:rFonts w:ascii="Arial" w:cs="Arial" w:eastAsia="Arial" w:hAnsi="Arial"/>
          <w:sz w:val="22"/>
          <w:szCs w:val="22"/>
        </w:rPr>
        <w:t xml:space="preserve">2. The RTX 5060 at $299 is a genuine generational value for Blackwell FP4/FP8 workloads, despite its 8 GB VRAM ceiling.</w:t>
      </w:r>
    </w:p>
    <w:p>
      <w:pPr>
        <w:pStyle w:val="ListParagraph"/>
        <w:numPr>
          <w:ilvl w:val="0"/>
          <w:numId w:val="2"/>
        </w:numPr>
        <w:spacing w:after="80"/>
      </w:pPr>
      <w:r>
        <w:rPr>
          <w:rFonts w:ascii="Arial" w:cs="Arial" w:eastAsia="Arial" w:hAnsi="Arial"/>
          <w:sz w:val="22"/>
          <w:szCs w:val="22"/>
        </w:rPr>
        <w:t xml:space="preserve">3. The DGX Spark is the only desktop option for 70B+ model inference; its GPU is not fast—its memory pool is.</w:t>
      </w:r>
    </w:p>
    <w:p>
      <w:pPr>
        <w:pStyle w:val="ListParagraph"/>
        <w:numPr>
          <w:ilvl w:val="0"/>
          <w:numId w:val="2"/>
        </w:numPr>
        <w:spacing w:after="80"/>
      </w:pPr>
      <w:r>
        <w:rPr>
          <w:rFonts w:ascii="Arial" w:cs="Arial" w:eastAsia="Arial" w:hAnsi="Arial"/>
          <w:sz w:val="22"/>
          <w:szCs w:val="22"/>
        </w:rPr>
        <w:t xml:space="preserve">4. The RTX 3050’s D2D bandwidth collapse at 2 GB is a meaningful real-world red flag for memory-intensive inference.</w:t>
      </w:r>
    </w:p>
    <w:p>
      <w:pPr>
        <w:pStyle w:val="ListParagraph"/>
        <w:numPr>
          <w:ilvl w:val="0"/>
          <w:numId w:val="2"/>
        </w:numPr>
        <w:spacing w:after="80"/>
      </w:pPr>
      <w:r>
        <w:rPr>
          <w:rFonts w:ascii="Arial" w:cs="Arial" w:eastAsia="Arial" w:hAnsi="Arial"/>
          <w:sz w:val="22"/>
          <w:szCs w:val="22"/>
        </w:rPr>
        <w:t xml:space="preserve">5. Several small-matrix anomalies (4090 FP16 &lt; FP32, GB10 FP8 collapse) are benchmark artefacts that disappear at workload-relevant scales.</w:t>
      </w:r>
    </w:p>
    <w:p>
      <w:pPr>
        <w:spacing w:after="80"/>
      </w:pPr>
      <w:r>
        <w:t xml:space="preserve"/>
      </w:r>
    </w:p>
    <w:p>
      <w:pPr>
        <w:spacing w:after="100"/>
      </w:pPr>
      <w:r>
        <w:rPr>
          <w:rFonts w:ascii="Arial" w:cs="Arial" w:eastAsia="Arial" w:hAnsi="Arial"/>
          <w:i/>
          <w:iCs/>
          <w:color w:val="666666"/>
          <w:sz w:val="18"/>
          <w:szCs w:val="18"/>
        </w:rPr>
        <w:t xml:space="preserve">Benchmarks conducted April 12–13, 2026 using mlmark. Driver versions: GB10 CUDA 13.0, RTX 3050 CUDA 13.2, RTX 5060 CUDA 13.0. All AI inference figures assume single-GPU, local inference. Multi-GPU configurations, production SLA requirements, and ECC memory needs are not covered.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B6CA8" w:sz="6" w:space="1"/>
      </w:pBdr>
      <w:spacing w:after="160" w:before="320"/>
      <w:outlineLvl w:val="0"/>
    </w:pPr>
    <w:rPr>
      <w:rFonts w:ascii="Arial" w:cs="Arial" w:eastAsia="Arial" w:hAnsi="Arial"/>
      <w:b/>
      <w:bCs/>
      <w:color w:val="1B6CA8"/>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B6CA8"/>
      <w:sz w:val="28"/>
      <w:szCs w:val="28"/>
    </w:rPr>
  </w:style>
  <w:style w:type="paragraph" w:styleId="Heading3">
    <w:name w:val="Heading 3"/>
    <w:basedOn w:val="Normal"/>
    <w:next w:val="Normal"/>
    <w:qFormat/>
    <w:pPr>
      <w:spacing w:after="80" w:before="1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2026-04-13T07:27:07.382Z</dcterms:created>
  <dcterms:modified xsi:type="dcterms:W3CDTF">2026-04-13T07:27:07.384Z</dcterms:modified>
</cp:coreProperties>
</file>

<file path=docProps/custom.xml><?xml version="1.0" encoding="utf-8"?>
<Properties xmlns="http://schemas.openxmlformats.org/officeDocument/2006/custom-properties" xmlns:vt="http://schemas.openxmlformats.org/officeDocument/2006/docPropsVTypes"/>
</file>