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51" w:rsidRPr="00FA2B51" w:rsidRDefault="00FA2B51" w:rsidP="00FA2B5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FA2B51">
        <w:rPr>
          <w:rFonts w:ascii="Arial" w:eastAsia="Times New Roman" w:hAnsi="Arial" w:cs="Arial"/>
          <w:b/>
          <w:bCs/>
          <w:color w:val="333333"/>
          <w:sz w:val="45"/>
          <w:szCs w:val="45"/>
        </w:rPr>
        <w:t>Studio apartment and 1 BHK: Difference</w:t>
      </w:r>
    </w:p>
    <w:p w:rsidR="00FA2B51" w:rsidRDefault="00FA2B51" w:rsidP="00FA2B5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A2B51">
        <w:rPr>
          <w:rFonts w:ascii="Arial" w:eastAsia="Times New Roman" w:hAnsi="Arial" w:cs="Arial"/>
          <w:color w:val="333333"/>
          <w:sz w:val="24"/>
          <w:szCs w:val="24"/>
        </w:rPr>
        <w:t>Studio apartment meaning and 1 </w:t>
      </w:r>
      <w:hyperlink r:id="rId4" w:tgtFrame="_blank" w:history="1">
        <w:r w:rsidRPr="00FA2B5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BHK meaning</w:t>
        </w:r>
      </w:hyperlink>
      <w:r w:rsidRPr="00FA2B51">
        <w:rPr>
          <w:rFonts w:ascii="Arial" w:eastAsia="Times New Roman" w:hAnsi="Arial" w:cs="Arial"/>
          <w:color w:val="333333"/>
          <w:sz w:val="24"/>
          <w:szCs w:val="24"/>
        </w:rPr>
        <w:t xml:space="preserve"> are different but most people tend to use the terms </w:t>
      </w:r>
      <w:r w:rsidRPr="00FA2B51">
        <w:rPr>
          <w:rFonts w:ascii="Arial" w:eastAsia="Times New Roman" w:hAnsi="Arial" w:cs="Arial"/>
          <w:color w:val="333333"/>
          <w:sz w:val="24"/>
          <w:szCs w:val="24"/>
          <w:highlight w:val="yellow"/>
        </w:rPr>
        <w:t>interchangeably. Explained is the difference in studio apartment meaning and 1 BHK meaning. 1BHK units provide a room, a kitchen, hall space and a bathroom and each of these is separate with adequate demarcation. Studio flat means, the apartment is basically a single large room and the one who occupies the place, will have to allocate space for everything within this large room</w:t>
      </w:r>
      <w:r w:rsidRPr="00FA2B5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FA2B51" w:rsidRDefault="00FA2B51" w:rsidP="00FA2B5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A studio apartment can have a 1rk layout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i.e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divided into just room and kitchen. Sometimes the division might be there before the students come. It could also have the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bhk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layout. So, you can work with that column like that.</w:t>
      </w:r>
    </w:p>
    <w:p w:rsidR="0058623D" w:rsidRPr="0058623D" w:rsidRDefault="0058623D" w:rsidP="0058623D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58623D">
        <w:rPr>
          <w:rFonts w:ascii="Arial" w:eastAsia="Times New Roman" w:hAnsi="Arial" w:cs="Arial"/>
          <w:color w:val="BDC1C6"/>
          <w:sz w:val="24"/>
          <w:szCs w:val="24"/>
        </w:rPr>
        <w:t>What is security deposit money?</w:t>
      </w:r>
    </w:p>
    <w:p w:rsidR="0058623D" w:rsidRDefault="0058623D" w:rsidP="0058623D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58623D">
        <w:rPr>
          <w:rFonts w:ascii="Arial" w:eastAsia="Times New Roman" w:hAnsi="Arial" w:cs="Arial"/>
          <w:color w:val="BDC1C6"/>
          <w:sz w:val="24"/>
          <w:szCs w:val="24"/>
        </w:rPr>
        <w:t>Definition of security deposit</w:t>
      </w:r>
      <w:r w:rsidRPr="0058623D">
        <w:rPr>
          <w:rFonts w:ascii="Arial" w:eastAsia="Times New Roman" w:hAnsi="Arial" w:cs="Arial"/>
          <w:color w:val="BDC1C6"/>
          <w:sz w:val="24"/>
          <w:szCs w:val="24"/>
        </w:rPr>
        <w:br/>
      </w:r>
      <w:r w:rsidRPr="0058623D">
        <w:rPr>
          <w:rFonts w:ascii="Arial" w:eastAsia="Times New Roman" w:hAnsi="Arial" w:cs="Arial"/>
          <w:color w:val="BDC1C6"/>
          <w:sz w:val="24"/>
          <w:szCs w:val="24"/>
        </w:rPr>
        <w:br/>
        <w:t>: an amount of money that a renter pays when beginning to rent property (such as an apartment) and that can be used to pay for any damage that the renter causes to the property.</w:t>
      </w:r>
    </w:p>
    <w:p w:rsidR="00203C58" w:rsidRPr="0058623D" w:rsidRDefault="00203C58" w:rsidP="0058623D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</w:rPr>
      </w:pPr>
      <w:r>
        <w:rPr>
          <w:rFonts w:ascii="Arial" w:hAnsi="Arial" w:cs="Arial"/>
          <w:color w:val="BDC1C6"/>
          <w:shd w:val="clear" w:color="auto" w:fill="202124"/>
        </w:rPr>
        <w:t> any security deposit in a lease or rental must not exceed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an amount equivalent to the first full month's rent charged to that tenant for the dwelling unit</w:t>
      </w:r>
      <w:r>
        <w:rPr>
          <w:rFonts w:ascii="Arial" w:hAnsi="Arial" w:cs="Arial"/>
          <w:color w:val="BDC1C6"/>
          <w:shd w:val="clear" w:color="auto" w:fill="202124"/>
        </w:rPr>
        <w:t>. This can be charged only once by the owner to the tenant.</w:t>
      </w:r>
    </w:p>
    <w:p w:rsidR="0058623D" w:rsidRDefault="0058623D" w:rsidP="00FA2B5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8B5074" w:rsidRDefault="008B5074" w:rsidP="008B507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Arial" w:hAnsi="Arial" w:cs="Arial"/>
          <w:color w:val="333333"/>
        </w:rPr>
        <w:t xml:space="preserve">More </w:t>
      </w:r>
      <w:proofErr w:type="gramStart"/>
      <w:r>
        <w:rPr>
          <w:rFonts w:ascii="Arial" w:hAnsi="Arial" w:cs="Arial"/>
          <w:color w:val="333333"/>
        </w:rPr>
        <w:t>info..</w:t>
      </w:r>
      <w:proofErr w:type="gramEnd"/>
      <w:r w:rsidRPr="008B5074">
        <w:rPr>
          <w:rFonts w:ascii="Segoe UI" w:hAnsi="Segoe UI" w:cs="Segoe UI"/>
          <w:color w:val="282829"/>
          <w:sz w:val="23"/>
          <w:szCs w:val="23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</w:rPr>
        <w:t xml:space="preserve">There are no guidelines for Security Deposit except a SC Judgment that said that demanding a Security Deposit of more than 6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months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rent is not justifiable.</w:t>
      </w:r>
    </w:p>
    <w:p w:rsidR="008B5074" w:rsidRDefault="008B5074" w:rsidP="008B507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Normally - deposit ranges between 3 - 10 months depending on demand and supply and the city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quetstion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:rsidR="008B5074" w:rsidRDefault="008B5074" w:rsidP="008B507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SC however clearly rules that as long as rent is regularly paid - even if Deposit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cheque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has bounced - 138 NI act cannot be applied.</w:t>
      </w:r>
    </w:p>
    <w:p w:rsidR="008B5074" w:rsidRDefault="008B5074" w:rsidP="008B507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Malad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Gupta vs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Ganeriwala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,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Malad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Gupta took a 5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lease on a house for monthly rent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1,50,000/- and promised a security deposit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15 Lacs. They paid initially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9 Lacs and moved in and paid regularly rent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1,50,000/- and gave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cheque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6 Lacs which bounced. When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Ganeriwala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sent eviction notices and filed 138 NI case - they went to different courts and finally case ended up in SC which ruled that (a)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Ganeriwala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could not file 138 NI case (b)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Ganeriwala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could not ask for eviction other than follow the terms and conditions of the agreement (100% repayment of deposit and 6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months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notice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) for eviction because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non payment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remaining deposit amount did not construe force majeure of the existing agreement.</w:t>
      </w:r>
    </w:p>
    <w:p w:rsidR="008B5074" w:rsidRDefault="008B5074" w:rsidP="00FA2B5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A2B51" w:rsidRPr="00FA2B51" w:rsidRDefault="00FA2B51" w:rsidP="00FA2B5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1Rk</w:t>
      </w:r>
    </w:p>
    <w:p w:rsidR="00FF504B" w:rsidRDefault="00FA2B51">
      <w:r>
        <w:lastRenderedPageBreak/>
        <w:t>Analysis path</w:t>
      </w:r>
    </w:p>
    <w:p w:rsidR="00FA2B51" w:rsidRDefault="00FA2B51">
      <w:r>
        <w:t>I think region matters to know what type of encoding to do</w:t>
      </w:r>
      <w:r w:rsidR="00391026">
        <w:t xml:space="preserve"> so once I get that, the next question, in the places with higher prices are the high prices because of the type of houses there so you’ll need a count of house type there basically, I want it to be that we have similar houses but the prices are just more in some places before I can integer encode. So the features, I’d use to check this is location, count of type with price distribution of type, size, no of bedrooms and bathrooms. Layout type.</w:t>
      </w:r>
    </w:p>
    <w:p w:rsidR="00786A7D" w:rsidRDefault="00786A7D">
      <w:r>
        <w:t>It seems in some places we have to pay higher month rent as security deposit. I’ll add that as a feature maybe that impacts payment.</w:t>
      </w:r>
      <w:r w:rsidR="00A05FF3">
        <w:t xml:space="preserve"> On second thought, that shouldn’t be a feature. That deposit is a function of rent it basically some </w:t>
      </w:r>
      <w:proofErr w:type="gramStart"/>
      <w:r w:rsidR="00A05FF3">
        <w:t>months</w:t>
      </w:r>
      <w:proofErr w:type="gramEnd"/>
      <w:r w:rsidR="00A05FF3">
        <w:t xml:space="preserve"> x rent. So if you have a small rent but paid 10 </w:t>
      </w:r>
      <w:proofErr w:type="gramStart"/>
      <w:r w:rsidR="00A05FF3">
        <w:t>months</w:t>
      </w:r>
      <w:proofErr w:type="gramEnd"/>
      <w:r w:rsidR="00A05FF3">
        <w:t xml:space="preserve"> advance, that value is high. If you have a high rent and paid for </w:t>
      </w:r>
      <w:proofErr w:type="spellStart"/>
      <w:proofErr w:type="gramStart"/>
      <w:r w:rsidR="00A05FF3">
        <w:t>lets</w:t>
      </w:r>
      <w:proofErr w:type="spellEnd"/>
      <w:proofErr w:type="gramEnd"/>
      <w:r w:rsidR="00A05FF3">
        <w:t xml:space="preserve"> say 4 months, it’s also high so with those two values alone, we won’t be able to see anything.</w:t>
      </w:r>
    </w:p>
    <w:p w:rsidR="00786A7D" w:rsidRDefault="00786A7D">
      <w:r>
        <w:t>I did a research to know if all rents are to be paid monthly or yearly.</w:t>
      </w:r>
    </w:p>
    <w:p w:rsidR="00E876DF" w:rsidRDefault="00E876DF"/>
    <w:p w:rsidR="00E876DF" w:rsidRPr="00D34283" w:rsidRDefault="00E876DF">
      <w:pPr>
        <w:rPr>
          <w:highlight w:val="yellow"/>
        </w:rPr>
      </w:pPr>
      <w:r w:rsidRPr="00D34283">
        <w:rPr>
          <w:highlight w:val="yellow"/>
        </w:rPr>
        <w:t xml:space="preserve">Features </w:t>
      </w:r>
      <w:proofErr w:type="spellStart"/>
      <w:r w:rsidRPr="00D34283">
        <w:rPr>
          <w:highlight w:val="yellow"/>
        </w:rPr>
        <w:t>analysed</w:t>
      </w:r>
      <w:proofErr w:type="spellEnd"/>
    </w:p>
    <w:p w:rsidR="00E876DF" w:rsidRPr="00D34283" w:rsidRDefault="00E876DF">
      <w:pPr>
        <w:rPr>
          <w:highlight w:val="yellow"/>
        </w:rPr>
      </w:pPr>
      <w:r w:rsidRPr="00D34283">
        <w:rPr>
          <w:highlight w:val="yellow"/>
        </w:rPr>
        <w:t>Room</w:t>
      </w:r>
    </w:p>
    <w:p w:rsidR="00E876DF" w:rsidRPr="00D34283" w:rsidRDefault="00E876DF" w:rsidP="00E876DF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proofErr w:type="spellStart"/>
      <w:r w:rsidRPr="00E876DF">
        <w:rPr>
          <w:rFonts w:ascii="Calibri" w:eastAsia="Times New Roman" w:hAnsi="Calibri" w:cs="Calibri"/>
          <w:color w:val="000000"/>
          <w:highlight w:val="yellow"/>
        </w:rPr>
        <w:t>property_type</w:t>
      </w:r>
      <w:proofErr w:type="spellEnd"/>
    </w:p>
    <w:p w:rsidR="00E876DF" w:rsidRPr="00D34283" w:rsidRDefault="00E876DF">
      <w:pPr>
        <w:rPr>
          <w:highlight w:val="yellow"/>
        </w:rPr>
      </w:pPr>
    </w:p>
    <w:p w:rsidR="00E876DF" w:rsidRPr="00D34283" w:rsidRDefault="00E876DF">
      <w:pPr>
        <w:rPr>
          <w:highlight w:val="yellow"/>
        </w:rPr>
      </w:pPr>
      <w:r w:rsidRPr="00D34283">
        <w:rPr>
          <w:highlight w:val="yellow"/>
        </w:rPr>
        <w:t>furnish type</w:t>
      </w:r>
    </w:p>
    <w:p w:rsidR="00E876DF" w:rsidRPr="00D34283" w:rsidRDefault="00E876DF">
      <w:pPr>
        <w:rPr>
          <w:highlight w:val="yellow"/>
        </w:rPr>
      </w:pPr>
      <w:r w:rsidRPr="00D34283">
        <w:rPr>
          <w:highlight w:val="yellow"/>
        </w:rPr>
        <w:t>bathroom</w:t>
      </w:r>
    </w:p>
    <w:p w:rsidR="00E876DF" w:rsidRPr="00D34283" w:rsidRDefault="00E876DF">
      <w:pPr>
        <w:rPr>
          <w:highlight w:val="yellow"/>
        </w:rPr>
      </w:pPr>
      <w:r w:rsidRPr="00D34283">
        <w:rPr>
          <w:highlight w:val="yellow"/>
        </w:rPr>
        <w:t>city</w:t>
      </w:r>
      <w:bookmarkStart w:id="0" w:name="_GoBack"/>
      <w:bookmarkEnd w:id="0"/>
    </w:p>
    <w:p w:rsidR="00E876DF" w:rsidRDefault="00E876DF">
      <w:r w:rsidRPr="00D34283">
        <w:rPr>
          <w:highlight w:val="yellow"/>
        </w:rPr>
        <w:t>floor</w:t>
      </w:r>
    </w:p>
    <w:p w:rsidR="00D34283" w:rsidRDefault="00D34283"/>
    <w:p w:rsidR="00E876DF" w:rsidRPr="00D34283" w:rsidRDefault="00E876DF">
      <w:pPr>
        <w:rPr>
          <w:highlight w:val="red"/>
        </w:rPr>
      </w:pPr>
      <w:r w:rsidRPr="00D34283">
        <w:rPr>
          <w:highlight w:val="red"/>
        </w:rPr>
        <w:t>left with</w:t>
      </w:r>
    </w:p>
    <w:p w:rsidR="00E876DF" w:rsidRPr="00D34283" w:rsidRDefault="00E876DF">
      <w:pPr>
        <w:rPr>
          <w:highlight w:val="red"/>
        </w:rPr>
      </w:pPr>
      <w:r w:rsidRPr="00D34283">
        <w:rPr>
          <w:highlight w:val="red"/>
        </w:rPr>
        <w:t>layout type</w:t>
      </w:r>
    </w:p>
    <w:p w:rsidR="00E876DF" w:rsidRPr="00D34283" w:rsidRDefault="00E876DF">
      <w:pPr>
        <w:rPr>
          <w:highlight w:val="red"/>
        </w:rPr>
      </w:pPr>
      <w:r w:rsidRPr="00D34283">
        <w:rPr>
          <w:highlight w:val="red"/>
        </w:rPr>
        <w:t>locality</w:t>
      </w:r>
    </w:p>
    <w:p w:rsidR="00E876DF" w:rsidRPr="00D34283" w:rsidRDefault="00E876DF">
      <w:pPr>
        <w:rPr>
          <w:highlight w:val="red"/>
        </w:rPr>
      </w:pPr>
      <w:r w:rsidRPr="00D34283">
        <w:rPr>
          <w:highlight w:val="red"/>
        </w:rPr>
        <w:t>area</w:t>
      </w:r>
    </w:p>
    <w:p w:rsidR="00E876DF" w:rsidRPr="00D34283" w:rsidRDefault="00E876DF">
      <w:pPr>
        <w:rPr>
          <w:highlight w:val="red"/>
        </w:rPr>
      </w:pPr>
      <w:r w:rsidRPr="00D34283">
        <w:rPr>
          <w:highlight w:val="red"/>
        </w:rPr>
        <w:t>security deposit</w:t>
      </w:r>
    </w:p>
    <w:p w:rsidR="00E876DF" w:rsidRPr="00D34283" w:rsidRDefault="00E876DF">
      <w:proofErr w:type="spellStart"/>
      <w:r w:rsidRPr="00D34283">
        <w:rPr>
          <w:highlight w:val="red"/>
        </w:rPr>
        <w:t>neighbourhood</w:t>
      </w:r>
      <w:proofErr w:type="spellEnd"/>
      <w:r w:rsidRPr="00D34283">
        <w:t>.</w:t>
      </w:r>
    </w:p>
    <w:p w:rsidR="00786A7D" w:rsidRDefault="00786A7D"/>
    <w:p w:rsidR="00977E00" w:rsidRDefault="00786A7D" w:rsidP="00786A7D">
      <w:pPr>
        <w:pStyle w:val="Heading3"/>
        <w:shd w:val="clear" w:color="auto" w:fill="FFFFFF"/>
        <w:spacing w:before="0"/>
      </w:pPr>
      <w:r>
        <w:lastRenderedPageBreak/>
        <w:t>I saw…</w:t>
      </w:r>
    </w:p>
    <w:p w:rsidR="00977E00" w:rsidRDefault="00977E00" w:rsidP="00786A7D">
      <w:pPr>
        <w:pStyle w:val="Heading3"/>
        <w:shd w:val="clear" w:color="auto" w:fill="FFFFFF"/>
        <w:spacing w:before="0"/>
      </w:pPr>
      <w:r>
        <w:rPr>
          <w:noProof/>
        </w:rPr>
        <w:drawing>
          <wp:inline distT="0" distB="0" distL="0" distR="0" wp14:anchorId="0401FD00" wp14:editId="5B53A2FE">
            <wp:extent cx="3153215" cy="2934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seinind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D" w:rsidRDefault="00786A7D" w:rsidP="00786A7D">
      <w:pPr>
        <w:pStyle w:val="Heading3"/>
        <w:shd w:val="clear" w:color="auto" w:fill="FFFFFF"/>
        <w:spacing w:before="0"/>
        <w:rPr>
          <w:rFonts w:ascii="Arial" w:hAnsi="Arial" w:cs="Arial"/>
          <w:color w:val="002F34"/>
          <w:sz w:val="30"/>
          <w:szCs w:val="30"/>
        </w:rPr>
      </w:pPr>
      <w:r>
        <w:t xml:space="preserve"> </w:t>
      </w:r>
      <w:r>
        <w:rPr>
          <w:rFonts w:ascii="Arial" w:hAnsi="Arial" w:cs="Arial"/>
          <w:color w:val="002F34"/>
          <w:sz w:val="30"/>
          <w:szCs w:val="30"/>
        </w:rPr>
        <w:t>Details</w:t>
      </w:r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>
        <w:rPr>
          <w:rStyle w:val="25oxn"/>
          <w:rFonts w:ascii="Arial" w:hAnsi="Arial" w:cs="Arial"/>
          <w:color w:val="406367"/>
          <w:sz w:val="21"/>
          <w:szCs w:val="21"/>
        </w:rPr>
        <w:t>Type</w:t>
      </w:r>
      <w:r>
        <w:rPr>
          <w:rStyle w:val="2vnpt"/>
          <w:rFonts w:ascii="Arial" w:hAnsi="Arial" w:cs="Arial"/>
          <w:color w:val="002F34"/>
          <w:sz w:val="21"/>
          <w:szCs w:val="21"/>
        </w:rPr>
        <w:t>Apartments</w:t>
      </w:r>
      <w:proofErr w:type="spellEnd"/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>Bedrooms</w:t>
      </w:r>
      <w:r>
        <w:rPr>
          <w:rStyle w:val="2vnpt"/>
          <w:rFonts w:ascii="Arial" w:hAnsi="Arial" w:cs="Arial"/>
          <w:color w:val="002F34"/>
          <w:sz w:val="21"/>
          <w:szCs w:val="21"/>
        </w:rPr>
        <w:t>3</w:t>
      </w:r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>Bathrooms</w:t>
      </w:r>
      <w:r>
        <w:rPr>
          <w:rStyle w:val="2vnpt"/>
          <w:rFonts w:ascii="Arial" w:hAnsi="Arial" w:cs="Arial"/>
          <w:color w:val="002F34"/>
          <w:sz w:val="21"/>
          <w:szCs w:val="21"/>
        </w:rPr>
        <w:t>3</w:t>
      </w:r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>
        <w:rPr>
          <w:rStyle w:val="25oxn"/>
          <w:rFonts w:ascii="Arial" w:hAnsi="Arial" w:cs="Arial"/>
          <w:color w:val="406367"/>
          <w:sz w:val="21"/>
          <w:szCs w:val="21"/>
        </w:rPr>
        <w:t>Furnishing</w:t>
      </w:r>
      <w:r>
        <w:rPr>
          <w:rStyle w:val="2vnpt"/>
          <w:rFonts w:ascii="Arial" w:hAnsi="Arial" w:cs="Arial"/>
          <w:color w:val="002F34"/>
          <w:sz w:val="21"/>
          <w:szCs w:val="21"/>
        </w:rPr>
        <w:t>Unfurnished</w:t>
      </w:r>
      <w:proofErr w:type="spellEnd"/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 xml:space="preserve">Listed </w:t>
      </w:r>
      <w:proofErr w:type="spellStart"/>
      <w:r>
        <w:rPr>
          <w:rStyle w:val="25oxn"/>
          <w:rFonts w:ascii="Arial" w:hAnsi="Arial" w:cs="Arial"/>
          <w:color w:val="406367"/>
          <w:sz w:val="21"/>
          <w:szCs w:val="21"/>
        </w:rPr>
        <w:t>by</w:t>
      </w:r>
      <w:r>
        <w:rPr>
          <w:rStyle w:val="2vnpt"/>
          <w:rFonts w:ascii="Arial" w:hAnsi="Arial" w:cs="Arial"/>
          <w:color w:val="002F34"/>
          <w:sz w:val="21"/>
          <w:szCs w:val="21"/>
        </w:rPr>
        <w:t>Owner</w:t>
      </w:r>
      <w:proofErr w:type="spellEnd"/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 xml:space="preserve">Super </w:t>
      </w:r>
      <w:proofErr w:type="spellStart"/>
      <w:r>
        <w:rPr>
          <w:rStyle w:val="25oxn"/>
          <w:rFonts w:ascii="Arial" w:hAnsi="Arial" w:cs="Arial"/>
          <w:color w:val="406367"/>
          <w:sz w:val="21"/>
          <w:szCs w:val="21"/>
        </w:rPr>
        <w:t>Builtup</w:t>
      </w:r>
      <w:proofErr w:type="spellEnd"/>
      <w:r>
        <w:rPr>
          <w:rStyle w:val="25oxn"/>
          <w:rFonts w:ascii="Arial" w:hAnsi="Arial" w:cs="Arial"/>
          <w:color w:val="406367"/>
          <w:sz w:val="21"/>
          <w:szCs w:val="21"/>
        </w:rPr>
        <w:t xml:space="preserve"> area (ft²)</w:t>
      </w:r>
      <w:r>
        <w:rPr>
          <w:rStyle w:val="2vnpt"/>
          <w:rFonts w:ascii="Arial" w:hAnsi="Arial" w:cs="Arial"/>
          <w:color w:val="002F34"/>
          <w:sz w:val="21"/>
          <w:szCs w:val="21"/>
        </w:rPr>
        <w:t>1560</w:t>
      </w:r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>Carpet Area (ft²)</w:t>
      </w:r>
      <w:r>
        <w:rPr>
          <w:rStyle w:val="2vnpt"/>
          <w:rFonts w:ascii="Arial" w:hAnsi="Arial" w:cs="Arial"/>
          <w:color w:val="002F34"/>
          <w:sz w:val="21"/>
          <w:szCs w:val="21"/>
        </w:rPr>
        <w:t>900</w:t>
      </w:r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 xml:space="preserve">Bachelors </w:t>
      </w:r>
      <w:proofErr w:type="spellStart"/>
      <w:r>
        <w:rPr>
          <w:rStyle w:val="25oxn"/>
          <w:rFonts w:ascii="Arial" w:hAnsi="Arial" w:cs="Arial"/>
          <w:color w:val="406367"/>
          <w:sz w:val="21"/>
          <w:szCs w:val="21"/>
        </w:rPr>
        <w:t>Allowed</w:t>
      </w:r>
      <w:r>
        <w:rPr>
          <w:rStyle w:val="2vnpt"/>
          <w:rFonts w:ascii="Arial" w:hAnsi="Arial" w:cs="Arial"/>
          <w:color w:val="002F34"/>
          <w:sz w:val="21"/>
          <w:szCs w:val="21"/>
        </w:rPr>
        <w:t>No</w:t>
      </w:r>
      <w:proofErr w:type="spellEnd"/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>Total Floors</w:t>
      </w:r>
      <w:r>
        <w:rPr>
          <w:rStyle w:val="2vnpt"/>
          <w:rFonts w:ascii="Arial" w:hAnsi="Arial" w:cs="Arial"/>
          <w:color w:val="002F34"/>
          <w:sz w:val="21"/>
          <w:szCs w:val="21"/>
        </w:rPr>
        <w:t>16</w:t>
      </w:r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>Car Parking</w:t>
      </w:r>
      <w:r>
        <w:rPr>
          <w:rStyle w:val="2vnpt"/>
          <w:rFonts w:ascii="Arial" w:hAnsi="Arial" w:cs="Arial"/>
          <w:color w:val="002F34"/>
          <w:sz w:val="21"/>
          <w:szCs w:val="21"/>
        </w:rPr>
        <w:t>1</w:t>
      </w:r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>Floor No</w:t>
      </w:r>
      <w:r>
        <w:rPr>
          <w:rStyle w:val="2vnpt"/>
          <w:rFonts w:ascii="Arial" w:hAnsi="Arial" w:cs="Arial"/>
          <w:color w:val="002F34"/>
          <w:sz w:val="21"/>
          <w:szCs w:val="21"/>
        </w:rPr>
        <w:t>10</w:t>
      </w:r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>
        <w:rPr>
          <w:rStyle w:val="25oxn"/>
          <w:rFonts w:ascii="Arial" w:hAnsi="Arial" w:cs="Arial"/>
          <w:color w:val="406367"/>
          <w:sz w:val="21"/>
          <w:szCs w:val="21"/>
        </w:rPr>
        <w:t>Facing</w:t>
      </w:r>
      <w:r>
        <w:rPr>
          <w:rStyle w:val="2vnpt"/>
          <w:rFonts w:ascii="Arial" w:hAnsi="Arial" w:cs="Arial"/>
          <w:color w:val="002F34"/>
          <w:sz w:val="21"/>
          <w:szCs w:val="21"/>
        </w:rPr>
        <w:t>West</w:t>
      </w:r>
      <w:proofErr w:type="spellEnd"/>
    </w:p>
    <w:p w:rsidR="00786A7D" w:rsidRDefault="00786A7D" w:rsidP="00786A7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25oxn"/>
          <w:rFonts w:ascii="Arial" w:hAnsi="Arial" w:cs="Arial"/>
          <w:color w:val="406367"/>
          <w:sz w:val="21"/>
          <w:szCs w:val="21"/>
        </w:rPr>
        <w:t xml:space="preserve">Project </w:t>
      </w:r>
      <w:proofErr w:type="spellStart"/>
      <w:r>
        <w:rPr>
          <w:rStyle w:val="25oxn"/>
          <w:rFonts w:ascii="Arial" w:hAnsi="Arial" w:cs="Arial"/>
          <w:color w:val="406367"/>
          <w:sz w:val="21"/>
          <w:szCs w:val="21"/>
        </w:rPr>
        <w:t>Name</w:t>
      </w:r>
      <w:r>
        <w:rPr>
          <w:rStyle w:val="2vnpt"/>
          <w:rFonts w:ascii="Arial" w:hAnsi="Arial" w:cs="Arial"/>
          <w:color w:val="002F34"/>
          <w:sz w:val="21"/>
          <w:szCs w:val="21"/>
        </w:rPr>
        <w:t>Dhanalakshmi</w:t>
      </w:r>
      <w:proofErr w:type="spellEnd"/>
      <w:r>
        <w:rPr>
          <w:rStyle w:val="2vnpt"/>
          <w:rFonts w:ascii="Arial" w:hAnsi="Arial" w:cs="Arial"/>
          <w:color w:val="002F34"/>
          <w:sz w:val="21"/>
          <w:szCs w:val="21"/>
        </w:rPr>
        <w:t xml:space="preserve"> Ocean Park</w:t>
      </w:r>
    </w:p>
    <w:p w:rsidR="00786A7D" w:rsidRDefault="00786A7D" w:rsidP="00786A7D">
      <w:pPr>
        <w:pStyle w:val="Heading3"/>
        <w:shd w:val="clear" w:color="auto" w:fill="FFFFFF"/>
        <w:spacing w:before="0"/>
        <w:rPr>
          <w:rFonts w:ascii="Arial" w:hAnsi="Arial" w:cs="Arial"/>
          <w:color w:val="002F34"/>
          <w:sz w:val="30"/>
          <w:szCs w:val="30"/>
        </w:rPr>
      </w:pPr>
      <w:r>
        <w:rPr>
          <w:rFonts w:ascii="Arial" w:hAnsi="Arial" w:cs="Arial"/>
          <w:color w:val="002F34"/>
          <w:sz w:val="30"/>
          <w:szCs w:val="30"/>
        </w:rPr>
        <w:t>Description</w:t>
      </w:r>
    </w:p>
    <w:p w:rsidR="00977E00" w:rsidRDefault="00786A7D" w:rsidP="00786A7D">
      <w:pPr>
        <w:shd w:val="clear" w:color="auto" w:fill="FFFFFF"/>
        <w:spacing w:before="240" w:line="300" w:lineRule="atLeast"/>
        <w:rPr>
          <w:rFonts w:ascii="Arial" w:hAnsi="Arial" w:cs="Arial"/>
          <w:color w:val="002F34"/>
          <w:sz w:val="21"/>
          <w:szCs w:val="21"/>
        </w:rPr>
      </w:pPr>
      <w:r>
        <w:rPr>
          <w:rFonts w:ascii="Arial" w:hAnsi="Arial" w:cs="Arial"/>
          <w:color w:val="002F34"/>
          <w:sz w:val="21"/>
          <w:szCs w:val="21"/>
        </w:rPr>
        <w:t xml:space="preserve">Very well maintained and unfurnished 3 bedroom apartment for rent with balcony view the Kannur town, we prefer family, easy access to Kannur Town, Bus Stand, </w:t>
      </w:r>
      <w:proofErr w:type="spellStart"/>
      <w:r>
        <w:rPr>
          <w:rFonts w:ascii="Arial" w:hAnsi="Arial" w:cs="Arial"/>
          <w:color w:val="002F34"/>
          <w:sz w:val="21"/>
          <w:szCs w:val="21"/>
        </w:rPr>
        <w:t>Raliway</w:t>
      </w:r>
      <w:proofErr w:type="spellEnd"/>
      <w:r>
        <w:rPr>
          <w:rFonts w:ascii="Arial" w:hAnsi="Arial" w:cs="Arial"/>
          <w:color w:val="002F34"/>
          <w:sz w:val="21"/>
          <w:szCs w:val="21"/>
        </w:rPr>
        <w:t xml:space="preserve"> Station and </w:t>
      </w:r>
      <w:proofErr w:type="spellStart"/>
      <w:r>
        <w:rPr>
          <w:rFonts w:ascii="Arial" w:hAnsi="Arial" w:cs="Arial"/>
          <w:color w:val="002F34"/>
          <w:sz w:val="21"/>
          <w:szCs w:val="21"/>
        </w:rPr>
        <w:t>opp</w:t>
      </w:r>
      <w:proofErr w:type="spellEnd"/>
      <w:r>
        <w:rPr>
          <w:rFonts w:ascii="Arial" w:hAnsi="Arial" w:cs="Arial"/>
          <w:color w:val="002F3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2F34"/>
          <w:sz w:val="21"/>
          <w:szCs w:val="21"/>
        </w:rPr>
        <w:t>Sree</w:t>
      </w:r>
      <w:proofErr w:type="spellEnd"/>
      <w:r>
        <w:rPr>
          <w:rFonts w:ascii="Arial" w:hAnsi="Arial" w:cs="Arial"/>
          <w:color w:val="002F34"/>
          <w:sz w:val="21"/>
          <w:szCs w:val="21"/>
        </w:rPr>
        <w:t xml:space="preserve"> Narayana Park </w:t>
      </w:r>
      <w:proofErr w:type="gramStart"/>
      <w:r>
        <w:rPr>
          <w:rFonts w:ascii="Arial" w:hAnsi="Arial" w:cs="Arial"/>
          <w:color w:val="002F34"/>
          <w:sz w:val="21"/>
          <w:szCs w:val="21"/>
        </w:rPr>
        <w:t>Kannur ,</w:t>
      </w:r>
      <w:proofErr w:type="gramEnd"/>
      <w:r>
        <w:rPr>
          <w:rFonts w:ascii="Arial" w:hAnsi="Arial" w:cs="Arial"/>
          <w:color w:val="002F3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2F34"/>
          <w:sz w:val="21"/>
          <w:szCs w:val="21"/>
        </w:rPr>
        <w:t>Alvil</w:t>
      </w:r>
      <w:proofErr w:type="spellEnd"/>
      <w:r>
        <w:rPr>
          <w:rFonts w:ascii="Arial" w:hAnsi="Arial" w:cs="Arial"/>
          <w:color w:val="002F34"/>
          <w:sz w:val="21"/>
          <w:szCs w:val="21"/>
        </w:rPr>
        <w:t xml:space="preserve"> Road. Rent to be paid monthly</w:t>
      </w:r>
      <w:r w:rsidR="00977E00">
        <w:rPr>
          <w:rFonts w:ascii="Arial" w:hAnsi="Arial" w:cs="Arial"/>
          <w:color w:val="002F34"/>
          <w:sz w:val="21"/>
          <w:szCs w:val="21"/>
        </w:rPr>
        <w:t>.</w:t>
      </w:r>
    </w:p>
    <w:p w:rsidR="00786A7D" w:rsidRDefault="00977E00" w:rsidP="00786A7D">
      <w:pPr>
        <w:shd w:val="clear" w:color="auto" w:fill="FFFFFF"/>
        <w:spacing w:before="240" w:line="300" w:lineRule="atLeast"/>
        <w:rPr>
          <w:rFonts w:ascii="Arial" w:hAnsi="Arial" w:cs="Arial"/>
          <w:color w:val="002F34"/>
          <w:sz w:val="21"/>
          <w:szCs w:val="21"/>
        </w:rPr>
      </w:pPr>
      <w:r>
        <w:rPr>
          <w:rFonts w:ascii="Arial" w:hAnsi="Arial" w:cs="Arial"/>
          <w:color w:val="002F34"/>
          <w:sz w:val="21"/>
          <w:szCs w:val="21"/>
        </w:rPr>
        <w:lastRenderedPageBreak/>
        <w:t xml:space="preserve"> Basically a 3 bedroom, </w:t>
      </w:r>
      <w:proofErr w:type="gramStart"/>
      <w:r>
        <w:rPr>
          <w:rFonts w:ascii="Arial" w:hAnsi="Arial" w:cs="Arial"/>
          <w:color w:val="002F34"/>
          <w:sz w:val="21"/>
          <w:szCs w:val="21"/>
        </w:rPr>
        <w:t>3 bathroom</w:t>
      </w:r>
      <w:proofErr w:type="gramEnd"/>
      <w:r>
        <w:rPr>
          <w:rFonts w:ascii="Arial" w:hAnsi="Arial" w:cs="Arial"/>
          <w:color w:val="002F34"/>
          <w:sz w:val="21"/>
          <w:szCs w:val="21"/>
        </w:rPr>
        <w:t xml:space="preserve"> apartment costs 25000, and it’s monthly rent, this gives good intuition.</w:t>
      </w:r>
    </w:p>
    <w:p w:rsidR="00786A7D" w:rsidRDefault="00977E00">
      <w:r>
        <w:t>So as I thought some of those things can’t be monthly rent, maybe they bought the property or they paid much more than they should</w:t>
      </w:r>
    </w:p>
    <w:sectPr w:rsidR="0078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51"/>
    <w:rsid w:val="00203C58"/>
    <w:rsid w:val="00391026"/>
    <w:rsid w:val="0058623D"/>
    <w:rsid w:val="00786A7D"/>
    <w:rsid w:val="008B5074"/>
    <w:rsid w:val="00977E00"/>
    <w:rsid w:val="00A05FF3"/>
    <w:rsid w:val="00D34283"/>
    <w:rsid w:val="00E876DF"/>
    <w:rsid w:val="00FA2B51"/>
    <w:rsid w:val="00F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CAF6"/>
  <w15:chartTrackingRefBased/>
  <w15:docId w15:val="{9E2F312B-EA0E-444B-8BF7-C61DA62C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2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B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A2B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2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B51"/>
    <w:rPr>
      <w:color w:val="0000FF"/>
      <w:u w:val="single"/>
    </w:rPr>
  </w:style>
  <w:style w:type="character" w:customStyle="1" w:styleId="hgkelc">
    <w:name w:val="hgkelc"/>
    <w:basedOn w:val="DefaultParagraphFont"/>
    <w:rsid w:val="0058623D"/>
  </w:style>
  <w:style w:type="character" w:customStyle="1" w:styleId="Heading3Char">
    <w:name w:val="Heading 3 Char"/>
    <w:basedOn w:val="DefaultParagraphFont"/>
    <w:link w:val="Heading3"/>
    <w:uiPriority w:val="9"/>
    <w:semiHidden/>
    <w:rsid w:val="00786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5oxn">
    <w:name w:val="_25oxn"/>
    <w:basedOn w:val="DefaultParagraphFont"/>
    <w:rsid w:val="00786A7D"/>
  </w:style>
  <w:style w:type="character" w:customStyle="1" w:styleId="2vnpt">
    <w:name w:val="_2vnpt"/>
    <w:basedOn w:val="DefaultParagraphFont"/>
    <w:rsid w:val="00786A7D"/>
  </w:style>
  <w:style w:type="paragraph" w:customStyle="1" w:styleId="q-text">
    <w:name w:val="q-text"/>
    <w:basedOn w:val="Normal"/>
    <w:rsid w:val="008B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006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40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9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2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9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48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44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7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5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24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4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12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ousing.com/news/what-is-a-bh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</dc:creator>
  <cp:keywords/>
  <dc:description/>
  <cp:lastModifiedBy>Chigozie</cp:lastModifiedBy>
  <cp:revision>4</cp:revision>
  <dcterms:created xsi:type="dcterms:W3CDTF">2022-05-12T15:02:00Z</dcterms:created>
  <dcterms:modified xsi:type="dcterms:W3CDTF">2022-05-13T16:27:00Z</dcterms:modified>
</cp:coreProperties>
</file>