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D18DF9" w14:textId="77777777" w:rsidR="00B35BE5" w:rsidRDefault="00B35BE5" w:rsidP="00B35BE5">
      <w:pPr>
        <w:jc w:val="center"/>
        <w:rPr>
          <w:b/>
        </w:rPr>
      </w:pPr>
      <w:r w:rsidRPr="002E7499">
        <w:rPr>
          <w:b/>
        </w:rPr>
        <w:t xml:space="preserve">FIN 334 – Fund Analysis: </w:t>
      </w:r>
      <w:proofErr w:type="spellStart"/>
      <w:r>
        <w:rPr>
          <w:b/>
        </w:rPr>
        <w:t>BlackRock</w:t>
      </w:r>
      <w:proofErr w:type="spellEnd"/>
      <w:r>
        <w:rPr>
          <w:b/>
        </w:rPr>
        <w:t xml:space="preserve"> Mid-Cap Growth Equity </w:t>
      </w:r>
      <w:proofErr w:type="spellStart"/>
      <w:r>
        <w:rPr>
          <w:b/>
        </w:rPr>
        <w:t>Inv</w:t>
      </w:r>
      <w:proofErr w:type="spellEnd"/>
      <w:r>
        <w:rPr>
          <w:b/>
        </w:rPr>
        <w:t xml:space="preserve"> </w:t>
      </w:r>
      <w:proofErr w:type="gramStart"/>
      <w:r>
        <w:rPr>
          <w:b/>
        </w:rPr>
        <w:t>A</w:t>
      </w:r>
      <w:proofErr w:type="gramEnd"/>
      <w:r>
        <w:rPr>
          <w:b/>
        </w:rPr>
        <w:t xml:space="preserve"> Fund</w:t>
      </w:r>
    </w:p>
    <w:p w14:paraId="01403419" w14:textId="77777777" w:rsidR="008D1C9F" w:rsidRDefault="0098439B">
      <w:r>
        <w:rPr>
          <w:b/>
        </w:rPr>
        <w:t>Question 1:</w:t>
      </w:r>
    </w:p>
    <w:tbl>
      <w:tblPr>
        <w:tblStyle w:val="a"/>
        <w:tblW w:w="39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0"/>
        <w:gridCol w:w="1960"/>
      </w:tblGrid>
      <w:tr w:rsidR="008D1C9F" w14:paraId="24816708" w14:textId="77777777">
        <w:trPr>
          <w:trHeight w:val="240"/>
        </w:trPr>
        <w:tc>
          <w:tcPr>
            <w:tcW w:w="1960" w:type="dxa"/>
            <w:tcMar>
              <w:top w:w="15" w:type="dxa"/>
              <w:left w:w="15" w:type="dxa"/>
              <w:right w:w="15" w:type="dxa"/>
            </w:tcMar>
            <w:vAlign w:val="bottom"/>
          </w:tcPr>
          <w:p w14:paraId="171B54C1" w14:textId="77777777" w:rsidR="008D1C9F" w:rsidRDefault="0098439B">
            <w:pPr>
              <w:spacing w:after="0" w:line="240" w:lineRule="auto"/>
            </w:pPr>
            <w:r>
              <w:t>Portfolio Distribution</w:t>
            </w:r>
          </w:p>
        </w:tc>
        <w:tc>
          <w:tcPr>
            <w:tcW w:w="1960" w:type="dxa"/>
            <w:tcMar>
              <w:top w:w="15" w:type="dxa"/>
              <w:left w:w="15" w:type="dxa"/>
              <w:right w:w="15" w:type="dxa"/>
            </w:tcMar>
            <w:vAlign w:val="bottom"/>
          </w:tcPr>
          <w:p w14:paraId="0E8F24BF" w14:textId="77777777" w:rsidR="008D1C9F" w:rsidRDefault="0098439B">
            <w:pPr>
              <w:spacing w:after="0" w:line="240" w:lineRule="auto"/>
            </w:pPr>
            <w:r>
              <w:t>Percent</w:t>
            </w:r>
          </w:p>
        </w:tc>
      </w:tr>
      <w:tr w:rsidR="008D1C9F" w14:paraId="70A2E267" w14:textId="77777777">
        <w:trPr>
          <w:trHeight w:val="240"/>
        </w:trPr>
        <w:tc>
          <w:tcPr>
            <w:tcW w:w="1960" w:type="dxa"/>
            <w:tcMar>
              <w:top w:w="15" w:type="dxa"/>
              <w:left w:w="15" w:type="dxa"/>
              <w:right w:w="15" w:type="dxa"/>
            </w:tcMar>
            <w:vAlign w:val="bottom"/>
          </w:tcPr>
          <w:p w14:paraId="135A75AB" w14:textId="77777777" w:rsidR="008D1C9F" w:rsidRDefault="0098439B">
            <w:pPr>
              <w:spacing w:after="0" w:line="240" w:lineRule="auto"/>
            </w:pPr>
            <w:r>
              <w:t>Large (10B to 50B)</w:t>
            </w:r>
          </w:p>
        </w:tc>
        <w:tc>
          <w:tcPr>
            <w:tcW w:w="1960" w:type="dxa"/>
            <w:tcMar>
              <w:top w:w="15" w:type="dxa"/>
              <w:left w:w="15" w:type="dxa"/>
              <w:right w:w="15" w:type="dxa"/>
            </w:tcMar>
            <w:vAlign w:val="bottom"/>
          </w:tcPr>
          <w:p w14:paraId="1060E7A2" w14:textId="77777777" w:rsidR="008D1C9F" w:rsidRDefault="0098439B">
            <w:pPr>
              <w:spacing w:after="0" w:line="240" w:lineRule="auto"/>
            </w:pPr>
            <w:r>
              <w:t>38.98</w:t>
            </w:r>
          </w:p>
        </w:tc>
      </w:tr>
      <w:tr w:rsidR="008D1C9F" w14:paraId="4023FE34" w14:textId="77777777">
        <w:trPr>
          <w:trHeight w:val="240"/>
        </w:trPr>
        <w:tc>
          <w:tcPr>
            <w:tcW w:w="1960" w:type="dxa"/>
            <w:tcMar>
              <w:top w:w="15" w:type="dxa"/>
              <w:left w:w="15" w:type="dxa"/>
              <w:right w:w="15" w:type="dxa"/>
            </w:tcMar>
            <w:vAlign w:val="bottom"/>
          </w:tcPr>
          <w:p w14:paraId="33D47E3B" w14:textId="77777777" w:rsidR="008D1C9F" w:rsidRDefault="0098439B">
            <w:pPr>
              <w:spacing w:after="0" w:line="240" w:lineRule="auto"/>
            </w:pPr>
            <w:r>
              <w:t>Mid (2B to 10B)</w:t>
            </w:r>
          </w:p>
        </w:tc>
        <w:tc>
          <w:tcPr>
            <w:tcW w:w="1960" w:type="dxa"/>
            <w:tcMar>
              <w:top w:w="15" w:type="dxa"/>
              <w:left w:w="15" w:type="dxa"/>
              <w:right w:w="15" w:type="dxa"/>
            </w:tcMar>
            <w:vAlign w:val="bottom"/>
          </w:tcPr>
          <w:p w14:paraId="79FB7E2A" w14:textId="77777777" w:rsidR="008D1C9F" w:rsidRDefault="0098439B">
            <w:pPr>
              <w:spacing w:after="0" w:line="240" w:lineRule="auto"/>
            </w:pPr>
            <w:r>
              <w:t>46.55</w:t>
            </w:r>
          </w:p>
        </w:tc>
      </w:tr>
      <w:tr w:rsidR="008D1C9F" w14:paraId="3DB81293" w14:textId="77777777">
        <w:trPr>
          <w:trHeight w:val="240"/>
        </w:trPr>
        <w:tc>
          <w:tcPr>
            <w:tcW w:w="1960" w:type="dxa"/>
            <w:tcMar>
              <w:top w:w="15" w:type="dxa"/>
              <w:left w:w="15" w:type="dxa"/>
              <w:right w:w="15" w:type="dxa"/>
            </w:tcMar>
            <w:vAlign w:val="bottom"/>
          </w:tcPr>
          <w:p w14:paraId="3FDBEEED" w14:textId="77777777" w:rsidR="008D1C9F" w:rsidRDefault="0098439B">
            <w:pPr>
              <w:spacing w:after="0" w:line="240" w:lineRule="auto"/>
            </w:pPr>
            <w:r>
              <w:t>Small (250MM to 2B)</w:t>
            </w:r>
          </w:p>
        </w:tc>
        <w:tc>
          <w:tcPr>
            <w:tcW w:w="1960" w:type="dxa"/>
            <w:tcMar>
              <w:top w:w="15" w:type="dxa"/>
              <w:left w:w="15" w:type="dxa"/>
              <w:right w:w="15" w:type="dxa"/>
            </w:tcMar>
            <w:vAlign w:val="bottom"/>
          </w:tcPr>
          <w:p w14:paraId="7369D25C" w14:textId="77777777" w:rsidR="008D1C9F" w:rsidRDefault="0098439B">
            <w:pPr>
              <w:spacing w:after="0" w:line="240" w:lineRule="auto"/>
            </w:pPr>
            <w:r>
              <w:t>5.73</w:t>
            </w:r>
          </w:p>
        </w:tc>
      </w:tr>
      <w:tr w:rsidR="008D1C9F" w14:paraId="4714A4C7" w14:textId="77777777">
        <w:trPr>
          <w:trHeight w:val="240"/>
        </w:trPr>
        <w:tc>
          <w:tcPr>
            <w:tcW w:w="1960" w:type="dxa"/>
            <w:tcMar>
              <w:top w:w="15" w:type="dxa"/>
              <w:left w:w="15" w:type="dxa"/>
              <w:right w:w="15" w:type="dxa"/>
            </w:tcMar>
            <w:vAlign w:val="bottom"/>
          </w:tcPr>
          <w:p w14:paraId="59AD74AE" w14:textId="77777777" w:rsidR="008D1C9F" w:rsidRDefault="0098439B">
            <w:pPr>
              <w:spacing w:after="0" w:line="240" w:lineRule="auto"/>
            </w:pPr>
            <w:r>
              <w:t>Not Classified</w:t>
            </w:r>
          </w:p>
        </w:tc>
        <w:tc>
          <w:tcPr>
            <w:tcW w:w="1960" w:type="dxa"/>
            <w:tcMar>
              <w:top w:w="15" w:type="dxa"/>
              <w:left w:w="15" w:type="dxa"/>
              <w:right w:w="15" w:type="dxa"/>
            </w:tcMar>
            <w:vAlign w:val="bottom"/>
          </w:tcPr>
          <w:p w14:paraId="6E622AE6" w14:textId="77777777" w:rsidR="008D1C9F" w:rsidRDefault="0098439B">
            <w:pPr>
              <w:spacing w:after="0" w:line="240" w:lineRule="auto"/>
            </w:pPr>
            <w:r>
              <w:t>4.18</w:t>
            </w:r>
          </w:p>
        </w:tc>
      </w:tr>
    </w:tbl>
    <w:p w14:paraId="7E023D6E" w14:textId="77777777" w:rsidR="008D1C9F" w:rsidRDefault="008D1C9F"/>
    <w:p w14:paraId="36FBAEAE" w14:textId="77777777" w:rsidR="008D1C9F" w:rsidRDefault="0098439B">
      <w:r>
        <w:t xml:space="preserve">As this is a mid-cap fund the vast majority of stocks should be within the midcap portfolio distribution.  This fund has done an alright job at this with 47% of the value of the portfolio within 2B-10B.  </w:t>
      </w:r>
      <w:proofErr w:type="gramStart"/>
      <w:r>
        <w:t>However</w:t>
      </w:r>
      <w:proofErr w:type="gramEnd"/>
      <w:r>
        <w:t xml:space="preserve"> they also have a very large proportion of st</w:t>
      </w:r>
      <w:r>
        <w:t>ocks that are within the large (10B-50B) market capitalizations that can be cause for some concern.</w:t>
      </w:r>
    </w:p>
    <w:p w14:paraId="70691DA7" w14:textId="77777777" w:rsidR="008D1C9F" w:rsidRDefault="0098439B">
      <w:r>
        <w:rPr>
          <w:b/>
        </w:rPr>
        <w:t>Question 2:</w:t>
      </w:r>
    </w:p>
    <w:p w14:paraId="0BA384B6" w14:textId="77777777" w:rsidR="008D1C9F" w:rsidRDefault="0098439B">
      <w:r>
        <w:t xml:space="preserve">Portfolio Manager: Lawrence G. Kemp, who manages 12 total funds.  </w:t>
      </w:r>
    </w:p>
    <w:p w14:paraId="1B26E31B" w14:textId="77777777" w:rsidR="008D1C9F" w:rsidRDefault="0098439B">
      <w:pPr>
        <w:numPr>
          <w:ilvl w:val="0"/>
          <w:numId w:val="10"/>
        </w:numPr>
        <w:ind w:hanging="360"/>
        <w:contextualSpacing/>
      </w:pPr>
      <w:proofErr w:type="spellStart"/>
      <w:r>
        <w:t>BlackRock</w:t>
      </w:r>
      <w:proofErr w:type="spellEnd"/>
      <w:r>
        <w:t xml:space="preserve"> Midcap Growth Equity Portfolio (500M)</w:t>
      </w:r>
    </w:p>
    <w:p w14:paraId="3DE343FF" w14:textId="77777777" w:rsidR="008D1C9F" w:rsidRDefault="0098439B">
      <w:pPr>
        <w:numPr>
          <w:ilvl w:val="0"/>
          <w:numId w:val="10"/>
        </w:numPr>
        <w:ind w:hanging="360"/>
        <w:contextualSpacing/>
      </w:pPr>
      <w:r>
        <w:t xml:space="preserve">Metropolitan Series - </w:t>
      </w:r>
      <w:proofErr w:type="spellStart"/>
      <w:r>
        <w:t>BlackRock</w:t>
      </w:r>
      <w:proofErr w:type="spellEnd"/>
      <w:r>
        <w:t xml:space="preserve"> Capital Appreciation Portfolio (1.7B)</w:t>
      </w:r>
    </w:p>
    <w:p w14:paraId="52B46886" w14:textId="77777777" w:rsidR="008D1C9F" w:rsidRDefault="0098439B">
      <w:pPr>
        <w:numPr>
          <w:ilvl w:val="0"/>
          <w:numId w:val="10"/>
        </w:numPr>
        <w:ind w:hanging="360"/>
        <w:contextualSpacing/>
      </w:pPr>
      <w:r>
        <w:t>JNL/</w:t>
      </w:r>
      <w:proofErr w:type="spellStart"/>
      <w:r>
        <w:t>BlackRock</w:t>
      </w:r>
      <w:proofErr w:type="spellEnd"/>
      <w:r>
        <w:t xml:space="preserve"> Large Cap Select Growth Fund (1.6B)</w:t>
      </w:r>
    </w:p>
    <w:p w14:paraId="6E1AC32E" w14:textId="77777777" w:rsidR="008D1C9F" w:rsidRDefault="0098439B">
      <w:pPr>
        <w:numPr>
          <w:ilvl w:val="0"/>
          <w:numId w:val="10"/>
        </w:numPr>
        <w:ind w:hanging="360"/>
        <w:contextualSpacing/>
      </w:pPr>
      <w:proofErr w:type="spellStart"/>
      <w:r>
        <w:t>BlackRock</w:t>
      </w:r>
      <w:proofErr w:type="spellEnd"/>
      <w:r>
        <w:t xml:space="preserve"> Capital Appreciation Fund Inc. (3.2B)</w:t>
      </w:r>
    </w:p>
    <w:p w14:paraId="13BEA823" w14:textId="77777777" w:rsidR="008D1C9F" w:rsidRDefault="0098439B">
      <w:pPr>
        <w:numPr>
          <w:ilvl w:val="0"/>
          <w:numId w:val="10"/>
        </w:numPr>
        <w:ind w:hanging="360"/>
        <w:contextualSpacing/>
      </w:pPr>
      <w:proofErr w:type="spellStart"/>
      <w:r>
        <w:t>BlackRock</w:t>
      </w:r>
      <w:proofErr w:type="spellEnd"/>
      <w:r>
        <w:t xml:space="preserve"> Capital Appreciation V.I. Fund (345M)</w:t>
      </w:r>
    </w:p>
    <w:p w14:paraId="1444F3E6" w14:textId="77777777" w:rsidR="008D1C9F" w:rsidRDefault="0098439B">
      <w:pPr>
        <w:numPr>
          <w:ilvl w:val="0"/>
          <w:numId w:val="10"/>
        </w:numPr>
        <w:ind w:hanging="360"/>
        <w:contextualSpacing/>
      </w:pPr>
      <w:proofErr w:type="spellStart"/>
      <w:r>
        <w:t>BlackRock</w:t>
      </w:r>
      <w:proofErr w:type="spellEnd"/>
      <w:r>
        <w:t xml:space="preserve"> Exchange Portfolio (174M)</w:t>
      </w:r>
    </w:p>
    <w:p w14:paraId="344D8656" w14:textId="77777777" w:rsidR="008D1C9F" w:rsidRDefault="0098439B">
      <w:pPr>
        <w:numPr>
          <w:ilvl w:val="0"/>
          <w:numId w:val="10"/>
        </w:numPr>
        <w:ind w:hanging="360"/>
        <w:contextualSpacing/>
      </w:pPr>
      <w:r>
        <w:t>Paci</w:t>
      </w:r>
      <w:r>
        <w:t>fic Select Fund - Large Cap Growth Portfolio (1.1B)</w:t>
      </w:r>
    </w:p>
    <w:p w14:paraId="1D276B89" w14:textId="77777777" w:rsidR="008D1C9F" w:rsidRDefault="0098439B">
      <w:pPr>
        <w:numPr>
          <w:ilvl w:val="0"/>
          <w:numId w:val="10"/>
        </w:numPr>
        <w:ind w:hanging="360"/>
        <w:contextualSpacing/>
      </w:pPr>
      <w:proofErr w:type="spellStart"/>
      <w:r>
        <w:t>BlackRock</w:t>
      </w:r>
      <w:proofErr w:type="spellEnd"/>
      <w:r>
        <w:t xml:space="preserve"> Master Focus Growth LLC (108M)</w:t>
      </w:r>
    </w:p>
    <w:p w14:paraId="0C551587" w14:textId="77777777" w:rsidR="008D1C9F" w:rsidRDefault="0098439B">
      <w:pPr>
        <w:numPr>
          <w:ilvl w:val="0"/>
          <w:numId w:val="10"/>
        </w:numPr>
        <w:ind w:hanging="360"/>
        <w:contextualSpacing/>
      </w:pPr>
      <w:r>
        <w:t>PF Large Cap Growth Fund (152M)</w:t>
      </w:r>
    </w:p>
    <w:p w14:paraId="37279CB5" w14:textId="77777777" w:rsidR="008D1C9F" w:rsidRDefault="0098439B">
      <w:pPr>
        <w:numPr>
          <w:ilvl w:val="0"/>
          <w:numId w:val="10"/>
        </w:numPr>
        <w:ind w:hanging="360"/>
        <w:contextualSpacing/>
      </w:pPr>
      <w:r>
        <w:t xml:space="preserve">Allianz VIP Trust - AZL </w:t>
      </w:r>
      <w:proofErr w:type="spellStart"/>
      <w:r>
        <w:t>BlackRock</w:t>
      </w:r>
      <w:proofErr w:type="spellEnd"/>
      <w:r>
        <w:t xml:space="preserve"> Capital Appreciation Fund (484M)</w:t>
      </w:r>
    </w:p>
    <w:p w14:paraId="05B39C3B" w14:textId="77777777" w:rsidR="008D1C9F" w:rsidRDefault="0098439B">
      <w:pPr>
        <w:numPr>
          <w:ilvl w:val="0"/>
          <w:numId w:val="10"/>
        </w:numPr>
        <w:ind w:hanging="360"/>
        <w:contextualSpacing/>
      </w:pPr>
      <w:proofErr w:type="spellStart"/>
      <w:r>
        <w:t>Laudus</w:t>
      </w:r>
      <w:proofErr w:type="spellEnd"/>
      <w:r>
        <w:t xml:space="preserve"> US Large Cap Growth Fund (2.1B)</w:t>
      </w:r>
    </w:p>
    <w:p w14:paraId="567D3A0E" w14:textId="77777777" w:rsidR="008D1C9F" w:rsidRDefault="0098439B">
      <w:pPr>
        <w:numPr>
          <w:ilvl w:val="0"/>
          <w:numId w:val="10"/>
        </w:numPr>
        <w:ind w:hanging="360"/>
        <w:contextualSpacing/>
      </w:pPr>
      <w:proofErr w:type="spellStart"/>
      <w:r>
        <w:t>BlackRock</w:t>
      </w:r>
      <w:proofErr w:type="spellEnd"/>
      <w:r>
        <w:t xml:space="preserve"> Focus Growth Fu</w:t>
      </w:r>
      <w:r>
        <w:t>nd Inc. (107M)</w:t>
      </w:r>
    </w:p>
    <w:p w14:paraId="1D2914E3" w14:textId="77777777" w:rsidR="008D1C9F" w:rsidRDefault="0098439B">
      <w:r>
        <w:t>TOTAL: 11.1B</w:t>
      </w:r>
    </w:p>
    <w:p w14:paraId="4C130E39" w14:textId="77777777" w:rsidR="008D1C9F" w:rsidRDefault="0098439B">
      <w:r>
        <w:t>This is cause for concern that he is the sole manager of 11 other funds.  We are very concerned that he is not capable of managing all of these separate funds as effectively as if he could focus on a select few.  We do not belie</w:t>
      </w:r>
      <w:r>
        <w:t>ve that he is able to give full attention to each fund. We believe that this fund, as it is relatively smaller than some of the other ones he manages and encompasses less than 5% of all assets that Mr. Kemp oversees, is primarily overseen by the two analys</w:t>
      </w:r>
      <w:r>
        <w:t xml:space="preserve">ts, Kathryn </w:t>
      </w:r>
      <w:proofErr w:type="spellStart"/>
      <w:r>
        <w:t>Mak</w:t>
      </w:r>
      <w:proofErr w:type="spellEnd"/>
      <w:r>
        <w:t xml:space="preserve"> </w:t>
      </w:r>
      <w:proofErr w:type="spellStart"/>
      <w:r>
        <w:t>Mongelli</w:t>
      </w:r>
      <w:proofErr w:type="spellEnd"/>
      <w:r>
        <w:t xml:space="preserve"> and Philip H. </w:t>
      </w:r>
      <w:proofErr w:type="spellStart"/>
      <w:r>
        <w:t>Ruvinsky</w:t>
      </w:r>
      <w:proofErr w:type="spellEnd"/>
      <w:r>
        <w:t xml:space="preserve">.  </w:t>
      </w:r>
    </w:p>
    <w:p w14:paraId="12157EAC" w14:textId="77777777" w:rsidR="008D1C9F" w:rsidRDefault="008D1C9F"/>
    <w:p w14:paraId="5DA9376B" w14:textId="77777777" w:rsidR="00B35BE5" w:rsidRDefault="00B35BE5">
      <w:pPr>
        <w:rPr>
          <w:b/>
        </w:rPr>
      </w:pPr>
    </w:p>
    <w:p w14:paraId="3FBFE0C8" w14:textId="77777777" w:rsidR="00B35BE5" w:rsidRDefault="00B35BE5">
      <w:pPr>
        <w:rPr>
          <w:b/>
        </w:rPr>
      </w:pPr>
    </w:p>
    <w:p w14:paraId="3F1F3B7D" w14:textId="77777777" w:rsidR="00B35BE5" w:rsidRDefault="00B35BE5">
      <w:pPr>
        <w:rPr>
          <w:b/>
        </w:rPr>
      </w:pPr>
    </w:p>
    <w:p w14:paraId="2C39F44A" w14:textId="77777777" w:rsidR="008D1C9F" w:rsidRDefault="0098439B">
      <w:r>
        <w:rPr>
          <w:b/>
        </w:rPr>
        <w:lastRenderedPageBreak/>
        <w:t>Question 3:</w:t>
      </w:r>
    </w:p>
    <w:p w14:paraId="465D9878" w14:textId="77777777" w:rsidR="008D1C9F" w:rsidRDefault="0098439B">
      <w:r>
        <w:t>Basic Financial Ratios:</w:t>
      </w:r>
    </w:p>
    <w:tbl>
      <w:tblPr>
        <w:tblStyle w:val="a0"/>
        <w:tblW w:w="58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615"/>
        <w:gridCol w:w="450"/>
        <w:gridCol w:w="2130"/>
        <w:gridCol w:w="660"/>
      </w:tblGrid>
      <w:tr w:rsidR="008D1C9F" w14:paraId="4DF76609" w14:textId="77777777">
        <w:trPr>
          <w:trHeight w:val="240"/>
        </w:trPr>
        <w:tc>
          <w:tcPr>
            <w:tcW w:w="1995" w:type="dxa"/>
            <w:tcMar>
              <w:top w:w="15" w:type="dxa"/>
              <w:left w:w="15" w:type="dxa"/>
              <w:right w:w="15" w:type="dxa"/>
            </w:tcMar>
            <w:vAlign w:val="bottom"/>
          </w:tcPr>
          <w:p w14:paraId="0FAF086A" w14:textId="77777777" w:rsidR="008D1C9F" w:rsidRDefault="0098439B">
            <w:pPr>
              <w:spacing w:after="0" w:line="240" w:lineRule="auto"/>
            </w:pPr>
            <w:r>
              <w:t>BMGAX</w:t>
            </w:r>
          </w:p>
        </w:tc>
        <w:tc>
          <w:tcPr>
            <w:tcW w:w="615" w:type="dxa"/>
            <w:tcBorders>
              <w:right w:val="single" w:sz="4" w:space="0" w:color="000000"/>
            </w:tcBorders>
            <w:tcMar>
              <w:top w:w="15" w:type="dxa"/>
              <w:left w:w="15" w:type="dxa"/>
              <w:right w:w="15" w:type="dxa"/>
            </w:tcMar>
            <w:vAlign w:val="bottom"/>
          </w:tcPr>
          <w:p w14:paraId="48E295A9" w14:textId="77777777" w:rsidR="008D1C9F" w:rsidRDefault="008D1C9F">
            <w:pPr>
              <w:spacing w:after="0" w:line="240" w:lineRule="auto"/>
            </w:pPr>
          </w:p>
        </w:tc>
        <w:tc>
          <w:tcPr>
            <w:tcW w:w="450" w:type="dxa"/>
            <w:tcBorders>
              <w:top w:val="nil"/>
              <w:left w:val="single" w:sz="4" w:space="0" w:color="000000"/>
              <w:bottom w:val="nil"/>
              <w:right w:val="single" w:sz="4" w:space="0" w:color="000000"/>
            </w:tcBorders>
          </w:tcPr>
          <w:p w14:paraId="3794555A" w14:textId="77777777" w:rsidR="008D1C9F" w:rsidRDefault="008D1C9F">
            <w:pPr>
              <w:spacing w:after="0" w:line="240" w:lineRule="auto"/>
            </w:pPr>
          </w:p>
        </w:tc>
        <w:tc>
          <w:tcPr>
            <w:tcW w:w="2130" w:type="dxa"/>
            <w:tcBorders>
              <w:left w:val="single" w:sz="4" w:space="0" w:color="000000"/>
            </w:tcBorders>
            <w:vAlign w:val="center"/>
          </w:tcPr>
          <w:p w14:paraId="509B392F" w14:textId="77777777" w:rsidR="008D1C9F" w:rsidRDefault="0098439B">
            <w:pPr>
              <w:spacing w:after="0" w:line="240" w:lineRule="auto"/>
            </w:pPr>
            <w:r>
              <w:t>S&amp;P 400 Index Fund</w:t>
            </w:r>
          </w:p>
        </w:tc>
        <w:tc>
          <w:tcPr>
            <w:tcW w:w="660" w:type="dxa"/>
            <w:vAlign w:val="center"/>
          </w:tcPr>
          <w:p w14:paraId="6DED9198" w14:textId="77777777" w:rsidR="008D1C9F" w:rsidRDefault="008D1C9F">
            <w:pPr>
              <w:spacing w:after="0" w:line="240" w:lineRule="auto"/>
            </w:pPr>
          </w:p>
        </w:tc>
      </w:tr>
      <w:tr w:rsidR="008D1C9F" w14:paraId="5FF9C457" w14:textId="77777777">
        <w:trPr>
          <w:trHeight w:val="240"/>
        </w:trPr>
        <w:tc>
          <w:tcPr>
            <w:tcW w:w="1995" w:type="dxa"/>
            <w:tcMar>
              <w:top w:w="15" w:type="dxa"/>
              <w:left w:w="15" w:type="dxa"/>
              <w:right w:w="15" w:type="dxa"/>
            </w:tcMar>
            <w:vAlign w:val="bottom"/>
          </w:tcPr>
          <w:p w14:paraId="27123DD0" w14:textId="77777777" w:rsidR="008D1C9F" w:rsidRDefault="0098439B">
            <w:pPr>
              <w:spacing w:after="0" w:line="240" w:lineRule="auto"/>
            </w:pPr>
            <w:proofErr w:type="spellStart"/>
            <w:r>
              <w:t>Avg</w:t>
            </w:r>
            <w:proofErr w:type="spellEnd"/>
            <w:r>
              <w:t xml:space="preserve"> P/E Ratio</w:t>
            </w:r>
          </w:p>
        </w:tc>
        <w:tc>
          <w:tcPr>
            <w:tcW w:w="615" w:type="dxa"/>
            <w:tcBorders>
              <w:right w:val="single" w:sz="4" w:space="0" w:color="000000"/>
            </w:tcBorders>
            <w:tcMar>
              <w:top w:w="15" w:type="dxa"/>
              <w:left w:w="15" w:type="dxa"/>
              <w:right w:w="15" w:type="dxa"/>
            </w:tcMar>
            <w:vAlign w:val="bottom"/>
          </w:tcPr>
          <w:p w14:paraId="01DA268A" w14:textId="77777777" w:rsidR="008D1C9F" w:rsidRDefault="0098439B">
            <w:pPr>
              <w:spacing w:after="0" w:line="240" w:lineRule="auto"/>
            </w:pPr>
            <w:r>
              <w:t>47.50</w:t>
            </w:r>
          </w:p>
        </w:tc>
        <w:tc>
          <w:tcPr>
            <w:tcW w:w="450" w:type="dxa"/>
            <w:tcBorders>
              <w:top w:val="nil"/>
              <w:left w:val="single" w:sz="4" w:space="0" w:color="000000"/>
              <w:bottom w:val="nil"/>
              <w:right w:val="single" w:sz="4" w:space="0" w:color="000000"/>
            </w:tcBorders>
          </w:tcPr>
          <w:p w14:paraId="290524AC" w14:textId="77777777" w:rsidR="008D1C9F" w:rsidRDefault="008D1C9F">
            <w:pPr>
              <w:spacing w:after="0" w:line="240" w:lineRule="auto"/>
            </w:pPr>
          </w:p>
        </w:tc>
        <w:tc>
          <w:tcPr>
            <w:tcW w:w="2130" w:type="dxa"/>
            <w:tcBorders>
              <w:left w:val="single" w:sz="4" w:space="0" w:color="000000"/>
            </w:tcBorders>
            <w:vAlign w:val="center"/>
          </w:tcPr>
          <w:p w14:paraId="455C983A" w14:textId="77777777" w:rsidR="008D1C9F" w:rsidRDefault="0098439B">
            <w:pPr>
              <w:spacing w:after="0" w:line="240" w:lineRule="auto"/>
            </w:pPr>
            <w:proofErr w:type="spellStart"/>
            <w:r>
              <w:t>Avg</w:t>
            </w:r>
            <w:proofErr w:type="spellEnd"/>
            <w:r>
              <w:t xml:space="preserve"> P/E Ratio</w:t>
            </w:r>
          </w:p>
        </w:tc>
        <w:tc>
          <w:tcPr>
            <w:tcW w:w="660" w:type="dxa"/>
            <w:vAlign w:val="center"/>
          </w:tcPr>
          <w:p w14:paraId="0C48CD54" w14:textId="77777777" w:rsidR="008D1C9F" w:rsidRDefault="0098439B">
            <w:pPr>
              <w:spacing w:after="0" w:line="240" w:lineRule="auto"/>
            </w:pPr>
            <w:r>
              <w:t>30.11 </w:t>
            </w:r>
          </w:p>
        </w:tc>
      </w:tr>
      <w:tr w:rsidR="008D1C9F" w14:paraId="5710F5D4" w14:textId="77777777">
        <w:trPr>
          <w:trHeight w:val="240"/>
        </w:trPr>
        <w:tc>
          <w:tcPr>
            <w:tcW w:w="1995" w:type="dxa"/>
            <w:tcMar>
              <w:top w:w="15" w:type="dxa"/>
              <w:left w:w="15" w:type="dxa"/>
              <w:right w:w="15" w:type="dxa"/>
            </w:tcMar>
            <w:vAlign w:val="bottom"/>
          </w:tcPr>
          <w:p w14:paraId="0BEE199F" w14:textId="77777777" w:rsidR="008D1C9F" w:rsidRDefault="0098439B">
            <w:pPr>
              <w:spacing w:after="0" w:line="240" w:lineRule="auto"/>
            </w:pPr>
            <w:proofErr w:type="spellStart"/>
            <w:r>
              <w:t>Avg</w:t>
            </w:r>
            <w:proofErr w:type="spellEnd"/>
            <w:r>
              <w:t xml:space="preserve"> P/B Ratio</w:t>
            </w:r>
          </w:p>
        </w:tc>
        <w:tc>
          <w:tcPr>
            <w:tcW w:w="615" w:type="dxa"/>
            <w:tcBorders>
              <w:right w:val="single" w:sz="4" w:space="0" w:color="000000"/>
            </w:tcBorders>
            <w:tcMar>
              <w:top w:w="15" w:type="dxa"/>
              <w:left w:w="15" w:type="dxa"/>
              <w:right w:w="15" w:type="dxa"/>
            </w:tcMar>
            <w:vAlign w:val="bottom"/>
          </w:tcPr>
          <w:p w14:paraId="48599E56" w14:textId="77777777" w:rsidR="008D1C9F" w:rsidRDefault="0098439B">
            <w:pPr>
              <w:spacing w:after="0" w:line="240" w:lineRule="auto"/>
            </w:pPr>
            <w:r>
              <w:t>7.30</w:t>
            </w:r>
          </w:p>
        </w:tc>
        <w:tc>
          <w:tcPr>
            <w:tcW w:w="450" w:type="dxa"/>
            <w:tcBorders>
              <w:top w:val="nil"/>
              <w:left w:val="single" w:sz="4" w:space="0" w:color="000000"/>
              <w:bottom w:val="nil"/>
              <w:right w:val="single" w:sz="4" w:space="0" w:color="000000"/>
            </w:tcBorders>
          </w:tcPr>
          <w:p w14:paraId="311C1E36" w14:textId="77777777" w:rsidR="008D1C9F" w:rsidRDefault="008D1C9F">
            <w:pPr>
              <w:spacing w:after="0" w:line="240" w:lineRule="auto"/>
            </w:pPr>
          </w:p>
        </w:tc>
        <w:tc>
          <w:tcPr>
            <w:tcW w:w="2130" w:type="dxa"/>
            <w:tcBorders>
              <w:left w:val="single" w:sz="4" w:space="0" w:color="000000"/>
            </w:tcBorders>
            <w:vAlign w:val="center"/>
          </w:tcPr>
          <w:p w14:paraId="1EBFD6B6" w14:textId="77777777" w:rsidR="008D1C9F" w:rsidRDefault="0098439B">
            <w:pPr>
              <w:spacing w:after="0" w:line="240" w:lineRule="auto"/>
            </w:pPr>
            <w:r>
              <w:t> </w:t>
            </w:r>
            <w:proofErr w:type="spellStart"/>
            <w:r>
              <w:t>Avg</w:t>
            </w:r>
            <w:proofErr w:type="spellEnd"/>
            <w:r>
              <w:t xml:space="preserve"> P/B Ratio</w:t>
            </w:r>
          </w:p>
        </w:tc>
        <w:tc>
          <w:tcPr>
            <w:tcW w:w="660" w:type="dxa"/>
            <w:vAlign w:val="center"/>
          </w:tcPr>
          <w:p w14:paraId="409CB678" w14:textId="77777777" w:rsidR="008D1C9F" w:rsidRDefault="0098439B">
            <w:pPr>
              <w:spacing w:after="0" w:line="240" w:lineRule="auto"/>
            </w:pPr>
            <w:r>
              <w:t>3.94 </w:t>
            </w:r>
          </w:p>
        </w:tc>
      </w:tr>
      <w:tr w:rsidR="008D1C9F" w14:paraId="41880307" w14:textId="77777777">
        <w:trPr>
          <w:trHeight w:val="240"/>
        </w:trPr>
        <w:tc>
          <w:tcPr>
            <w:tcW w:w="1995" w:type="dxa"/>
            <w:tcMar>
              <w:top w:w="15" w:type="dxa"/>
              <w:left w:w="15" w:type="dxa"/>
              <w:right w:w="15" w:type="dxa"/>
            </w:tcMar>
            <w:vAlign w:val="bottom"/>
          </w:tcPr>
          <w:p w14:paraId="40B3B6DC" w14:textId="77777777" w:rsidR="008D1C9F" w:rsidRDefault="0098439B">
            <w:pPr>
              <w:spacing w:after="0" w:line="240" w:lineRule="auto"/>
            </w:pPr>
            <w:proofErr w:type="spellStart"/>
            <w:r>
              <w:t>Avg</w:t>
            </w:r>
            <w:proofErr w:type="spellEnd"/>
            <w:r>
              <w:t xml:space="preserve"> </w:t>
            </w:r>
            <w:proofErr w:type="spellStart"/>
            <w:r>
              <w:t>Div</w:t>
            </w:r>
            <w:proofErr w:type="spellEnd"/>
            <w:r>
              <w:t xml:space="preserve"> </w:t>
            </w:r>
            <w:proofErr w:type="spellStart"/>
            <w:r>
              <w:t>Yld</w:t>
            </w:r>
            <w:proofErr w:type="spellEnd"/>
            <w:r>
              <w:t xml:space="preserve"> (%)</w:t>
            </w:r>
          </w:p>
        </w:tc>
        <w:tc>
          <w:tcPr>
            <w:tcW w:w="615" w:type="dxa"/>
            <w:tcBorders>
              <w:right w:val="single" w:sz="4" w:space="0" w:color="000000"/>
            </w:tcBorders>
            <w:tcMar>
              <w:top w:w="15" w:type="dxa"/>
              <w:left w:w="15" w:type="dxa"/>
              <w:right w:w="15" w:type="dxa"/>
            </w:tcMar>
            <w:vAlign w:val="bottom"/>
          </w:tcPr>
          <w:p w14:paraId="497ADE87" w14:textId="77777777" w:rsidR="008D1C9F" w:rsidRDefault="0098439B">
            <w:pPr>
              <w:spacing w:after="0" w:line="240" w:lineRule="auto"/>
            </w:pPr>
            <w:r>
              <w:t>0.35</w:t>
            </w:r>
          </w:p>
        </w:tc>
        <w:tc>
          <w:tcPr>
            <w:tcW w:w="450" w:type="dxa"/>
            <w:tcBorders>
              <w:top w:val="nil"/>
              <w:left w:val="single" w:sz="4" w:space="0" w:color="000000"/>
              <w:bottom w:val="nil"/>
              <w:right w:val="single" w:sz="4" w:space="0" w:color="000000"/>
            </w:tcBorders>
          </w:tcPr>
          <w:p w14:paraId="09B7BB43" w14:textId="77777777" w:rsidR="008D1C9F" w:rsidRDefault="008D1C9F">
            <w:pPr>
              <w:spacing w:after="0" w:line="240" w:lineRule="auto"/>
            </w:pPr>
          </w:p>
        </w:tc>
        <w:tc>
          <w:tcPr>
            <w:tcW w:w="2130" w:type="dxa"/>
            <w:tcBorders>
              <w:left w:val="single" w:sz="4" w:space="0" w:color="000000"/>
            </w:tcBorders>
            <w:vAlign w:val="center"/>
          </w:tcPr>
          <w:p w14:paraId="6897A120" w14:textId="77777777" w:rsidR="008D1C9F" w:rsidRDefault="0098439B">
            <w:pPr>
              <w:spacing w:after="0" w:line="240" w:lineRule="auto"/>
            </w:pPr>
            <w:r>
              <w:t> </w:t>
            </w:r>
            <w:proofErr w:type="spellStart"/>
            <w:r>
              <w:t>Avg</w:t>
            </w:r>
            <w:proofErr w:type="spellEnd"/>
            <w:r>
              <w:t xml:space="preserve"> </w:t>
            </w:r>
            <w:proofErr w:type="spellStart"/>
            <w:r>
              <w:t>Div</w:t>
            </w:r>
            <w:proofErr w:type="spellEnd"/>
            <w:r>
              <w:t xml:space="preserve"> </w:t>
            </w:r>
            <w:proofErr w:type="spellStart"/>
            <w:r>
              <w:t>Yld</w:t>
            </w:r>
            <w:proofErr w:type="spellEnd"/>
            <w:r>
              <w:t xml:space="preserve"> (%)</w:t>
            </w:r>
          </w:p>
        </w:tc>
        <w:tc>
          <w:tcPr>
            <w:tcW w:w="660" w:type="dxa"/>
            <w:vAlign w:val="center"/>
          </w:tcPr>
          <w:p w14:paraId="1C0D33C6" w14:textId="77777777" w:rsidR="008D1C9F" w:rsidRDefault="0098439B">
            <w:pPr>
              <w:spacing w:after="0" w:line="240" w:lineRule="auto"/>
            </w:pPr>
            <w:r>
              <w:t>1.66 </w:t>
            </w:r>
          </w:p>
        </w:tc>
      </w:tr>
      <w:tr w:rsidR="008D1C9F" w14:paraId="3A4EA35A" w14:textId="77777777">
        <w:trPr>
          <w:trHeight w:val="240"/>
        </w:trPr>
        <w:tc>
          <w:tcPr>
            <w:tcW w:w="1995" w:type="dxa"/>
            <w:tcMar>
              <w:top w:w="15" w:type="dxa"/>
              <w:left w:w="15" w:type="dxa"/>
              <w:right w:w="15" w:type="dxa"/>
            </w:tcMar>
            <w:vAlign w:val="bottom"/>
          </w:tcPr>
          <w:p w14:paraId="19E9040E" w14:textId="77777777" w:rsidR="008D1C9F" w:rsidRDefault="0098439B">
            <w:pPr>
              <w:spacing w:after="0" w:line="240" w:lineRule="auto"/>
            </w:pPr>
            <w:proofErr w:type="spellStart"/>
            <w:r>
              <w:t>Avg</w:t>
            </w:r>
            <w:proofErr w:type="spellEnd"/>
            <w:r>
              <w:t xml:space="preserve"> Sales Growth (%)</w:t>
            </w:r>
          </w:p>
        </w:tc>
        <w:tc>
          <w:tcPr>
            <w:tcW w:w="615" w:type="dxa"/>
            <w:tcBorders>
              <w:right w:val="single" w:sz="4" w:space="0" w:color="000000"/>
            </w:tcBorders>
            <w:tcMar>
              <w:top w:w="15" w:type="dxa"/>
              <w:left w:w="15" w:type="dxa"/>
              <w:right w:w="15" w:type="dxa"/>
            </w:tcMar>
            <w:vAlign w:val="bottom"/>
          </w:tcPr>
          <w:p w14:paraId="1B4D3EC4" w14:textId="77777777" w:rsidR="008D1C9F" w:rsidRDefault="0098439B">
            <w:pPr>
              <w:spacing w:after="0" w:line="240" w:lineRule="auto"/>
            </w:pPr>
            <w:r>
              <w:t>16.19</w:t>
            </w:r>
          </w:p>
        </w:tc>
        <w:tc>
          <w:tcPr>
            <w:tcW w:w="450" w:type="dxa"/>
            <w:tcBorders>
              <w:top w:val="nil"/>
              <w:left w:val="single" w:sz="4" w:space="0" w:color="000000"/>
              <w:bottom w:val="nil"/>
              <w:right w:val="single" w:sz="4" w:space="0" w:color="000000"/>
            </w:tcBorders>
          </w:tcPr>
          <w:p w14:paraId="7D6DA916" w14:textId="77777777" w:rsidR="008D1C9F" w:rsidRDefault="008D1C9F">
            <w:pPr>
              <w:spacing w:after="0" w:line="240" w:lineRule="auto"/>
            </w:pPr>
          </w:p>
        </w:tc>
        <w:tc>
          <w:tcPr>
            <w:tcW w:w="2130" w:type="dxa"/>
            <w:tcBorders>
              <w:left w:val="single" w:sz="4" w:space="0" w:color="000000"/>
            </w:tcBorders>
            <w:vAlign w:val="center"/>
          </w:tcPr>
          <w:p w14:paraId="72FCA08F" w14:textId="77777777" w:rsidR="008D1C9F" w:rsidRDefault="0098439B">
            <w:pPr>
              <w:spacing w:after="0" w:line="240" w:lineRule="auto"/>
            </w:pPr>
            <w:r>
              <w:t> </w:t>
            </w:r>
            <w:proofErr w:type="spellStart"/>
            <w:r>
              <w:t>Avg</w:t>
            </w:r>
            <w:proofErr w:type="spellEnd"/>
            <w:r>
              <w:t xml:space="preserve"> Sales Growth (%)</w:t>
            </w:r>
          </w:p>
        </w:tc>
        <w:tc>
          <w:tcPr>
            <w:tcW w:w="660" w:type="dxa"/>
            <w:vAlign w:val="center"/>
          </w:tcPr>
          <w:p w14:paraId="60A8799F" w14:textId="77777777" w:rsidR="008D1C9F" w:rsidRDefault="0098439B">
            <w:pPr>
              <w:spacing w:after="0" w:line="240" w:lineRule="auto"/>
            </w:pPr>
            <w:r>
              <w:t>4.23 </w:t>
            </w:r>
          </w:p>
        </w:tc>
      </w:tr>
      <w:tr w:rsidR="008D1C9F" w14:paraId="45BBDB08" w14:textId="77777777">
        <w:trPr>
          <w:trHeight w:val="240"/>
        </w:trPr>
        <w:tc>
          <w:tcPr>
            <w:tcW w:w="1995" w:type="dxa"/>
            <w:tcMar>
              <w:top w:w="15" w:type="dxa"/>
              <w:left w:w="15" w:type="dxa"/>
              <w:right w:w="15" w:type="dxa"/>
            </w:tcMar>
            <w:vAlign w:val="bottom"/>
          </w:tcPr>
          <w:p w14:paraId="75DD7E52" w14:textId="77777777" w:rsidR="008D1C9F" w:rsidRDefault="0098439B">
            <w:pPr>
              <w:spacing w:after="0" w:line="240" w:lineRule="auto"/>
            </w:pPr>
            <w:r>
              <w:t>Price Momentum</w:t>
            </w:r>
          </w:p>
        </w:tc>
        <w:tc>
          <w:tcPr>
            <w:tcW w:w="615" w:type="dxa"/>
            <w:tcBorders>
              <w:right w:val="single" w:sz="4" w:space="0" w:color="000000"/>
            </w:tcBorders>
            <w:tcMar>
              <w:top w:w="15" w:type="dxa"/>
              <w:left w:w="15" w:type="dxa"/>
              <w:right w:w="15" w:type="dxa"/>
            </w:tcMar>
            <w:vAlign w:val="bottom"/>
          </w:tcPr>
          <w:p w14:paraId="4D440CB2" w14:textId="77777777" w:rsidR="008D1C9F" w:rsidRDefault="0098439B">
            <w:pPr>
              <w:spacing w:after="0" w:line="240" w:lineRule="auto"/>
            </w:pPr>
            <w:r>
              <w:t>0.92</w:t>
            </w:r>
          </w:p>
        </w:tc>
        <w:tc>
          <w:tcPr>
            <w:tcW w:w="450" w:type="dxa"/>
            <w:tcBorders>
              <w:top w:val="nil"/>
              <w:left w:val="single" w:sz="4" w:space="0" w:color="000000"/>
              <w:bottom w:val="nil"/>
              <w:right w:val="single" w:sz="4" w:space="0" w:color="000000"/>
            </w:tcBorders>
          </w:tcPr>
          <w:p w14:paraId="46A7DAB6" w14:textId="77777777" w:rsidR="008D1C9F" w:rsidRDefault="008D1C9F">
            <w:pPr>
              <w:spacing w:after="0" w:line="240" w:lineRule="auto"/>
            </w:pPr>
          </w:p>
        </w:tc>
        <w:tc>
          <w:tcPr>
            <w:tcW w:w="2130" w:type="dxa"/>
            <w:tcBorders>
              <w:left w:val="single" w:sz="4" w:space="0" w:color="000000"/>
            </w:tcBorders>
            <w:vAlign w:val="center"/>
          </w:tcPr>
          <w:p w14:paraId="307E4DFC" w14:textId="77777777" w:rsidR="008D1C9F" w:rsidRDefault="0098439B">
            <w:pPr>
              <w:spacing w:after="0" w:line="240" w:lineRule="auto"/>
            </w:pPr>
            <w:r>
              <w:t> Price Momentum</w:t>
            </w:r>
          </w:p>
        </w:tc>
        <w:tc>
          <w:tcPr>
            <w:tcW w:w="660" w:type="dxa"/>
            <w:vAlign w:val="center"/>
          </w:tcPr>
          <w:p w14:paraId="78829C87" w14:textId="77777777" w:rsidR="008D1C9F" w:rsidRDefault="0098439B">
            <w:pPr>
              <w:spacing w:after="0" w:line="240" w:lineRule="auto"/>
            </w:pPr>
            <w:r>
              <w:t>1.04 </w:t>
            </w:r>
          </w:p>
        </w:tc>
      </w:tr>
      <w:tr w:rsidR="008D1C9F" w14:paraId="20947439" w14:textId="77777777">
        <w:trPr>
          <w:trHeight w:val="240"/>
        </w:trPr>
        <w:tc>
          <w:tcPr>
            <w:tcW w:w="1995" w:type="dxa"/>
            <w:tcMar>
              <w:top w:w="15" w:type="dxa"/>
              <w:left w:w="15" w:type="dxa"/>
              <w:right w:w="15" w:type="dxa"/>
            </w:tcMar>
            <w:vAlign w:val="bottom"/>
          </w:tcPr>
          <w:p w14:paraId="52CEA2A3" w14:textId="77777777" w:rsidR="008D1C9F" w:rsidRDefault="0098439B">
            <w:pPr>
              <w:spacing w:after="0" w:line="240" w:lineRule="auto"/>
            </w:pPr>
            <w:r>
              <w:t>Relative Strength</w:t>
            </w:r>
          </w:p>
        </w:tc>
        <w:tc>
          <w:tcPr>
            <w:tcW w:w="615" w:type="dxa"/>
            <w:tcBorders>
              <w:right w:val="single" w:sz="4" w:space="0" w:color="000000"/>
            </w:tcBorders>
            <w:tcMar>
              <w:top w:w="15" w:type="dxa"/>
              <w:left w:w="15" w:type="dxa"/>
              <w:right w:w="15" w:type="dxa"/>
            </w:tcMar>
            <w:vAlign w:val="bottom"/>
          </w:tcPr>
          <w:p w14:paraId="5C423429" w14:textId="77777777" w:rsidR="008D1C9F" w:rsidRDefault="0098439B">
            <w:pPr>
              <w:spacing w:after="0" w:line="240" w:lineRule="auto"/>
            </w:pPr>
            <w:r>
              <w:t>6.95</w:t>
            </w:r>
          </w:p>
        </w:tc>
        <w:tc>
          <w:tcPr>
            <w:tcW w:w="450" w:type="dxa"/>
            <w:tcBorders>
              <w:top w:val="nil"/>
              <w:left w:val="single" w:sz="4" w:space="0" w:color="000000"/>
              <w:bottom w:val="nil"/>
              <w:right w:val="single" w:sz="4" w:space="0" w:color="000000"/>
            </w:tcBorders>
          </w:tcPr>
          <w:p w14:paraId="72D7E6C7" w14:textId="77777777" w:rsidR="008D1C9F" w:rsidRDefault="008D1C9F">
            <w:pPr>
              <w:spacing w:after="0" w:line="240" w:lineRule="auto"/>
            </w:pPr>
          </w:p>
        </w:tc>
        <w:tc>
          <w:tcPr>
            <w:tcW w:w="2130" w:type="dxa"/>
            <w:tcBorders>
              <w:left w:val="single" w:sz="4" w:space="0" w:color="000000"/>
            </w:tcBorders>
            <w:vAlign w:val="center"/>
          </w:tcPr>
          <w:p w14:paraId="5FBD50FC" w14:textId="77777777" w:rsidR="008D1C9F" w:rsidRDefault="0098439B">
            <w:pPr>
              <w:spacing w:after="0" w:line="240" w:lineRule="auto"/>
            </w:pPr>
            <w:r>
              <w:t> Relative Strength</w:t>
            </w:r>
          </w:p>
        </w:tc>
        <w:tc>
          <w:tcPr>
            <w:tcW w:w="660" w:type="dxa"/>
            <w:vAlign w:val="center"/>
          </w:tcPr>
          <w:p w14:paraId="7CD8B493" w14:textId="77777777" w:rsidR="008D1C9F" w:rsidRDefault="0098439B">
            <w:pPr>
              <w:spacing w:after="0" w:line="240" w:lineRule="auto"/>
            </w:pPr>
            <w:r>
              <w:t>10.95 </w:t>
            </w:r>
          </w:p>
        </w:tc>
      </w:tr>
      <w:tr w:rsidR="008D1C9F" w14:paraId="3EFDF25D" w14:textId="77777777">
        <w:trPr>
          <w:trHeight w:val="240"/>
        </w:trPr>
        <w:tc>
          <w:tcPr>
            <w:tcW w:w="1995" w:type="dxa"/>
            <w:tcMar>
              <w:top w:w="15" w:type="dxa"/>
              <w:left w:w="15" w:type="dxa"/>
              <w:right w:w="15" w:type="dxa"/>
            </w:tcMar>
            <w:vAlign w:val="bottom"/>
          </w:tcPr>
          <w:p w14:paraId="7A3B7C41" w14:textId="77777777" w:rsidR="008D1C9F" w:rsidRDefault="0098439B">
            <w:pPr>
              <w:spacing w:after="0" w:line="240" w:lineRule="auto"/>
            </w:pPr>
            <w:r>
              <w:t>Beta</w:t>
            </w:r>
          </w:p>
        </w:tc>
        <w:tc>
          <w:tcPr>
            <w:tcW w:w="615" w:type="dxa"/>
            <w:tcBorders>
              <w:right w:val="single" w:sz="4" w:space="0" w:color="000000"/>
            </w:tcBorders>
            <w:tcMar>
              <w:top w:w="15" w:type="dxa"/>
              <w:left w:w="15" w:type="dxa"/>
              <w:right w:w="15" w:type="dxa"/>
            </w:tcMar>
            <w:vAlign w:val="bottom"/>
          </w:tcPr>
          <w:p w14:paraId="571AC9BD" w14:textId="77777777" w:rsidR="008D1C9F" w:rsidRDefault="0098439B">
            <w:pPr>
              <w:spacing w:after="0" w:line="240" w:lineRule="auto"/>
            </w:pPr>
            <w:r>
              <w:t>0.84</w:t>
            </w:r>
          </w:p>
        </w:tc>
        <w:tc>
          <w:tcPr>
            <w:tcW w:w="450" w:type="dxa"/>
            <w:tcBorders>
              <w:top w:val="nil"/>
              <w:left w:val="single" w:sz="4" w:space="0" w:color="000000"/>
              <w:bottom w:val="nil"/>
              <w:right w:val="single" w:sz="4" w:space="0" w:color="000000"/>
            </w:tcBorders>
          </w:tcPr>
          <w:p w14:paraId="39BA48E1" w14:textId="77777777" w:rsidR="008D1C9F" w:rsidRDefault="008D1C9F">
            <w:pPr>
              <w:spacing w:after="0" w:line="240" w:lineRule="auto"/>
            </w:pPr>
          </w:p>
        </w:tc>
        <w:tc>
          <w:tcPr>
            <w:tcW w:w="2130" w:type="dxa"/>
            <w:tcBorders>
              <w:left w:val="single" w:sz="4" w:space="0" w:color="000000"/>
            </w:tcBorders>
            <w:vAlign w:val="center"/>
          </w:tcPr>
          <w:p w14:paraId="3A8AA4D3" w14:textId="77777777" w:rsidR="008D1C9F" w:rsidRDefault="0098439B">
            <w:pPr>
              <w:spacing w:after="0" w:line="240" w:lineRule="auto"/>
            </w:pPr>
            <w:r>
              <w:t> Beta</w:t>
            </w:r>
          </w:p>
        </w:tc>
        <w:tc>
          <w:tcPr>
            <w:tcW w:w="660" w:type="dxa"/>
            <w:vAlign w:val="center"/>
          </w:tcPr>
          <w:p w14:paraId="73E1F842" w14:textId="77777777" w:rsidR="008D1C9F" w:rsidRDefault="0098439B">
            <w:pPr>
              <w:spacing w:after="0" w:line="240" w:lineRule="auto"/>
            </w:pPr>
            <w:r>
              <w:t>0.88</w:t>
            </w:r>
          </w:p>
        </w:tc>
      </w:tr>
    </w:tbl>
    <w:p w14:paraId="2F47B353" w14:textId="77777777" w:rsidR="008D1C9F" w:rsidRDefault="008D1C9F"/>
    <w:p w14:paraId="6CB75350" w14:textId="77777777" w:rsidR="008D1C9F" w:rsidRDefault="0098439B">
      <w:r>
        <w:t xml:space="preserve">As you can see above, BMGAX has a much higher P/E, P/B, and average sales growth than the comparable index of the S&amp;P 400.  This is to be expected as this is a growth fund.  </w:t>
      </w:r>
    </w:p>
    <w:p w14:paraId="50040DEF" w14:textId="77777777" w:rsidR="008D1C9F" w:rsidRDefault="0098439B">
      <w:r>
        <w:rPr>
          <w:b/>
        </w:rPr>
        <w:t>Question 4:</w:t>
      </w:r>
    </w:p>
    <w:tbl>
      <w:tblPr>
        <w:tblStyle w:val="a1"/>
        <w:tblW w:w="4620" w:type="dxa"/>
        <w:tblLayout w:type="fixed"/>
        <w:tblLook w:val="0400" w:firstRow="0" w:lastRow="0" w:firstColumn="0" w:lastColumn="0" w:noHBand="0" w:noVBand="1"/>
      </w:tblPr>
      <w:tblGrid>
        <w:gridCol w:w="360"/>
        <w:gridCol w:w="1710"/>
        <w:gridCol w:w="1305"/>
        <w:gridCol w:w="1245"/>
      </w:tblGrid>
      <w:tr w:rsidR="008D1C9F" w14:paraId="25A26D36" w14:textId="77777777">
        <w:tc>
          <w:tcPr>
            <w:tcW w:w="360" w:type="dxa"/>
            <w:tcBorders>
              <w:top w:val="single" w:sz="4" w:space="0" w:color="000000"/>
              <w:left w:val="single" w:sz="4" w:space="0" w:color="000000"/>
              <w:bottom w:val="single" w:sz="4" w:space="0" w:color="000000"/>
              <w:right w:val="single" w:sz="4" w:space="0" w:color="000000"/>
            </w:tcBorders>
            <w:vAlign w:val="center"/>
          </w:tcPr>
          <w:p w14:paraId="46977CFD" w14:textId="77777777" w:rsidR="008D1C9F" w:rsidRDefault="008D1C9F">
            <w:pPr>
              <w:spacing w:after="0" w:line="240" w:lineRule="auto"/>
            </w:pPr>
          </w:p>
        </w:tc>
        <w:tc>
          <w:tcPr>
            <w:tcW w:w="1710" w:type="dxa"/>
            <w:tcBorders>
              <w:top w:val="single" w:sz="4" w:space="0" w:color="000000"/>
              <w:left w:val="single" w:sz="4" w:space="0" w:color="000000"/>
              <w:bottom w:val="single" w:sz="4" w:space="0" w:color="000000"/>
              <w:right w:val="single" w:sz="4" w:space="0" w:color="000000"/>
            </w:tcBorders>
            <w:vAlign w:val="center"/>
          </w:tcPr>
          <w:p w14:paraId="3CA2D6B8" w14:textId="77777777" w:rsidR="008D1C9F" w:rsidRDefault="0098439B">
            <w:pPr>
              <w:spacing w:after="0" w:line="240" w:lineRule="auto"/>
            </w:pPr>
            <w:hyperlink r:id="rId7">
              <w:r>
                <w:t>Country Name</w:t>
              </w:r>
            </w:hyperlink>
          </w:p>
        </w:tc>
        <w:tc>
          <w:tcPr>
            <w:tcW w:w="1305" w:type="dxa"/>
            <w:tcBorders>
              <w:top w:val="single" w:sz="4" w:space="0" w:color="000000"/>
              <w:left w:val="single" w:sz="4" w:space="0" w:color="000000"/>
              <w:bottom w:val="single" w:sz="4" w:space="0" w:color="000000"/>
              <w:right w:val="single" w:sz="4" w:space="0" w:color="000000"/>
            </w:tcBorders>
            <w:vAlign w:val="center"/>
          </w:tcPr>
          <w:p w14:paraId="4E141E65" w14:textId="77777777" w:rsidR="008D1C9F" w:rsidRDefault="0098439B">
            <w:pPr>
              <w:spacing w:after="0" w:line="240" w:lineRule="auto"/>
            </w:pPr>
            <w:hyperlink r:id="rId8">
              <w:r>
                <w:t>% of Port</w:t>
              </w:r>
            </w:hyperlink>
          </w:p>
        </w:tc>
        <w:tc>
          <w:tcPr>
            <w:tcW w:w="1245" w:type="dxa"/>
            <w:tcBorders>
              <w:top w:val="single" w:sz="4" w:space="0" w:color="000000"/>
              <w:left w:val="single" w:sz="4" w:space="0" w:color="000000"/>
              <w:bottom w:val="single" w:sz="4" w:space="0" w:color="000000"/>
              <w:right w:val="single" w:sz="4" w:space="0" w:color="000000"/>
            </w:tcBorders>
            <w:vAlign w:val="center"/>
          </w:tcPr>
          <w:p w14:paraId="74DEE274" w14:textId="77777777" w:rsidR="008D1C9F" w:rsidRDefault="0098439B">
            <w:pPr>
              <w:spacing w:after="0" w:line="240" w:lineRule="auto"/>
            </w:pPr>
            <w:hyperlink r:id="rId9">
              <w:r>
                <w:t>Mkt Val</w:t>
              </w:r>
            </w:hyperlink>
          </w:p>
        </w:tc>
      </w:tr>
      <w:tr w:rsidR="008D1C9F" w14:paraId="49D9BEE4" w14:textId="77777777">
        <w:tc>
          <w:tcPr>
            <w:tcW w:w="360" w:type="dxa"/>
            <w:tcBorders>
              <w:top w:val="single" w:sz="4" w:space="0" w:color="000000"/>
              <w:left w:val="single" w:sz="4" w:space="0" w:color="000000"/>
              <w:bottom w:val="single" w:sz="4" w:space="0" w:color="000000"/>
              <w:right w:val="single" w:sz="4" w:space="0" w:color="000000"/>
            </w:tcBorders>
            <w:vAlign w:val="center"/>
          </w:tcPr>
          <w:p w14:paraId="634467D6" w14:textId="77777777" w:rsidR="008D1C9F" w:rsidRDefault="0098439B">
            <w:pPr>
              <w:spacing w:after="0" w:line="240" w:lineRule="auto"/>
            </w:pPr>
            <w:r>
              <w:t>1</w:t>
            </w:r>
          </w:p>
        </w:tc>
        <w:tc>
          <w:tcPr>
            <w:tcW w:w="1710" w:type="dxa"/>
            <w:tcBorders>
              <w:top w:val="single" w:sz="4" w:space="0" w:color="000000"/>
              <w:left w:val="single" w:sz="4" w:space="0" w:color="000000"/>
              <w:bottom w:val="single" w:sz="4" w:space="0" w:color="000000"/>
              <w:right w:val="single" w:sz="4" w:space="0" w:color="000000"/>
            </w:tcBorders>
            <w:vAlign w:val="center"/>
          </w:tcPr>
          <w:p w14:paraId="525077EC" w14:textId="77777777" w:rsidR="008D1C9F" w:rsidRDefault="0098439B">
            <w:pPr>
              <w:spacing w:after="0" w:line="240" w:lineRule="auto"/>
            </w:pPr>
            <w:hyperlink r:id="rId10">
              <w:r>
                <w:t>United States</w:t>
              </w:r>
            </w:hyperlink>
          </w:p>
        </w:tc>
        <w:tc>
          <w:tcPr>
            <w:tcW w:w="1305" w:type="dxa"/>
            <w:tcBorders>
              <w:top w:val="single" w:sz="4" w:space="0" w:color="000000"/>
              <w:left w:val="single" w:sz="4" w:space="0" w:color="000000"/>
              <w:bottom w:val="single" w:sz="4" w:space="0" w:color="000000"/>
              <w:right w:val="single" w:sz="4" w:space="0" w:color="000000"/>
            </w:tcBorders>
            <w:vAlign w:val="center"/>
          </w:tcPr>
          <w:p w14:paraId="74158A3F" w14:textId="77777777" w:rsidR="008D1C9F" w:rsidRDefault="0098439B">
            <w:pPr>
              <w:spacing w:after="0" w:line="240" w:lineRule="auto"/>
            </w:pPr>
            <w:r>
              <w:t>85.56</w:t>
            </w:r>
          </w:p>
        </w:tc>
        <w:tc>
          <w:tcPr>
            <w:tcW w:w="1245" w:type="dxa"/>
            <w:tcBorders>
              <w:top w:val="single" w:sz="4" w:space="0" w:color="000000"/>
              <w:left w:val="single" w:sz="4" w:space="0" w:color="000000"/>
              <w:bottom w:val="single" w:sz="4" w:space="0" w:color="000000"/>
              <w:right w:val="single" w:sz="4" w:space="0" w:color="000000"/>
            </w:tcBorders>
            <w:vAlign w:val="center"/>
          </w:tcPr>
          <w:p w14:paraId="79659A34" w14:textId="77777777" w:rsidR="008D1C9F" w:rsidRDefault="0098439B">
            <w:pPr>
              <w:spacing w:after="0" w:line="240" w:lineRule="auto"/>
            </w:pPr>
            <w:r>
              <w:t>428,478,804</w:t>
            </w:r>
          </w:p>
        </w:tc>
      </w:tr>
      <w:tr w:rsidR="008D1C9F" w14:paraId="1157A139" w14:textId="77777777">
        <w:tc>
          <w:tcPr>
            <w:tcW w:w="360" w:type="dxa"/>
            <w:tcBorders>
              <w:top w:val="single" w:sz="4" w:space="0" w:color="000000"/>
              <w:left w:val="single" w:sz="4" w:space="0" w:color="000000"/>
              <w:bottom w:val="single" w:sz="4" w:space="0" w:color="000000"/>
              <w:right w:val="single" w:sz="4" w:space="0" w:color="000000"/>
            </w:tcBorders>
            <w:vAlign w:val="center"/>
          </w:tcPr>
          <w:p w14:paraId="417D105D" w14:textId="77777777" w:rsidR="008D1C9F" w:rsidRDefault="0098439B">
            <w:pPr>
              <w:spacing w:after="0" w:line="240" w:lineRule="auto"/>
            </w:pPr>
            <w:r>
              <w:t>2</w:t>
            </w:r>
          </w:p>
        </w:tc>
        <w:tc>
          <w:tcPr>
            <w:tcW w:w="1710" w:type="dxa"/>
            <w:tcBorders>
              <w:top w:val="single" w:sz="4" w:space="0" w:color="000000"/>
              <w:left w:val="single" w:sz="4" w:space="0" w:color="000000"/>
              <w:bottom w:val="single" w:sz="4" w:space="0" w:color="000000"/>
              <w:right w:val="single" w:sz="4" w:space="0" w:color="000000"/>
            </w:tcBorders>
            <w:vAlign w:val="center"/>
          </w:tcPr>
          <w:p w14:paraId="75E989F6" w14:textId="77777777" w:rsidR="008D1C9F" w:rsidRDefault="0098439B">
            <w:pPr>
              <w:spacing w:after="0" w:line="240" w:lineRule="auto"/>
            </w:pPr>
            <w:hyperlink r:id="rId11">
              <w:r>
                <w:t>N/A</w:t>
              </w:r>
            </w:hyperlink>
          </w:p>
        </w:tc>
        <w:tc>
          <w:tcPr>
            <w:tcW w:w="1305" w:type="dxa"/>
            <w:tcBorders>
              <w:top w:val="single" w:sz="4" w:space="0" w:color="000000"/>
              <w:left w:val="single" w:sz="4" w:space="0" w:color="000000"/>
              <w:bottom w:val="single" w:sz="4" w:space="0" w:color="000000"/>
              <w:right w:val="single" w:sz="4" w:space="0" w:color="000000"/>
            </w:tcBorders>
            <w:vAlign w:val="center"/>
          </w:tcPr>
          <w:p w14:paraId="1B5E9BD4" w14:textId="77777777" w:rsidR="008D1C9F" w:rsidRDefault="0098439B">
            <w:pPr>
              <w:spacing w:after="0" w:line="240" w:lineRule="auto"/>
            </w:pPr>
            <w:r>
              <w:t>4.18</w:t>
            </w:r>
          </w:p>
        </w:tc>
        <w:tc>
          <w:tcPr>
            <w:tcW w:w="1245" w:type="dxa"/>
            <w:tcBorders>
              <w:top w:val="single" w:sz="4" w:space="0" w:color="000000"/>
              <w:left w:val="single" w:sz="4" w:space="0" w:color="000000"/>
              <w:bottom w:val="single" w:sz="4" w:space="0" w:color="000000"/>
              <w:right w:val="single" w:sz="4" w:space="0" w:color="000000"/>
            </w:tcBorders>
            <w:vAlign w:val="center"/>
          </w:tcPr>
          <w:p w14:paraId="178CD86E" w14:textId="77777777" w:rsidR="008D1C9F" w:rsidRDefault="0098439B">
            <w:pPr>
              <w:spacing w:after="0" w:line="240" w:lineRule="auto"/>
            </w:pPr>
            <w:r>
              <w:t>20,942,739</w:t>
            </w:r>
          </w:p>
        </w:tc>
      </w:tr>
      <w:tr w:rsidR="008D1C9F" w14:paraId="0F708676" w14:textId="77777777">
        <w:tc>
          <w:tcPr>
            <w:tcW w:w="360" w:type="dxa"/>
            <w:tcBorders>
              <w:top w:val="single" w:sz="4" w:space="0" w:color="000000"/>
              <w:left w:val="single" w:sz="4" w:space="0" w:color="000000"/>
              <w:bottom w:val="single" w:sz="4" w:space="0" w:color="000000"/>
              <w:right w:val="single" w:sz="4" w:space="0" w:color="000000"/>
            </w:tcBorders>
            <w:vAlign w:val="center"/>
          </w:tcPr>
          <w:p w14:paraId="69D0B017" w14:textId="77777777" w:rsidR="008D1C9F" w:rsidRDefault="0098439B">
            <w:pPr>
              <w:spacing w:after="0" w:line="240" w:lineRule="auto"/>
            </w:pPr>
            <w:r>
              <w:t>3</w:t>
            </w:r>
          </w:p>
        </w:tc>
        <w:tc>
          <w:tcPr>
            <w:tcW w:w="1710" w:type="dxa"/>
            <w:tcBorders>
              <w:top w:val="single" w:sz="4" w:space="0" w:color="000000"/>
              <w:left w:val="single" w:sz="4" w:space="0" w:color="000000"/>
              <w:bottom w:val="single" w:sz="4" w:space="0" w:color="000000"/>
              <w:right w:val="single" w:sz="4" w:space="0" w:color="000000"/>
            </w:tcBorders>
            <w:vAlign w:val="center"/>
          </w:tcPr>
          <w:p w14:paraId="06005EE4" w14:textId="77777777" w:rsidR="008D1C9F" w:rsidRDefault="0098439B">
            <w:pPr>
              <w:spacing w:after="0" w:line="240" w:lineRule="auto"/>
            </w:pPr>
            <w:hyperlink r:id="rId12">
              <w:r>
                <w:t>Ireland</w:t>
              </w:r>
            </w:hyperlink>
          </w:p>
        </w:tc>
        <w:tc>
          <w:tcPr>
            <w:tcW w:w="1305" w:type="dxa"/>
            <w:tcBorders>
              <w:top w:val="single" w:sz="4" w:space="0" w:color="000000"/>
              <w:left w:val="single" w:sz="4" w:space="0" w:color="000000"/>
              <w:bottom w:val="single" w:sz="4" w:space="0" w:color="000000"/>
              <w:right w:val="single" w:sz="4" w:space="0" w:color="000000"/>
            </w:tcBorders>
            <w:vAlign w:val="center"/>
          </w:tcPr>
          <w:p w14:paraId="5744FFF5" w14:textId="77777777" w:rsidR="008D1C9F" w:rsidRDefault="0098439B">
            <w:pPr>
              <w:spacing w:after="0" w:line="240" w:lineRule="auto"/>
            </w:pPr>
            <w:r>
              <w:t>2.03</w:t>
            </w:r>
          </w:p>
        </w:tc>
        <w:tc>
          <w:tcPr>
            <w:tcW w:w="1245" w:type="dxa"/>
            <w:tcBorders>
              <w:top w:val="single" w:sz="4" w:space="0" w:color="000000"/>
              <w:left w:val="single" w:sz="4" w:space="0" w:color="000000"/>
              <w:bottom w:val="single" w:sz="4" w:space="0" w:color="000000"/>
              <w:right w:val="single" w:sz="4" w:space="0" w:color="000000"/>
            </w:tcBorders>
            <w:vAlign w:val="center"/>
          </w:tcPr>
          <w:p w14:paraId="0D1C3D83" w14:textId="77777777" w:rsidR="008D1C9F" w:rsidRDefault="0098439B">
            <w:pPr>
              <w:spacing w:after="0" w:line="240" w:lineRule="auto"/>
            </w:pPr>
            <w:r>
              <w:t>10,158,538</w:t>
            </w:r>
          </w:p>
        </w:tc>
      </w:tr>
      <w:tr w:rsidR="008D1C9F" w14:paraId="60A6D627" w14:textId="77777777">
        <w:tc>
          <w:tcPr>
            <w:tcW w:w="360" w:type="dxa"/>
            <w:tcBorders>
              <w:top w:val="single" w:sz="4" w:space="0" w:color="000000"/>
              <w:left w:val="single" w:sz="4" w:space="0" w:color="000000"/>
              <w:bottom w:val="single" w:sz="4" w:space="0" w:color="000000"/>
              <w:right w:val="single" w:sz="4" w:space="0" w:color="000000"/>
            </w:tcBorders>
            <w:vAlign w:val="center"/>
          </w:tcPr>
          <w:p w14:paraId="6AE3155C" w14:textId="77777777" w:rsidR="008D1C9F" w:rsidRDefault="0098439B">
            <w:pPr>
              <w:spacing w:after="0" w:line="240" w:lineRule="auto"/>
            </w:pPr>
            <w:r>
              <w:t>4</w:t>
            </w:r>
          </w:p>
        </w:tc>
        <w:tc>
          <w:tcPr>
            <w:tcW w:w="1710" w:type="dxa"/>
            <w:tcBorders>
              <w:top w:val="single" w:sz="4" w:space="0" w:color="000000"/>
              <w:left w:val="single" w:sz="4" w:space="0" w:color="000000"/>
              <w:bottom w:val="single" w:sz="4" w:space="0" w:color="000000"/>
              <w:right w:val="single" w:sz="4" w:space="0" w:color="000000"/>
            </w:tcBorders>
            <w:vAlign w:val="center"/>
          </w:tcPr>
          <w:p w14:paraId="24B768FA" w14:textId="77777777" w:rsidR="008D1C9F" w:rsidRDefault="0098439B">
            <w:pPr>
              <w:spacing w:after="0" w:line="240" w:lineRule="auto"/>
            </w:pPr>
            <w:hyperlink r:id="rId13">
              <w:r>
                <w:t>China</w:t>
              </w:r>
            </w:hyperlink>
          </w:p>
        </w:tc>
        <w:tc>
          <w:tcPr>
            <w:tcW w:w="1305" w:type="dxa"/>
            <w:tcBorders>
              <w:top w:val="single" w:sz="4" w:space="0" w:color="000000"/>
              <w:left w:val="single" w:sz="4" w:space="0" w:color="000000"/>
              <w:bottom w:val="single" w:sz="4" w:space="0" w:color="000000"/>
              <w:right w:val="single" w:sz="4" w:space="0" w:color="000000"/>
            </w:tcBorders>
            <w:vAlign w:val="center"/>
          </w:tcPr>
          <w:p w14:paraId="2B4310B8" w14:textId="77777777" w:rsidR="008D1C9F" w:rsidRDefault="0098439B">
            <w:pPr>
              <w:spacing w:after="0" w:line="240" w:lineRule="auto"/>
            </w:pPr>
            <w:r>
              <w:t>1.44</w:t>
            </w:r>
          </w:p>
        </w:tc>
        <w:tc>
          <w:tcPr>
            <w:tcW w:w="1245" w:type="dxa"/>
            <w:tcBorders>
              <w:top w:val="single" w:sz="4" w:space="0" w:color="000000"/>
              <w:left w:val="single" w:sz="4" w:space="0" w:color="000000"/>
              <w:bottom w:val="single" w:sz="4" w:space="0" w:color="000000"/>
              <w:right w:val="single" w:sz="4" w:space="0" w:color="000000"/>
            </w:tcBorders>
            <w:vAlign w:val="center"/>
          </w:tcPr>
          <w:p w14:paraId="46E52AC6" w14:textId="77777777" w:rsidR="008D1C9F" w:rsidRDefault="0098439B">
            <w:pPr>
              <w:spacing w:after="0" w:line="240" w:lineRule="auto"/>
            </w:pPr>
            <w:r>
              <w:t>7,216,024</w:t>
            </w:r>
          </w:p>
        </w:tc>
      </w:tr>
      <w:tr w:rsidR="008D1C9F" w14:paraId="5A590A2E" w14:textId="77777777">
        <w:tc>
          <w:tcPr>
            <w:tcW w:w="360" w:type="dxa"/>
            <w:tcBorders>
              <w:top w:val="single" w:sz="4" w:space="0" w:color="000000"/>
              <w:left w:val="single" w:sz="4" w:space="0" w:color="000000"/>
              <w:bottom w:val="single" w:sz="4" w:space="0" w:color="000000"/>
              <w:right w:val="single" w:sz="4" w:space="0" w:color="000000"/>
            </w:tcBorders>
            <w:vAlign w:val="center"/>
          </w:tcPr>
          <w:p w14:paraId="7B728968" w14:textId="77777777" w:rsidR="008D1C9F" w:rsidRDefault="0098439B">
            <w:pPr>
              <w:spacing w:after="0" w:line="240" w:lineRule="auto"/>
            </w:pPr>
            <w:r>
              <w:t>5</w:t>
            </w:r>
          </w:p>
        </w:tc>
        <w:tc>
          <w:tcPr>
            <w:tcW w:w="1710" w:type="dxa"/>
            <w:tcBorders>
              <w:top w:val="single" w:sz="4" w:space="0" w:color="000000"/>
              <w:left w:val="single" w:sz="4" w:space="0" w:color="000000"/>
              <w:bottom w:val="single" w:sz="4" w:space="0" w:color="000000"/>
              <w:right w:val="single" w:sz="4" w:space="0" w:color="000000"/>
            </w:tcBorders>
            <w:vAlign w:val="center"/>
          </w:tcPr>
          <w:p w14:paraId="740E428E" w14:textId="77777777" w:rsidR="008D1C9F" w:rsidRDefault="0098439B">
            <w:pPr>
              <w:spacing w:after="0" w:line="240" w:lineRule="auto"/>
            </w:pPr>
            <w:hyperlink r:id="rId14">
              <w:r>
                <w:t>Argentina</w:t>
              </w:r>
            </w:hyperlink>
          </w:p>
        </w:tc>
        <w:tc>
          <w:tcPr>
            <w:tcW w:w="1305" w:type="dxa"/>
            <w:tcBorders>
              <w:top w:val="single" w:sz="4" w:space="0" w:color="000000"/>
              <w:left w:val="single" w:sz="4" w:space="0" w:color="000000"/>
              <w:bottom w:val="single" w:sz="4" w:space="0" w:color="000000"/>
              <w:right w:val="single" w:sz="4" w:space="0" w:color="000000"/>
            </w:tcBorders>
            <w:vAlign w:val="center"/>
          </w:tcPr>
          <w:p w14:paraId="621C3174" w14:textId="77777777" w:rsidR="008D1C9F" w:rsidRDefault="0098439B">
            <w:pPr>
              <w:spacing w:after="0" w:line="240" w:lineRule="auto"/>
            </w:pPr>
            <w:r>
              <w:t>0.71</w:t>
            </w:r>
          </w:p>
        </w:tc>
        <w:tc>
          <w:tcPr>
            <w:tcW w:w="1245" w:type="dxa"/>
            <w:tcBorders>
              <w:top w:val="single" w:sz="4" w:space="0" w:color="000000"/>
              <w:left w:val="single" w:sz="4" w:space="0" w:color="000000"/>
              <w:bottom w:val="single" w:sz="4" w:space="0" w:color="000000"/>
              <w:right w:val="single" w:sz="4" w:space="0" w:color="000000"/>
            </w:tcBorders>
            <w:vAlign w:val="center"/>
          </w:tcPr>
          <w:p w14:paraId="6EA21052" w14:textId="77777777" w:rsidR="008D1C9F" w:rsidRDefault="0098439B">
            <w:pPr>
              <w:spacing w:after="0" w:line="240" w:lineRule="auto"/>
            </w:pPr>
            <w:r>
              <w:t>3,536,325</w:t>
            </w:r>
          </w:p>
        </w:tc>
      </w:tr>
      <w:tr w:rsidR="008D1C9F" w14:paraId="6D4A67E4" w14:textId="77777777">
        <w:tc>
          <w:tcPr>
            <w:tcW w:w="360" w:type="dxa"/>
            <w:tcBorders>
              <w:top w:val="single" w:sz="4" w:space="0" w:color="000000"/>
              <w:left w:val="single" w:sz="4" w:space="0" w:color="000000"/>
              <w:bottom w:val="single" w:sz="4" w:space="0" w:color="000000"/>
              <w:right w:val="single" w:sz="4" w:space="0" w:color="000000"/>
            </w:tcBorders>
            <w:vAlign w:val="center"/>
          </w:tcPr>
          <w:p w14:paraId="24E8723C" w14:textId="77777777" w:rsidR="008D1C9F" w:rsidRDefault="0098439B">
            <w:pPr>
              <w:spacing w:after="0" w:line="240" w:lineRule="auto"/>
            </w:pPr>
            <w:r>
              <w:t>6</w:t>
            </w:r>
          </w:p>
        </w:tc>
        <w:tc>
          <w:tcPr>
            <w:tcW w:w="1710" w:type="dxa"/>
            <w:tcBorders>
              <w:top w:val="single" w:sz="4" w:space="0" w:color="000000"/>
              <w:left w:val="single" w:sz="4" w:space="0" w:color="000000"/>
              <w:bottom w:val="single" w:sz="4" w:space="0" w:color="000000"/>
              <w:right w:val="single" w:sz="4" w:space="0" w:color="000000"/>
            </w:tcBorders>
            <w:vAlign w:val="center"/>
          </w:tcPr>
          <w:p w14:paraId="04733461" w14:textId="77777777" w:rsidR="008D1C9F" w:rsidRDefault="0098439B">
            <w:pPr>
              <w:spacing w:after="0" w:line="240" w:lineRule="auto"/>
            </w:pPr>
            <w:hyperlink r:id="rId15">
              <w:r>
                <w:t>Norway</w:t>
              </w:r>
            </w:hyperlink>
          </w:p>
        </w:tc>
        <w:tc>
          <w:tcPr>
            <w:tcW w:w="1305" w:type="dxa"/>
            <w:tcBorders>
              <w:top w:val="single" w:sz="4" w:space="0" w:color="000000"/>
              <w:left w:val="single" w:sz="4" w:space="0" w:color="000000"/>
              <w:bottom w:val="single" w:sz="4" w:space="0" w:color="000000"/>
              <w:right w:val="single" w:sz="4" w:space="0" w:color="000000"/>
            </w:tcBorders>
            <w:vAlign w:val="center"/>
          </w:tcPr>
          <w:p w14:paraId="52AD12C7" w14:textId="77777777" w:rsidR="008D1C9F" w:rsidRDefault="0098439B">
            <w:pPr>
              <w:spacing w:after="0" w:line="240" w:lineRule="auto"/>
            </w:pPr>
            <w:r>
              <w:t>0.67</w:t>
            </w:r>
          </w:p>
        </w:tc>
        <w:tc>
          <w:tcPr>
            <w:tcW w:w="1245" w:type="dxa"/>
            <w:tcBorders>
              <w:top w:val="single" w:sz="4" w:space="0" w:color="000000"/>
              <w:left w:val="single" w:sz="4" w:space="0" w:color="000000"/>
              <w:bottom w:val="single" w:sz="4" w:space="0" w:color="000000"/>
              <w:right w:val="single" w:sz="4" w:space="0" w:color="000000"/>
            </w:tcBorders>
            <w:vAlign w:val="center"/>
          </w:tcPr>
          <w:p w14:paraId="54B63635" w14:textId="77777777" w:rsidR="008D1C9F" w:rsidRDefault="0098439B">
            <w:pPr>
              <w:spacing w:after="0" w:line="240" w:lineRule="auto"/>
            </w:pPr>
            <w:r>
              <w:t>3,349,063</w:t>
            </w:r>
          </w:p>
        </w:tc>
      </w:tr>
      <w:tr w:rsidR="008D1C9F" w14:paraId="36F15220" w14:textId="77777777">
        <w:tc>
          <w:tcPr>
            <w:tcW w:w="360" w:type="dxa"/>
            <w:tcBorders>
              <w:top w:val="single" w:sz="4" w:space="0" w:color="000000"/>
              <w:left w:val="single" w:sz="4" w:space="0" w:color="000000"/>
              <w:bottom w:val="single" w:sz="4" w:space="0" w:color="000000"/>
              <w:right w:val="single" w:sz="4" w:space="0" w:color="000000"/>
            </w:tcBorders>
            <w:vAlign w:val="center"/>
          </w:tcPr>
          <w:p w14:paraId="5A809175" w14:textId="77777777" w:rsidR="008D1C9F" w:rsidRDefault="0098439B">
            <w:pPr>
              <w:spacing w:after="0" w:line="240" w:lineRule="auto"/>
            </w:pPr>
            <w:r>
              <w:t>7</w:t>
            </w:r>
          </w:p>
        </w:tc>
        <w:tc>
          <w:tcPr>
            <w:tcW w:w="1710" w:type="dxa"/>
            <w:tcBorders>
              <w:top w:val="single" w:sz="4" w:space="0" w:color="000000"/>
              <w:left w:val="single" w:sz="4" w:space="0" w:color="000000"/>
              <w:bottom w:val="single" w:sz="4" w:space="0" w:color="000000"/>
              <w:right w:val="single" w:sz="4" w:space="0" w:color="000000"/>
            </w:tcBorders>
            <w:vAlign w:val="center"/>
          </w:tcPr>
          <w:p w14:paraId="11592A9F" w14:textId="77777777" w:rsidR="008D1C9F" w:rsidRDefault="0098439B">
            <w:pPr>
              <w:spacing w:after="0" w:line="240" w:lineRule="auto"/>
            </w:pPr>
            <w:hyperlink r:id="rId16">
              <w:r>
                <w:t>United Kingdom</w:t>
              </w:r>
            </w:hyperlink>
          </w:p>
        </w:tc>
        <w:tc>
          <w:tcPr>
            <w:tcW w:w="1305" w:type="dxa"/>
            <w:tcBorders>
              <w:top w:val="single" w:sz="4" w:space="0" w:color="000000"/>
              <w:left w:val="single" w:sz="4" w:space="0" w:color="000000"/>
              <w:bottom w:val="single" w:sz="4" w:space="0" w:color="000000"/>
              <w:right w:val="single" w:sz="4" w:space="0" w:color="000000"/>
            </w:tcBorders>
            <w:vAlign w:val="center"/>
          </w:tcPr>
          <w:p w14:paraId="24C4C591" w14:textId="77777777" w:rsidR="008D1C9F" w:rsidRDefault="0098439B">
            <w:pPr>
              <w:spacing w:after="0" w:line="240" w:lineRule="auto"/>
            </w:pPr>
            <w:r>
              <w:t>0.47</w:t>
            </w:r>
          </w:p>
        </w:tc>
        <w:tc>
          <w:tcPr>
            <w:tcW w:w="1245" w:type="dxa"/>
            <w:tcBorders>
              <w:top w:val="single" w:sz="4" w:space="0" w:color="000000"/>
              <w:left w:val="single" w:sz="4" w:space="0" w:color="000000"/>
              <w:bottom w:val="single" w:sz="4" w:space="0" w:color="000000"/>
              <w:right w:val="single" w:sz="4" w:space="0" w:color="000000"/>
            </w:tcBorders>
            <w:vAlign w:val="center"/>
          </w:tcPr>
          <w:p w14:paraId="2BDC212C" w14:textId="77777777" w:rsidR="008D1C9F" w:rsidRDefault="0098439B">
            <w:pPr>
              <w:spacing w:after="0" w:line="240" w:lineRule="auto"/>
            </w:pPr>
            <w:r>
              <w:t>2,362,744</w:t>
            </w:r>
          </w:p>
        </w:tc>
      </w:tr>
      <w:tr w:rsidR="008D1C9F" w14:paraId="1DAE692E" w14:textId="77777777">
        <w:tc>
          <w:tcPr>
            <w:tcW w:w="360" w:type="dxa"/>
            <w:tcBorders>
              <w:top w:val="single" w:sz="4" w:space="0" w:color="000000"/>
              <w:left w:val="single" w:sz="4" w:space="0" w:color="000000"/>
              <w:bottom w:val="single" w:sz="4" w:space="0" w:color="000000"/>
              <w:right w:val="single" w:sz="4" w:space="0" w:color="000000"/>
            </w:tcBorders>
            <w:vAlign w:val="center"/>
          </w:tcPr>
          <w:p w14:paraId="62E877DB" w14:textId="77777777" w:rsidR="008D1C9F" w:rsidRDefault="0098439B">
            <w:pPr>
              <w:spacing w:after="0" w:line="240" w:lineRule="auto"/>
            </w:pPr>
            <w:r>
              <w:t>8</w:t>
            </w:r>
          </w:p>
        </w:tc>
        <w:tc>
          <w:tcPr>
            <w:tcW w:w="1710" w:type="dxa"/>
            <w:tcBorders>
              <w:top w:val="single" w:sz="4" w:space="0" w:color="000000"/>
              <w:left w:val="single" w:sz="4" w:space="0" w:color="000000"/>
              <w:bottom w:val="single" w:sz="4" w:space="0" w:color="000000"/>
              <w:right w:val="single" w:sz="4" w:space="0" w:color="000000"/>
            </w:tcBorders>
            <w:vAlign w:val="center"/>
          </w:tcPr>
          <w:p w14:paraId="0B4AEB6C" w14:textId="77777777" w:rsidR="008D1C9F" w:rsidRDefault="0098439B">
            <w:pPr>
              <w:spacing w:after="0" w:line="240" w:lineRule="auto"/>
            </w:pPr>
            <w:hyperlink r:id="rId17">
              <w:r>
                <w:t>France</w:t>
              </w:r>
            </w:hyperlink>
          </w:p>
        </w:tc>
        <w:tc>
          <w:tcPr>
            <w:tcW w:w="1305" w:type="dxa"/>
            <w:tcBorders>
              <w:top w:val="single" w:sz="4" w:space="0" w:color="000000"/>
              <w:left w:val="single" w:sz="4" w:space="0" w:color="000000"/>
              <w:bottom w:val="single" w:sz="4" w:space="0" w:color="000000"/>
              <w:right w:val="single" w:sz="4" w:space="0" w:color="000000"/>
            </w:tcBorders>
            <w:vAlign w:val="center"/>
          </w:tcPr>
          <w:p w14:paraId="54364010" w14:textId="77777777" w:rsidR="008D1C9F" w:rsidRDefault="0098439B">
            <w:pPr>
              <w:spacing w:after="0" w:line="240" w:lineRule="auto"/>
            </w:pPr>
            <w:r>
              <w:t>0.38</w:t>
            </w:r>
          </w:p>
        </w:tc>
        <w:tc>
          <w:tcPr>
            <w:tcW w:w="1245" w:type="dxa"/>
            <w:tcBorders>
              <w:top w:val="single" w:sz="4" w:space="0" w:color="000000"/>
              <w:left w:val="single" w:sz="4" w:space="0" w:color="000000"/>
              <w:bottom w:val="single" w:sz="4" w:space="0" w:color="000000"/>
              <w:right w:val="single" w:sz="4" w:space="0" w:color="000000"/>
            </w:tcBorders>
            <w:vAlign w:val="center"/>
          </w:tcPr>
          <w:p w14:paraId="404477A2" w14:textId="77777777" w:rsidR="008D1C9F" w:rsidRDefault="0098439B">
            <w:pPr>
              <w:spacing w:after="0" w:line="240" w:lineRule="auto"/>
            </w:pPr>
            <w:r>
              <w:t>1,903,953</w:t>
            </w:r>
          </w:p>
        </w:tc>
      </w:tr>
    </w:tbl>
    <w:p w14:paraId="4705CFB2" w14:textId="77777777" w:rsidR="008D1C9F" w:rsidRDefault="008D1C9F"/>
    <w:p w14:paraId="44FDAC2A" w14:textId="77777777" w:rsidR="008D1C9F" w:rsidRDefault="0098439B">
      <w:r>
        <w:t>This fund is primarily located within the United States with 86% of assets.  It does have a small stake invested in Europe and Asia for approximately a total of 5%.</w:t>
      </w:r>
    </w:p>
    <w:p w14:paraId="52C2B28E" w14:textId="77777777" w:rsidR="008D1C9F" w:rsidRDefault="0098439B">
      <w:r>
        <w:rPr>
          <w:b/>
        </w:rPr>
        <w:t>Question 5:</w:t>
      </w:r>
    </w:p>
    <w:p w14:paraId="1248CFA0" w14:textId="77777777" w:rsidR="008D1C9F" w:rsidRDefault="0098439B">
      <w:r>
        <w:t>Morningstar rating: 3 stars</w:t>
      </w:r>
    </w:p>
    <w:p w14:paraId="0E51DF08" w14:textId="77777777" w:rsidR="008D1C9F" w:rsidRDefault="0098439B">
      <w:r>
        <w:rPr>
          <w:b/>
        </w:rPr>
        <w:t>Question 6:</w:t>
      </w:r>
    </w:p>
    <w:p w14:paraId="75E5E854" w14:textId="77777777" w:rsidR="008D1C9F" w:rsidRDefault="0098439B">
      <w:r>
        <w:t xml:space="preserve">The best benchmark is the </w:t>
      </w:r>
      <w:proofErr w:type="spellStart"/>
      <w:r>
        <w:t>iShares</w:t>
      </w:r>
      <w:proofErr w:type="spellEnd"/>
      <w:r>
        <w:t xml:space="preserve"> S&amp;P 4</w:t>
      </w:r>
      <w:r>
        <w:t>00 Midcap Growth Fund</w:t>
      </w:r>
    </w:p>
    <w:tbl>
      <w:tblPr>
        <w:tblStyle w:val="a2"/>
        <w:tblW w:w="8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660"/>
        <w:gridCol w:w="3380"/>
      </w:tblGrid>
      <w:tr w:rsidR="008D1C9F" w14:paraId="0798F7AE" w14:textId="77777777">
        <w:trPr>
          <w:cnfStyle w:val="000000100000" w:firstRow="0" w:lastRow="0" w:firstColumn="0" w:lastColumn="0" w:oddVBand="0" w:evenVBand="0" w:oddHBand="1" w:evenHBand="0" w:firstRowFirstColumn="0" w:firstRowLastColumn="0" w:lastRowFirstColumn="0" w:lastRowLastColumn="0"/>
        </w:trPr>
        <w:tc>
          <w:tcPr>
            <w:tcW w:w="4660" w:type="dxa"/>
            <w:tcMar>
              <w:left w:w="120" w:type="dxa"/>
              <w:right w:w="120" w:type="dxa"/>
            </w:tcMar>
          </w:tcPr>
          <w:p w14:paraId="100EE816" w14:textId="77777777" w:rsidR="008D1C9F" w:rsidRDefault="0098439B">
            <w:pPr>
              <w:spacing w:after="0" w:line="240" w:lineRule="auto"/>
              <w:contextualSpacing w:val="0"/>
            </w:pPr>
            <w:r>
              <w:t>Benchmark</w:t>
            </w:r>
          </w:p>
        </w:tc>
        <w:tc>
          <w:tcPr>
            <w:tcW w:w="3380" w:type="dxa"/>
            <w:tcMar>
              <w:left w:w="120" w:type="dxa"/>
              <w:right w:w="120" w:type="dxa"/>
            </w:tcMar>
          </w:tcPr>
          <w:p w14:paraId="26EA5A5A" w14:textId="77777777" w:rsidR="008D1C9F" w:rsidRDefault="0098439B">
            <w:pPr>
              <w:spacing w:after="0" w:line="240" w:lineRule="auto"/>
              <w:contextualSpacing w:val="0"/>
            </w:pPr>
            <w:r>
              <w:t>Active Risk</w:t>
            </w:r>
          </w:p>
        </w:tc>
      </w:tr>
      <w:tr w:rsidR="008D1C9F" w14:paraId="19ADF0A8" w14:textId="77777777">
        <w:trPr>
          <w:cnfStyle w:val="000000010000" w:firstRow="0" w:lastRow="0" w:firstColumn="0" w:lastColumn="0" w:oddVBand="0" w:evenVBand="0" w:oddHBand="0" w:evenHBand="1" w:firstRowFirstColumn="0" w:firstRowLastColumn="0" w:lastRowFirstColumn="0" w:lastRowLastColumn="0"/>
        </w:trPr>
        <w:tc>
          <w:tcPr>
            <w:tcW w:w="4660" w:type="dxa"/>
            <w:tcMar>
              <w:left w:w="120" w:type="dxa"/>
              <w:right w:w="120" w:type="dxa"/>
            </w:tcMar>
          </w:tcPr>
          <w:p w14:paraId="12627E8B" w14:textId="77777777" w:rsidR="008D1C9F" w:rsidRDefault="0098439B">
            <w:pPr>
              <w:spacing w:after="0" w:line="240" w:lineRule="auto"/>
              <w:contextualSpacing w:val="0"/>
            </w:pPr>
            <w:proofErr w:type="spellStart"/>
            <w:r>
              <w:t>Smallcap</w:t>
            </w:r>
            <w:proofErr w:type="spellEnd"/>
            <w:r>
              <w:t xml:space="preserve"> 600</w:t>
            </w:r>
          </w:p>
        </w:tc>
        <w:tc>
          <w:tcPr>
            <w:tcW w:w="3380" w:type="dxa"/>
            <w:tcMar>
              <w:left w:w="120" w:type="dxa"/>
              <w:right w:w="120" w:type="dxa"/>
            </w:tcMar>
          </w:tcPr>
          <w:p w14:paraId="679D540A" w14:textId="77777777" w:rsidR="008D1C9F" w:rsidRDefault="0098439B">
            <w:pPr>
              <w:spacing w:after="0" w:line="240" w:lineRule="auto"/>
              <w:contextualSpacing w:val="0"/>
            </w:pPr>
            <w:r>
              <w:t>6.63</w:t>
            </w:r>
          </w:p>
        </w:tc>
      </w:tr>
      <w:tr w:rsidR="008D1C9F" w14:paraId="2EA44ADF" w14:textId="77777777">
        <w:trPr>
          <w:cnfStyle w:val="000000100000" w:firstRow="0" w:lastRow="0" w:firstColumn="0" w:lastColumn="0" w:oddVBand="0" w:evenVBand="0" w:oddHBand="1" w:evenHBand="0" w:firstRowFirstColumn="0" w:firstRowLastColumn="0" w:lastRowFirstColumn="0" w:lastRowLastColumn="0"/>
        </w:trPr>
        <w:tc>
          <w:tcPr>
            <w:tcW w:w="4660" w:type="dxa"/>
            <w:tcMar>
              <w:left w:w="120" w:type="dxa"/>
              <w:right w:w="120" w:type="dxa"/>
            </w:tcMar>
          </w:tcPr>
          <w:p w14:paraId="40F61B86" w14:textId="77777777" w:rsidR="008D1C9F" w:rsidRDefault="0098439B">
            <w:pPr>
              <w:spacing w:after="0" w:line="240" w:lineRule="auto"/>
              <w:contextualSpacing w:val="0"/>
            </w:pPr>
            <w:r>
              <w:t>Russell 1000</w:t>
            </w:r>
          </w:p>
        </w:tc>
        <w:tc>
          <w:tcPr>
            <w:tcW w:w="3380" w:type="dxa"/>
            <w:tcMar>
              <w:left w:w="120" w:type="dxa"/>
              <w:right w:w="120" w:type="dxa"/>
            </w:tcMar>
          </w:tcPr>
          <w:p w14:paraId="3C8AA9E3" w14:textId="77777777" w:rsidR="008D1C9F" w:rsidRDefault="0098439B">
            <w:pPr>
              <w:spacing w:after="0" w:line="240" w:lineRule="auto"/>
              <w:contextualSpacing w:val="0"/>
            </w:pPr>
            <w:r>
              <w:t>6.16</w:t>
            </w:r>
          </w:p>
        </w:tc>
      </w:tr>
      <w:tr w:rsidR="008D1C9F" w14:paraId="025D20C2" w14:textId="77777777">
        <w:trPr>
          <w:cnfStyle w:val="000000010000" w:firstRow="0" w:lastRow="0" w:firstColumn="0" w:lastColumn="0" w:oddVBand="0" w:evenVBand="0" w:oddHBand="0" w:evenHBand="1" w:firstRowFirstColumn="0" w:firstRowLastColumn="0" w:lastRowFirstColumn="0" w:lastRowLastColumn="0"/>
          <w:trHeight w:val="240"/>
        </w:trPr>
        <w:tc>
          <w:tcPr>
            <w:tcW w:w="4660" w:type="dxa"/>
            <w:tcMar>
              <w:left w:w="120" w:type="dxa"/>
              <w:right w:w="120" w:type="dxa"/>
            </w:tcMar>
          </w:tcPr>
          <w:p w14:paraId="6FD92BF1" w14:textId="77777777" w:rsidR="008D1C9F" w:rsidRDefault="0098439B">
            <w:pPr>
              <w:spacing w:after="0" w:line="240" w:lineRule="auto"/>
              <w:contextualSpacing w:val="0"/>
            </w:pPr>
            <w:r>
              <w:t>Russell 2000</w:t>
            </w:r>
          </w:p>
        </w:tc>
        <w:tc>
          <w:tcPr>
            <w:tcW w:w="3380" w:type="dxa"/>
            <w:tcMar>
              <w:left w:w="120" w:type="dxa"/>
              <w:right w:w="120" w:type="dxa"/>
            </w:tcMar>
          </w:tcPr>
          <w:p w14:paraId="7977C212" w14:textId="77777777" w:rsidR="008D1C9F" w:rsidRDefault="0098439B">
            <w:pPr>
              <w:spacing w:after="0" w:line="240" w:lineRule="auto"/>
              <w:contextualSpacing w:val="0"/>
            </w:pPr>
            <w:r>
              <w:t>6.50</w:t>
            </w:r>
          </w:p>
        </w:tc>
      </w:tr>
      <w:tr w:rsidR="008D1C9F" w14:paraId="5421EBC3" w14:textId="77777777">
        <w:trPr>
          <w:cnfStyle w:val="000000100000" w:firstRow="0" w:lastRow="0" w:firstColumn="0" w:lastColumn="0" w:oddVBand="0" w:evenVBand="0" w:oddHBand="1" w:evenHBand="0" w:firstRowFirstColumn="0" w:firstRowLastColumn="0" w:lastRowFirstColumn="0" w:lastRowLastColumn="0"/>
        </w:trPr>
        <w:tc>
          <w:tcPr>
            <w:tcW w:w="4660" w:type="dxa"/>
            <w:tcMar>
              <w:left w:w="120" w:type="dxa"/>
              <w:right w:w="120" w:type="dxa"/>
            </w:tcMar>
          </w:tcPr>
          <w:p w14:paraId="49BE5B76" w14:textId="77777777" w:rsidR="008D1C9F" w:rsidRDefault="0098439B">
            <w:pPr>
              <w:spacing w:after="0" w:line="240" w:lineRule="auto"/>
              <w:contextualSpacing w:val="0"/>
            </w:pPr>
            <w:r>
              <w:t>Midcap 400</w:t>
            </w:r>
          </w:p>
        </w:tc>
        <w:tc>
          <w:tcPr>
            <w:tcW w:w="3380" w:type="dxa"/>
            <w:tcMar>
              <w:left w:w="120" w:type="dxa"/>
              <w:right w:w="120" w:type="dxa"/>
            </w:tcMar>
          </w:tcPr>
          <w:p w14:paraId="26C7A56C" w14:textId="77777777" w:rsidR="008D1C9F" w:rsidRDefault="0098439B">
            <w:pPr>
              <w:spacing w:after="0" w:line="240" w:lineRule="auto"/>
              <w:contextualSpacing w:val="0"/>
            </w:pPr>
            <w:r>
              <w:t>5.99</w:t>
            </w:r>
          </w:p>
        </w:tc>
      </w:tr>
      <w:tr w:rsidR="008D1C9F" w14:paraId="11EF1F3F" w14:textId="77777777">
        <w:trPr>
          <w:cnfStyle w:val="000000010000" w:firstRow="0" w:lastRow="0" w:firstColumn="0" w:lastColumn="0" w:oddVBand="0" w:evenVBand="0" w:oddHBand="0" w:evenHBand="1" w:firstRowFirstColumn="0" w:firstRowLastColumn="0" w:lastRowFirstColumn="0" w:lastRowLastColumn="0"/>
        </w:trPr>
        <w:tc>
          <w:tcPr>
            <w:tcW w:w="4660" w:type="dxa"/>
            <w:tcMar>
              <w:left w:w="120" w:type="dxa"/>
              <w:right w:w="120" w:type="dxa"/>
            </w:tcMar>
          </w:tcPr>
          <w:p w14:paraId="345E7547" w14:textId="77777777" w:rsidR="008D1C9F" w:rsidRDefault="0098439B">
            <w:pPr>
              <w:spacing w:after="0" w:line="240" w:lineRule="auto"/>
              <w:contextualSpacing w:val="0"/>
            </w:pPr>
            <w:proofErr w:type="spellStart"/>
            <w:r>
              <w:t>Largecap</w:t>
            </w:r>
            <w:proofErr w:type="spellEnd"/>
            <w:r>
              <w:t xml:space="preserve"> 500</w:t>
            </w:r>
          </w:p>
        </w:tc>
        <w:tc>
          <w:tcPr>
            <w:tcW w:w="3380" w:type="dxa"/>
            <w:tcMar>
              <w:left w:w="120" w:type="dxa"/>
              <w:right w:w="120" w:type="dxa"/>
            </w:tcMar>
          </w:tcPr>
          <w:p w14:paraId="26C5EBAD" w14:textId="77777777" w:rsidR="008D1C9F" w:rsidRDefault="0098439B">
            <w:pPr>
              <w:spacing w:after="0" w:line="240" w:lineRule="auto"/>
              <w:contextualSpacing w:val="0"/>
            </w:pPr>
            <w:r>
              <w:t>6.49</w:t>
            </w:r>
          </w:p>
        </w:tc>
      </w:tr>
      <w:tr w:rsidR="008D1C9F" w14:paraId="39B7869A" w14:textId="77777777">
        <w:trPr>
          <w:cnfStyle w:val="000000100000" w:firstRow="0" w:lastRow="0" w:firstColumn="0" w:lastColumn="0" w:oddVBand="0" w:evenVBand="0" w:oddHBand="1" w:evenHBand="0" w:firstRowFirstColumn="0" w:firstRowLastColumn="0" w:lastRowFirstColumn="0" w:lastRowLastColumn="0"/>
          <w:trHeight w:val="120"/>
        </w:trPr>
        <w:tc>
          <w:tcPr>
            <w:tcW w:w="4660" w:type="dxa"/>
            <w:tcMar>
              <w:left w:w="120" w:type="dxa"/>
              <w:right w:w="120" w:type="dxa"/>
            </w:tcMar>
          </w:tcPr>
          <w:p w14:paraId="1D8E6DBC" w14:textId="77777777" w:rsidR="008D1C9F" w:rsidRDefault="0098439B">
            <w:pPr>
              <w:spacing w:after="0" w:line="240" w:lineRule="auto"/>
              <w:contextualSpacing w:val="0"/>
            </w:pPr>
            <w:r>
              <w:t>S&amp;P 1500</w:t>
            </w:r>
          </w:p>
        </w:tc>
        <w:tc>
          <w:tcPr>
            <w:tcW w:w="3380" w:type="dxa"/>
            <w:tcMar>
              <w:left w:w="120" w:type="dxa"/>
              <w:right w:w="120" w:type="dxa"/>
            </w:tcMar>
          </w:tcPr>
          <w:p w14:paraId="7C148176" w14:textId="77777777" w:rsidR="008D1C9F" w:rsidRDefault="0098439B">
            <w:pPr>
              <w:spacing w:after="0" w:line="240" w:lineRule="auto"/>
              <w:contextualSpacing w:val="0"/>
            </w:pPr>
            <w:r>
              <w:t>5.92</w:t>
            </w:r>
          </w:p>
        </w:tc>
      </w:tr>
      <w:tr w:rsidR="008D1C9F" w14:paraId="12D0FCEF" w14:textId="77777777">
        <w:trPr>
          <w:cnfStyle w:val="000000010000" w:firstRow="0" w:lastRow="0" w:firstColumn="0" w:lastColumn="0" w:oddVBand="0" w:evenVBand="0" w:oddHBand="0" w:evenHBand="1" w:firstRowFirstColumn="0" w:firstRowLastColumn="0" w:lastRowFirstColumn="0" w:lastRowLastColumn="0"/>
        </w:trPr>
        <w:tc>
          <w:tcPr>
            <w:tcW w:w="4660" w:type="dxa"/>
            <w:tcMar>
              <w:left w:w="120" w:type="dxa"/>
              <w:right w:w="120" w:type="dxa"/>
            </w:tcMar>
          </w:tcPr>
          <w:p w14:paraId="50B389CD" w14:textId="77777777" w:rsidR="008D1C9F" w:rsidRDefault="0098439B">
            <w:pPr>
              <w:spacing w:after="0" w:line="240" w:lineRule="auto"/>
              <w:contextualSpacing w:val="0"/>
            </w:pPr>
            <w:proofErr w:type="spellStart"/>
            <w:r>
              <w:t>iShares</w:t>
            </w:r>
            <w:proofErr w:type="spellEnd"/>
            <w:r>
              <w:t xml:space="preserve"> S&amp;P Midcap 400 Growth</w:t>
            </w:r>
          </w:p>
        </w:tc>
        <w:tc>
          <w:tcPr>
            <w:tcW w:w="3380" w:type="dxa"/>
            <w:tcMar>
              <w:left w:w="120" w:type="dxa"/>
              <w:right w:w="120" w:type="dxa"/>
            </w:tcMar>
          </w:tcPr>
          <w:p w14:paraId="12BA5EBC" w14:textId="77777777" w:rsidR="008D1C9F" w:rsidRDefault="0098439B">
            <w:pPr>
              <w:spacing w:after="0" w:line="240" w:lineRule="auto"/>
              <w:contextualSpacing w:val="0"/>
            </w:pPr>
            <w:r>
              <w:t>5.34</w:t>
            </w:r>
          </w:p>
        </w:tc>
      </w:tr>
    </w:tbl>
    <w:p w14:paraId="76841DDC" w14:textId="77777777" w:rsidR="008D1C9F" w:rsidRDefault="0098439B">
      <w:r>
        <w:rPr>
          <w:b/>
        </w:rPr>
        <w:lastRenderedPageBreak/>
        <w:t>Question 7:</w:t>
      </w:r>
    </w:p>
    <w:p w14:paraId="457A743D" w14:textId="77777777" w:rsidR="008D1C9F" w:rsidRDefault="0098439B">
      <w:r>
        <w:t>S&amp;P 400 Midcap Growth</w:t>
      </w:r>
    </w:p>
    <w:tbl>
      <w:tblPr>
        <w:tblStyle w:val="a3"/>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20" w:firstRow="1" w:lastRow="0" w:firstColumn="0" w:lastColumn="0" w:noHBand="0" w:noVBand="1"/>
      </w:tblPr>
      <w:tblGrid>
        <w:gridCol w:w="1335"/>
        <w:gridCol w:w="1140"/>
        <w:gridCol w:w="1200"/>
        <w:gridCol w:w="1200"/>
        <w:gridCol w:w="1155"/>
        <w:gridCol w:w="1140"/>
      </w:tblGrid>
      <w:tr w:rsidR="008D1C9F" w14:paraId="17623690" w14:textId="77777777">
        <w:trPr>
          <w:cnfStyle w:val="100000000000" w:firstRow="1" w:lastRow="0" w:firstColumn="0" w:lastColumn="0" w:oddVBand="0" w:evenVBand="0" w:oddHBand="0" w:evenHBand="0" w:firstRowFirstColumn="0" w:firstRowLastColumn="0" w:lastRowFirstColumn="0" w:lastRowLastColumn="0"/>
          <w:trHeight w:val="360"/>
        </w:trPr>
        <w:tc>
          <w:tcPr>
            <w:tcW w:w="1335" w:type="dxa"/>
            <w:tcMar>
              <w:top w:w="80" w:type="dxa"/>
              <w:left w:w="140" w:type="dxa"/>
              <w:bottom w:w="80" w:type="dxa"/>
              <w:right w:w="140" w:type="dxa"/>
            </w:tcMar>
          </w:tcPr>
          <w:p w14:paraId="05CA109F" w14:textId="77777777" w:rsidR="008D1C9F" w:rsidRDefault="008D1C9F">
            <w:pPr>
              <w:spacing w:after="0" w:line="240" w:lineRule="auto"/>
              <w:contextualSpacing w:val="0"/>
            </w:pPr>
          </w:p>
        </w:tc>
        <w:tc>
          <w:tcPr>
            <w:tcW w:w="1140" w:type="dxa"/>
            <w:tcMar>
              <w:top w:w="80" w:type="dxa"/>
              <w:left w:w="140" w:type="dxa"/>
              <w:bottom w:w="80" w:type="dxa"/>
              <w:right w:w="140" w:type="dxa"/>
            </w:tcMar>
          </w:tcPr>
          <w:p w14:paraId="33EC49AD" w14:textId="77777777" w:rsidR="008D1C9F" w:rsidRDefault="0098439B">
            <w:pPr>
              <w:spacing w:after="0" w:line="240" w:lineRule="auto"/>
              <w:contextualSpacing w:val="0"/>
            </w:pPr>
            <w:r>
              <w:t>YTD</w:t>
            </w:r>
          </w:p>
        </w:tc>
        <w:tc>
          <w:tcPr>
            <w:tcW w:w="1200" w:type="dxa"/>
            <w:tcMar>
              <w:top w:w="80" w:type="dxa"/>
              <w:left w:w="140" w:type="dxa"/>
              <w:bottom w:w="80" w:type="dxa"/>
              <w:right w:w="140" w:type="dxa"/>
            </w:tcMar>
          </w:tcPr>
          <w:p w14:paraId="0AD3483E" w14:textId="77777777" w:rsidR="008D1C9F" w:rsidRDefault="0098439B">
            <w:pPr>
              <w:spacing w:after="0" w:line="240" w:lineRule="auto"/>
              <w:contextualSpacing w:val="0"/>
            </w:pPr>
            <w:r>
              <w:t>1 Year</w:t>
            </w:r>
          </w:p>
        </w:tc>
        <w:tc>
          <w:tcPr>
            <w:tcW w:w="1200" w:type="dxa"/>
            <w:tcMar>
              <w:top w:w="80" w:type="dxa"/>
              <w:left w:w="140" w:type="dxa"/>
              <w:bottom w:w="80" w:type="dxa"/>
              <w:right w:w="140" w:type="dxa"/>
            </w:tcMar>
          </w:tcPr>
          <w:p w14:paraId="6687368E" w14:textId="77777777" w:rsidR="008D1C9F" w:rsidRDefault="0098439B">
            <w:pPr>
              <w:spacing w:after="0" w:line="240" w:lineRule="auto"/>
              <w:contextualSpacing w:val="0"/>
            </w:pPr>
            <w:r>
              <w:t>3 Year</w:t>
            </w:r>
          </w:p>
        </w:tc>
        <w:tc>
          <w:tcPr>
            <w:tcW w:w="1155" w:type="dxa"/>
            <w:tcMar>
              <w:top w:w="80" w:type="dxa"/>
              <w:left w:w="140" w:type="dxa"/>
              <w:bottom w:w="80" w:type="dxa"/>
              <w:right w:w="140" w:type="dxa"/>
            </w:tcMar>
          </w:tcPr>
          <w:p w14:paraId="6C44E317" w14:textId="77777777" w:rsidR="008D1C9F" w:rsidRDefault="0098439B">
            <w:pPr>
              <w:spacing w:after="0" w:line="240" w:lineRule="auto"/>
              <w:contextualSpacing w:val="0"/>
            </w:pPr>
            <w:r>
              <w:t>5 Year</w:t>
            </w:r>
          </w:p>
        </w:tc>
        <w:tc>
          <w:tcPr>
            <w:tcW w:w="1140" w:type="dxa"/>
            <w:tcMar>
              <w:top w:w="80" w:type="dxa"/>
              <w:left w:w="140" w:type="dxa"/>
              <w:bottom w:w="80" w:type="dxa"/>
              <w:right w:w="140" w:type="dxa"/>
            </w:tcMar>
          </w:tcPr>
          <w:p w14:paraId="29C8CCB6" w14:textId="77777777" w:rsidR="008D1C9F" w:rsidRDefault="0098439B">
            <w:pPr>
              <w:spacing w:after="0" w:line="240" w:lineRule="auto"/>
              <w:contextualSpacing w:val="0"/>
            </w:pPr>
            <w:r>
              <w:t>10 Year</w:t>
            </w:r>
          </w:p>
        </w:tc>
      </w:tr>
      <w:tr w:rsidR="008D1C9F" w14:paraId="3097110B" w14:textId="77777777">
        <w:trPr>
          <w:cnfStyle w:val="000000100000" w:firstRow="0" w:lastRow="0" w:firstColumn="0" w:lastColumn="0" w:oddVBand="0" w:evenVBand="0" w:oddHBand="1" w:evenHBand="0" w:firstRowFirstColumn="0" w:firstRowLastColumn="0" w:lastRowFirstColumn="0" w:lastRowLastColumn="0"/>
        </w:trPr>
        <w:tc>
          <w:tcPr>
            <w:tcW w:w="1335" w:type="dxa"/>
            <w:tcMar>
              <w:top w:w="80" w:type="dxa"/>
              <w:left w:w="140" w:type="dxa"/>
              <w:bottom w:w="80" w:type="dxa"/>
              <w:right w:w="140" w:type="dxa"/>
            </w:tcMar>
          </w:tcPr>
          <w:p w14:paraId="2DD400FD" w14:textId="77777777" w:rsidR="008D1C9F" w:rsidRDefault="0098439B">
            <w:pPr>
              <w:spacing w:after="0" w:line="240" w:lineRule="auto"/>
              <w:contextualSpacing w:val="0"/>
            </w:pPr>
            <w:r>
              <w:t>IJK</w:t>
            </w:r>
          </w:p>
        </w:tc>
        <w:tc>
          <w:tcPr>
            <w:tcW w:w="1140" w:type="dxa"/>
            <w:tcMar>
              <w:top w:w="80" w:type="dxa"/>
              <w:left w:w="140" w:type="dxa"/>
              <w:bottom w:w="80" w:type="dxa"/>
              <w:right w:w="140" w:type="dxa"/>
            </w:tcMar>
          </w:tcPr>
          <w:p w14:paraId="3936B91C" w14:textId="77777777" w:rsidR="008D1C9F" w:rsidRDefault="0098439B">
            <w:pPr>
              <w:spacing w:after="0" w:line="240" w:lineRule="auto"/>
              <w:contextualSpacing w:val="0"/>
            </w:pPr>
            <w:r>
              <w:t>0.28%</w:t>
            </w:r>
          </w:p>
        </w:tc>
        <w:tc>
          <w:tcPr>
            <w:tcW w:w="1200" w:type="dxa"/>
            <w:tcMar>
              <w:top w:w="80" w:type="dxa"/>
              <w:left w:w="140" w:type="dxa"/>
              <w:bottom w:w="80" w:type="dxa"/>
              <w:right w:w="140" w:type="dxa"/>
            </w:tcMar>
          </w:tcPr>
          <w:p w14:paraId="036840CA" w14:textId="77777777" w:rsidR="008D1C9F" w:rsidRDefault="0098439B">
            <w:pPr>
              <w:spacing w:after="0" w:line="240" w:lineRule="auto"/>
              <w:contextualSpacing w:val="0"/>
            </w:pPr>
            <w:r>
              <w:t>-6.08%</w:t>
            </w:r>
          </w:p>
        </w:tc>
        <w:tc>
          <w:tcPr>
            <w:tcW w:w="1200" w:type="dxa"/>
            <w:tcMar>
              <w:top w:w="80" w:type="dxa"/>
              <w:left w:w="140" w:type="dxa"/>
              <w:bottom w:w="80" w:type="dxa"/>
              <w:right w:w="140" w:type="dxa"/>
            </w:tcMar>
          </w:tcPr>
          <w:p w14:paraId="518A4226" w14:textId="77777777" w:rsidR="008D1C9F" w:rsidRDefault="0098439B">
            <w:pPr>
              <w:spacing w:after="0" w:line="240" w:lineRule="auto"/>
              <w:contextualSpacing w:val="0"/>
            </w:pPr>
            <w:r>
              <w:t>8.77</w:t>
            </w:r>
          </w:p>
        </w:tc>
        <w:tc>
          <w:tcPr>
            <w:tcW w:w="1155" w:type="dxa"/>
            <w:tcMar>
              <w:top w:w="80" w:type="dxa"/>
              <w:left w:w="140" w:type="dxa"/>
              <w:bottom w:w="80" w:type="dxa"/>
              <w:right w:w="140" w:type="dxa"/>
            </w:tcMar>
          </w:tcPr>
          <w:p w14:paraId="4018918F" w14:textId="77777777" w:rsidR="008D1C9F" w:rsidRDefault="0098439B">
            <w:pPr>
              <w:spacing w:after="0" w:line="240" w:lineRule="auto"/>
              <w:contextualSpacing w:val="0"/>
            </w:pPr>
            <w:r>
              <w:t>8.08</w:t>
            </w:r>
          </w:p>
        </w:tc>
        <w:tc>
          <w:tcPr>
            <w:tcW w:w="1140" w:type="dxa"/>
            <w:tcMar>
              <w:top w:w="80" w:type="dxa"/>
              <w:left w:w="140" w:type="dxa"/>
              <w:bottom w:w="80" w:type="dxa"/>
              <w:right w:w="140" w:type="dxa"/>
            </w:tcMar>
          </w:tcPr>
          <w:p w14:paraId="0994E80E" w14:textId="77777777" w:rsidR="008D1C9F" w:rsidRDefault="0098439B">
            <w:pPr>
              <w:spacing w:after="0" w:line="240" w:lineRule="auto"/>
              <w:contextualSpacing w:val="0"/>
            </w:pPr>
            <w:r>
              <w:t>7.33%</w:t>
            </w:r>
          </w:p>
        </w:tc>
      </w:tr>
    </w:tbl>
    <w:p w14:paraId="2E759010" w14:textId="77777777" w:rsidR="008D1C9F" w:rsidRDefault="008D1C9F"/>
    <w:p w14:paraId="6F249113" w14:textId="77777777" w:rsidR="008D1C9F" w:rsidRDefault="0098439B">
      <w:r>
        <w:t>1 year: -6.08%</w:t>
      </w:r>
      <w:r>
        <w:br/>
        <w:t>3 year: 8.77%</w:t>
      </w:r>
      <w:r>
        <w:br/>
        <w:t>5 year: 7.33%</w:t>
      </w:r>
    </w:p>
    <w:p w14:paraId="68DE68E1" w14:textId="77777777" w:rsidR="008D1C9F" w:rsidRDefault="0098439B">
      <w:r>
        <w:rPr>
          <w:b/>
        </w:rPr>
        <w:t>Question 8:</w:t>
      </w:r>
    </w:p>
    <w:p w14:paraId="376A7DFE" w14:textId="77777777" w:rsidR="008D1C9F" w:rsidRDefault="0098439B">
      <w:r>
        <w:t>BGMAX</w:t>
      </w:r>
    </w:p>
    <w:p w14:paraId="0B705597" w14:textId="77777777" w:rsidR="008D1C9F" w:rsidRDefault="0098439B">
      <w:r>
        <w:rPr>
          <w:noProof/>
        </w:rPr>
        <w:drawing>
          <wp:inline distT="19050" distB="19050" distL="19050" distR="19050" wp14:anchorId="0433F27E" wp14:editId="57EA81CC">
            <wp:extent cx="4367213" cy="782187"/>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rcRect/>
                    <a:stretch>
                      <a:fillRect/>
                    </a:stretch>
                  </pic:blipFill>
                  <pic:spPr>
                    <a:xfrm>
                      <a:off x="0" y="0"/>
                      <a:ext cx="4367213" cy="782187"/>
                    </a:xfrm>
                    <a:prstGeom prst="rect">
                      <a:avLst/>
                    </a:prstGeom>
                    <a:ln/>
                  </pic:spPr>
                </pic:pic>
              </a:graphicData>
            </a:graphic>
          </wp:inline>
        </w:drawing>
      </w:r>
      <w:r>
        <w:br/>
        <w:t>1 year: -10.31%</w:t>
      </w:r>
      <w:r>
        <w:br/>
        <w:t>3 year: 12.85%</w:t>
      </w:r>
      <w:r>
        <w:br/>
        <w:t>5 year: 9.69%</w:t>
      </w:r>
    </w:p>
    <w:p w14:paraId="6F902CF0" w14:textId="77777777" w:rsidR="008D1C9F" w:rsidRDefault="0098439B">
      <w:r>
        <w:rPr>
          <w:b/>
        </w:rPr>
        <w:t>Question 9:</w:t>
      </w:r>
    </w:p>
    <w:p w14:paraId="0918DE0A" w14:textId="77777777" w:rsidR="008D1C9F" w:rsidRDefault="0098439B">
      <w:r>
        <w:t>The active risk with the benchmark is 5.34</w:t>
      </w:r>
    </w:p>
    <w:p w14:paraId="1A0ADA03" w14:textId="77777777" w:rsidR="008D1C9F" w:rsidRDefault="0098439B">
      <w:r>
        <w:rPr>
          <w:b/>
        </w:rPr>
        <w:t>Question 10:</w:t>
      </w:r>
    </w:p>
    <w:p w14:paraId="2D5A574B" w14:textId="77777777" w:rsidR="008D1C9F" w:rsidRDefault="0098439B">
      <w:r>
        <w:t>An active risk of 5.34 would classify it as a growth fund in this class.  This is exactly what the fund advertises themselves as, so the risks seem to be aligned with its goals.</w:t>
      </w:r>
    </w:p>
    <w:p w14:paraId="7DD3A68B" w14:textId="77777777" w:rsidR="008D1C9F" w:rsidRDefault="0098439B">
      <w:r>
        <w:rPr>
          <w:b/>
        </w:rPr>
        <w:t xml:space="preserve">Question 11: </w:t>
      </w:r>
    </w:p>
    <w:p w14:paraId="3BA91B95" w14:textId="77777777" w:rsidR="008D1C9F" w:rsidRDefault="0098439B">
      <w:r>
        <w:rPr>
          <w:noProof/>
        </w:rPr>
        <w:drawing>
          <wp:inline distT="19050" distB="19050" distL="19050" distR="19050" wp14:anchorId="5A825E84" wp14:editId="5670E2B1">
            <wp:extent cx="2606181" cy="1804988"/>
            <wp:effectExtent l="0" t="0" r="0" b="0"/>
            <wp:docPr id="7" name="image13.png" descr="Screen Clipping"/>
            <wp:cNvGraphicFramePr/>
            <a:graphic xmlns:a="http://schemas.openxmlformats.org/drawingml/2006/main">
              <a:graphicData uri="http://schemas.openxmlformats.org/drawingml/2006/picture">
                <pic:pic xmlns:pic="http://schemas.openxmlformats.org/drawingml/2006/picture">
                  <pic:nvPicPr>
                    <pic:cNvPr id="0" name="image13.png" descr="Screen Clipping"/>
                    <pic:cNvPicPr preferRelativeResize="0"/>
                  </pic:nvPicPr>
                  <pic:blipFill>
                    <a:blip r:embed="rId19"/>
                    <a:srcRect/>
                    <a:stretch>
                      <a:fillRect/>
                    </a:stretch>
                  </pic:blipFill>
                  <pic:spPr>
                    <a:xfrm>
                      <a:off x="0" y="0"/>
                      <a:ext cx="2606181" cy="1804988"/>
                    </a:xfrm>
                    <a:prstGeom prst="rect">
                      <a:avLst/>
                    </a:prstGeom>
                    <a:ln/>
                  </pic:spPr>
                </pic:pic>
              </a:graphicData>
            </a:graphic>
          </wp:inline>
        </w:drawing>
      </w:r>
    </w:p>
    <w:p w14:paraId="6193EAFC" w14:textId="77777777" w:rsidR="008D1C9F" w:rsidRDefault="0098439B">
      <w:r>
        <w:t>The common factor risk is 3.42%, which contributes 41.12% to t</w:t>
      </w:r>
      <w:r>
        <w:t>he total active risk of the fund.  Risk indices make a total contribution of 2.05% risk or 14.79% of the total active risk.</w:t>
      </w:r>
    </w:p>
    <w:p w14:paraId="02AAA6CF" w14:textId="77777777" w:rsidR="008D1C9F" w:rsidRDefault="0098439B">
      <w:r>
        <w:rPr>
          <w:b/>
        </w:rPr>
        <w:lastRenderedPageBreak/>
        <w:t xml:space="preserve">Question 12: </w:t>
      </w:r>
    </w:p>
    <w:p w14:paraId="67CDFDD5" w14:textId="77777777" w:rsidR="008D1C9F" w:rsidRDefault="0098439B">
      <w:r>
        <w:t xml:space="preserve">The fund is </w:t>
      </w:r>
      <w:proofErr w:type="spellStart"/>
      <w:r>
        <w:t>overweighted</w:t>
      </w:r>
      <w:proofErr w:type="spellEnd"/>
      <w:r>
        <w:t xml:space="preserve"> in Consumer Discretionary, Healthcare, and Information Technology.  The fund in significantly</w:t>
      </w:r>
      <w:r>
        <w:t xml:space="preserve"> under weighted in Financials and moderately underweighted in Utilities and Industrials.  The under and over weightings make since there are not a lot of growth Financial, Utility and Industrial growth stocks but there are a lot of Healthcare and Informati</w:t>
      </w:r>
      <w:r>
        <w:t xml:space="preserve">on Technology.  However, we believe that Consumer Discretionary is over weighted in relation to other high growth sectors (Healthcare and IT). </w:t>
      </w:r>
    </w:p>
    <w:p w14:paraId="648FBBC8" w14:textId="77777777" w:rsidR="008D1C9F" w:rsidRDefault="008D1C9F"/>
    <w:p w14:paraId="7923CB9C" w14:textId="77777777" w:rsidR="008D1C9F" w:rsidRDefault="0098439B">
      <w:r>
        <w:rPr>
          <w:noProof/>
        </w:rPr>
        <w:drawing>
          <wp:inline distT="0" distB="0" distL="0" distR="0" wp14:anchorId="43B579FD" wp14:editId="2415C903">
            <wp:extent cx="4872038" cy="2582180"/>
            <wp:effectExtent l="0" t="0" r="0" b="0"/>
            <wp:docPr id="3" name="image09.png" descr="Screen Clipping"/>
            <wp:cNvGraphicFramePr/>
            <a:graphic xmlns:a="http://schemas.openxmlformats.org/drawingml/2006/main">
              <a:graphicData uri="http://schemas.openxmlformats.org/drawingml/2006/picture">
                <pic:pic xmlns:pic="http://schemas.openxmlformats.org/drawingml/2006/picture">
                  <pic:nvPicPr>
                    <pic:cNvPr id="0" name="image09.png" descr="Screen Clipping"/>
                    <pic:cNvPicPr preferRelativeResize="0"/>
                  </pic:nvPicPr>
                  <pic:blipFill>
                    <a:blip r:embed="rId20"/>
                    <a:srcRect/>
                    <a:stretch>
                      <a:fillRect/>
                    </a:stretch>
                  </pic:blipFill>
                  <pic:spPr>
                    <a:xfrm>
                      <a:off x="0" y="0"/>
                      <a:ext cx="4872038" cy="2582180"/>
                    </a:xfrm>
                    <a:prstGeom prst="rect">
                      <a:avLst/>
                    </a:prstGeom>
                    <a:ln/>
                  </pic:spPr>
                </pic:pic>
              </a:graphicData>
            </a:graphic>
          </wp:inline>
        </w:drawing>
      </w:r>
    </w:p>
    <w:p w14:paraId="6D470559" w14:textId="77777777" w:rsidR="008D1C9F" w:rsidRDefault="0098439B">
      <w:r>
        <w:rPr>
          <w:b/>
        </w:rPr>
        <w:t>Question 13:</w:t>
      </w:r>
    </w:p>
    <w:p w14:paraId="58A513E7" w14:textId="77777777" w:rsidR="008D1C9F" w:rsidRDefault="0098439B">
      <w:bookmarkStart w:id="0" w:name="h.gjdgxs" w:colFirst="0" w:colLast="0"/>
      <w:bookmarkEnd w:id="0"/>
      <w:r>
        <w:t xml:space="preserve">The fund is significantly </w:t>
      </w:r>
      <w:proofErr w:type="spellStart"/>
      <w:r>
        <w:t>overweighted</w:t>
      </w:r>
      <w:proofErr w:type="spellEnd"/>
      <w:r>
        <w:t xml:space="preserve"> in momentum, and growth which is to be expected given tha</w:t>
      </w:r>
      <w:r>
        <w:t>t this is a Growth fund.  The fund is also over weighted in size which is a concern for us considering the fund claims to be a Midcap fund.  The fund in under weighted in Value, Yield, and earnings yield which again is to be expected given that this is a g</w:t>
      </w:r>
      <w:r>
        <w:t xml:space="preserve">rowth fund.  We also noticed that the fund is over exposed to highly levered firms, we would like to see this brought down. </w:t>
      </w:r>
    </w:p>
    <w:p w14:paraId="4FF96666" w14:textId="77777777" w:rsidR="008D1C9F" w:rsidRDefault="0098439B">
      <w:r>
        <w:rPr>
          <w:noProof/>
        </w:rPr>
        <w:drawing>
          <wp:inline distT="0" distB="0" distL="0" distR="0" wp14:anchorId="72CD335B" wp14:editId="45381DE6">
            <wp:extent cx="4471988" cy="2297802"/>
            <wp:effectExtent l="0" t="0" r="0" b="0"/>
            <wp:docPr id="5" name="image11.png" descr="Screen Clipping"/>
            <wp:cNvGraphicFramePr/>
            <a:graphic xmlns:a="http://schemas.openxmlformats.org/drawingml/2006/main">
              <a:graphicData uri="http://schemas.openxmlformats.org/drawingml/2006/picture">
                <pic:pic xmlns:pic="http://schemas.openxmlformats.org/drawingml/2006/picture">
                  <pic:nvPicPr>
                    <pic:cNvPr id="0" name="image11.png" descr="Screen Clipping"/>
                    <pic:cNvPicPr preferRelativeResize="0"/>
                  </pic:nvPicPr>
                  <pic:blipFill>
                    <a:blip r:embed="rId21"/>
                    <a:srcRect/>
                    <a:stretch>
                      <a:fillRect/>
                    </a:stretch>
                  </pic:blipFill>
                  <pic:spPr>
                    <a:xfrm>
                      <a:off x="0" y="0"/>
                      <a:ext cx="4471988" cy="2297802"/>
                    </a:xfrm>
                    <a:prstGeom prst="rect">
                      <a:avLst/>
                    </a:prstGeom>
                    <a:ln/>
                  </pic:spPr>
                </pic:pic>
              </a:graphicData>
            </a:graphic>
          </wp:inline>
        </w:drawing>
      </w:r>
    </w:p>
    <w:p w14:paraId="2DDA3CF5" w14:textId="77777777" w:rsidR="00B35BE5" w:rsidRDefault="00B35BE5">
      <w:pPr>
        <w:rPr>
          <w:b/>
        </w:rPr>
      </w:pPr>
    </w:p>
    <w:p w14:paraId="28615E0B" w14:textId="77777777" w:rsidR="008D1C9F" w:rsidRDefault="0098439B">
      <w:r>
        <w:rPr>
          <w:b/>
        </w:rPr>
        <w:lastRenderedPageBreak/>
        <w:t>Question 14:</w:t>
      </w:r>
    </w:p>
    <w:p w14:paraId="3A619A12" w14:textId="77777777" w:rsidR="008D1C9F" w:rsidRDefault="0098439B">
      <w:r>
        <w:t>Stocks the provide the most risk:</w:t>
      </w:r>
    </w:p>
    <w:p w14:paraId="4D6088B8" w14:textId="77777777" w:rsidR="008D1C9F" w:rsidRDefault="0098439B">
      <w:pPr>
        <w:numPr>
          <w:ilvl w:val="0"/>
          <w:numId w:val="11"/>
        </w:numPr>
        <w:ind w:hanging="360"/>
        <w:contextualSpacing/>
      </w:pPr>
      <w:r>
        <w:t>Netflix (NFLX)</w:t>
      </w:r>
    </w:p>
    <w:p w14:paraId="0B69CF11" w14:textId="77777777" w:rsidR="008D1C9F" w:rsidRDefault="0098439B">
      <w:pPr>
        <w:numPr>
          <w:ilvl w:val="0"/>
          <w:numId w:val="11"/>
        </w:numPr>
        <w:ind w:hanging="360"/>
        <w:contextualSpacing/>
      </w:pPr>
      <w:r>
        <w:t xml:space="preserve">58 Com </w:t>
      </w:r>
      <w:proofErr w:type="spellStart"/>
      <w:r>
        <w:t>Inc</w:t>
      </w:r>
      <w:proofErr w:type="spellEnd"/>
      <w:r>
        <w:t xml:space="preserve"> (WUBA)</w:t>
      </w:r>
    </w:p>
    <w:p w14:paraId="753978F1" w14:textId="77777777" w:rsidR="008D1C9F" w:rsidRDefault="0098439B">
      <w:pPr>
        <w:numPr>
          <w:ilvl w:val="0"/>
          <w:numId w:val="11"/>
        </w:numPr>
        <w:ind w:hanging="360"/>
        <w:contextualSpacing/>
      </w:pPr>
      <w:r>
        <w:t>Liberty Interactive Co (LVNTA)</w:t>
      </w:r>
    </w:p>
    <w:p w14:paraId="38E1B77A" w14:textId="77777777" w:rsidR="008D1C9F" w:rsidRDefault="0098439B">
      <w:pPr>
        <w:numPr>
          <w:ilvl w:val="0"/>
          <w:numId w:val="11"/>
        </w:numPr>
        <w:ind w:hanging="360"/>
        <w:contextualSpacing/>
      </w:pPr>
      <w:r>
        <w:t>Workday (WDAY)</w:t>
      </w:r>
    </w:p>
    <w:p w14:paraId="46489BF6" w14:textId="77777777" w:rsidR="008D1C9F" w:rsidRDefault="0098439B">
      <w:pPr>
        <w:numPr>
          <w:ilvl w:val="0"/>
          <w:numId w:val="11"/>
        </w:numPr>
        <w:ind w:hanging="360"/>
        <w:contextualSpacing/>
      </w:pPr>
      <w:r>
        <w:t xml:space="preserve">Liberty </w:t>
      </w:r>
      <w:proofErr w:type="spellStart"/>
      <w:r>
        <w:t>Tripadvisor</w:t>
      </w:r>
      <w:proofErr w:type="spellEnd"/>
      <w:r>
        <w:t xml:space="preserve"> HL</w:t>
      </w:r>
    </w:p>
    <w:p w14:paraId="6A9401A2" w14:textId="77777777" w:rsidR="008D1C9F" w:rsidRDefault="0098439B">
      <w:r>
        <w:rPr>
          <w:noProof/>
        </w:rPr>
        <w:drawing>
          <wp:inline distT="0" distB="0" distL="0" distR="0" wp14:anchorId="14DFD381" wp14:editId="69C1B242">
            <wp:extent cx="5943600" cy="177038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3600" cy="1770380"/>
                    </a:xfrm>
                    <a:prstGeom prst="rect">
                      <a:avLst/>
                    </a:prstGeom>
                    <a:ln/>
                  </pic:spPr>
                </pic:pic>
              </a:graphicData>
            </a:graphic>
          </wp:inline>
        </w:drawing>
      </w:r>
    </w:p>
    <w:p w14:paraId="4B0F98D0" w14:textId="77777777" w:rsidR="008D1C9F" w:rsidRDefault="0098439B">
      <w:r>
        <w:rPr>
          <w:b/>
        </w:rPr>
        <w:t>Question 15:</w:t>
      </w:r>
    </w:p>
    <w:p w14:paraId="30665228" w14:textId="77777777" w:rsidR="008D1C9F" w:rsidRDefault="0098439B">
      <w:r>
        <w:t>Stock that provide the most style risk:</w:t>
      </w:r>
    </w:p>
    <w:p w14:paraId="606AA644" w14:textId="77777777" w:rsidR="008D1C9F" w:rsidRDefault="0098439B">
      <w:pPr>
        <w:numPr>
          <w:ilvl w:val="0"/>
          <w:numId w:val="1"/>
        </w:numPr>
        <w:ind w:hanging="360"/>
        <w:contextualSpacing/>
      </w:pPr>
      <w:r>
        <w:t xml:space="preserve">58 Com </w:t>
      </w:r>
      <w:proofErr w:type="spellStart"/>
      <w:r>
        <w:t>Inc</w:t>
      </w:r>
      <w:proofErr w:type="spellEnd"/>
      <w:r>
        <w:t xml:space="preserve"> (WUBA)</w:t>
      </w:r>
    </w:p>
    <w:p w14:paraId="76796175" w14:textId="77777777" w:rsidR="008D1C9F" w:rsidRDefault="0098439B">
      <w:pPr>
        <w:numPr>
          <w:ilvl w:val="0"/>
          <w:numId w:val="1"/>
        </w:numPr>
        <w:ind w:hanging="360"/>
        <w:contextualSpacing/>
      </w:pPr>
      <w:r>
        <w:t>Netflix (NFLX)</w:t>
      </w:r>
    </w:p>
    <w:p w14:paraId="299CAEC8" w14:textId="77777777" w:rsidR="008D1C9F" w:rsidRDefault="0098439B">
      <w:pPr>
        <w:numPr>
          <w:ilvl w:val="0"/>
          <w:numId w:val="1"/>
        </w:numPr>
        <w:ind w:hanging="360"/>
        <w:contextualSpacing/>
      </w:pPr>
      <w:r>
        <w:t xml:space="preserve">Domino's Pizza </w:t>
      </w:r>
      <w:proofErr w:type="spellStart"/>
      <w:r>
        <w:t>Inc</w:t>
      </w:r>
      <w:proofErr w:type="spellEnd"/>
      <w:r>
        <w:t xml:space="preserve"> (DPZ)</w:t>
      </w:r>
    </w:p>
    <w:p w14:paraId="7AE9EA12" w14:textId="77777777" w:rsidR="008D1C9F" w:rsidRDefault="0098439B">
      <w:pPr>
        <w:numPr>
          <w:ilvl w:val="0"/>
          <w:numId w:val="1"/>
        </w:numPr>
        <w:ind w:hanging="360"/>
        <w:contextualSpacing/>
      </w:pPr>
      <w:proofErr w:type="spellStart"/>
      <w:r>
        <w:t>Dexcom</w:t>
      </w:r>
      <w:proofErr w:type="spellEnd"/>
      <w:r>
        <w:t xml:space="preserve"> </w:t>
      </w:r>
      <w:proofErr w:type="spellStart"/>
      <w:r>
        <w:t>Inc</w:t>
      </w:r>
      <w:proofErr w:type="spellEnd"/>
      <w:r>
        <w:t xml:space="preserve"> (DXCM)</w:t>
      </w:r>
    </w:p>
    <w:p w14:paraId="7AC5B650" w14:textId="77777777" w:rsidR="008D1C9F" w:rsidRDefault="0098439B">
      <w:pPr>
        <w:numPr>
          <w:ilvl w:val="0"/>
          <w:numId w:val="1"/>
        </w:numPr>
        <w:ind w:hanging="360"/>
        <w:contextualSpacing/>
      </w:pPr>
      <w:r>
        <w:t>Constellation Brands (STZ)</w:t>
      </w:r>
    </w:p>
    <w:p w14:paraId="0DF00BFC" w14:textId="77777777" w:rsidR="008D1C9F" w:rsidRDefault="0098439B">
      <w:r>
        <w:rPr>
          <w:noProof/>
        </w:rPr>
        <w:drawing>
          <wp:anchor distT="0" distB="0" distL="0" distR="0" simplePos="0" relativeHeight="251658240" behindDoc="0" locked="0" layoutInCell="0" hidden="0" allowOverlap="0" wp14:anchorId="46E0893C" wp14:editId="2EFD94EB">
            <wp:simplePos x="0" y="0"/>
            <wp:positionH relativeFrom="margin">
              <wp:posOffset>0</wp:posOffset>
            </wp:positionH>
            <wp:positionV relativeFrom="paragraph">
              <wp:posOffset>285750</wp:posOffset>
            </wp:positionV>
            <wp:extent cx="5943600" cy="1964690"/>
            <wp:effectExtent l="0" t="0" r="0" b="0"/>
            <wp:wrapSquare wrapText="bothSides" distT="0" distB="0" distL="0" distR="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3"/>
                    <a:srcRect/>
                    <a:stretch>
                      <a:fillRect/>
                    </a:stretch>
                  </pic:blipFill>
                  <pic:spPr>
                    <a:xfrm>
                      <a:off x="0" y="0"/>
                      <a:ext cx="5943600" cy="1964690"/>
                    </a:xfrm>
                    <a:prstGeom prst="rect">
                      <a:avLst/>
                    </a:prstGeom>
                    <a:ln/>
                  </pic:spPr>
                </pic:pic>
              </a:graphicData>
            </a:graphic>
          </wp:anchor>
        </w:drawing>
      </w:r>
    </w:p>
    <w:p w14:paraId="4D086BD5" w14:textId="77777777" w:rsidR="00B35BE5" w:rsidRDefault="00B35BE5">
      <w:pPr>
        <w:rPr>
          <w:b/>
        </w:rPr>
      </w:pPr>
    </w:p>
    <w:p w14:paraId="571DA770" w14:textId="77777777" w:rsidR="00B35BE5" w:rsidRDefault="00B35BE5">
      <w:pPr>
        <w:rPr>
          <w:b/>
        </w:rPr>
      </w:pPr>
    </w:p>
    <w:p w14:paraId="27AD6475" w14:textId="77777777" w:rsidR="00B35BE5" w:rsidRDefault="00B35BE5">
      <w:pPr>
        <w:rPr>
          <w:b/>
        </w:rPr>
      </w:pPr>
    </w:p>
    <w:p w14:paraId="41F39E24" w14:textId="77777777" w:rsidR="008D1C9F" w:rsidRDefault="0098439B">
      <w:bookmarkStart w:id="1" w:name="_GoBack"/>
      <w:bookmarkEnd w:id="1"/>
      <w:r>
        <w:rPr>
          <w:b/>
        </w:rPr>
        <w:lastRenderedPageBreak/>
        <w:t>Question 16:</w:t>
      </w:r>
    </w:p>
    <w:p w14:paraId="3A06A96A" w14:textId="77777777" w:rsidR="008D1C9F" w:rsidRDefault="0098439B">
      <w:r>
        <w:t>Stocks that provide the most Sector Risk</w:t>
      </w:r>
    </w:p>
    <w:p w14:paraId="2C9E1549" w14:textId="77777777" w:rsidR="008D1C9F" w:rsidRDefault="0098439B">
      <w:pPr>
        <w:numPr>
          <w:ilvl w:val="0"/>
          <w:numId w:val="9"/>
        </w:numPr>
        <w:ind w:hanging="360"/>
        <w:contextualSpacing/>
      </w:pPr>
      <w:proofErr w:type="spellStart"/>
      <w:r>
        <w:t>Mercadolibre</w:t>
      </w:r>
      <w:proofErr w:type="spellEnd"/>
      <w:r>
        <w:t xml:space="preserve"> </w:t>
      </w:r>
      <w:proofErr w:type="spellStart"/>
      <w:r>
        <w:t>Inc</w:t>
      </w:r>
      <w:proofErr w:type="spellEnd"/>
      <w:r>
        <w:t xml:space="preserve"> (M</w:t>
      </w:r>
      <w:r>
        <w:t>ELI)</w:t>
      </w:r>
    </w:p>
    <w:p w14:paraId="47A359D3" w14:textId="77777777" w:rsidR="008D1C9F" w:rsidRDefault="0098439B">
      <w:pPr>
        <w:numPr>
          <w:ilvl w:val="0"/>
          <w:numId w:val="9"/>
        </w:numPr>
        <w:ind w:hanging="360"/>
        <w:contextualSpacing/>
      </w:pPr>
      <w:r>
        <w:t>Netflix (NFLX)</w:t>
      </w:r>
    </w:p>
    <w:p w14:paraId="60B9D85B" w14:textId="77777777" w:rsidR="008D1C9F" w:rsidRDefault="0098439B">
      <w:pPr>
        <w:numPr>
          <w:ilvl w:val="0"/>
          <w:numId w:val="9"/>
        </w:numPr>
        <w:ind w:hanging="360"/>
        <w:contextualSpacing/>
      </w:pPr>
      <w:proofErr w:type="spellStart"/>
      <w:r>
        <w:t>Linkedin</w:t>
      </w:r>
      <w:proofErr w:type="spellEnd"/>
      <w:r>
        <w:t xml:space="preserve"> </w:t>
      </w:r>
      <w:proofErr w:type="spellStart"/>
      <w:r>
        <w:t>corp</w:t>
      </w:r>
      <w:proofErr w:type="spellEnd"/>
      <w:r>
        <w:t xml:space="preserve"> (LNKD)</w:t>
      </w:r>
    </w:p>
    <w:p w14:paraId="54ADF9B1" w14:textId="77777777" w:rsidR="008D1C9F" w:rsidRDefault="0098439B">
      <w:pPr>
        <w:numPr>
          <w:ilvl w:val="0"/>
          <w:numId w:val="9"/>
        </w:numPr>
        <w:ind w:hanging="360"/>
        <w:contextualSpacing/>
      </w:pPr>
      <w:r>
        <w:t>Liberty interactive Co (LVNTA)</w:t>
      </w:r>
    </w:p>
    <w:p w14:paraId="3150E4F3" w14:textId="77777777" w:rsidR="008D1C9F" w:rsidRDefault="0098439B">
      <w:pPr>
        <w:numPr>
          <w:ilvl w:val="0"/>
          <w:numId w:val="9"/>
        </w:numPr>
        <w:ind w:hanging="360"/>
        <w:contextualSpacing/>
      </w:pPr>
      <w:r>
        <w:t xml:space="preserve">Workday </w:t>
      </w:r>
      <w:proofErr w:type="spellStart"/>
      <w:r>
        <w:t>Inc</w:t>
      </w:r>
      <w:proofErr w:type="spellEnd"/>
      <w:r>
        <w:t xml:space="preserve"> (WDAY)</w:t>
      </w:r>
    </w:p>
    <w:p w14:paraId="076C1C77" w14:textId="77777777" w:rsidR="008D1C9F" w:rsidRDefault="0098439B">
      <w:r>
        <w:br/>
      </w:r>
      <w:r>
        <w:rPr>
          <w:noProof/>
        </w:rPr>
        <w:drawing>
          <wp:inline distT="0" distB="0" distL="0" distR="0" wp14:anchorId="5146D835" wp14:editId="25E1451E">
            <wp:extent cx="5091113" cy="167226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091113" cy="1672263"/>
                    </a:xfrm>
                    <a:prstGeom prst="rect">
                      <a:avLst/>
                    </a:prstGeom>
                    <a:ln/>
                  </pic:spPr>
                </pic:pic>
              </a:graphicData>
            </a:graphic>
          </wp:inline>
        </w:drawing>
      </w:r>
    </w:p>
    <w:p w14:paraId="598CC111" w14:textId="77777777" w:rsidR="008D1C9F" w:rsidRDefault="0098439B">
      <w:r>
        <w:rPr>
          <w:b/>
        </w:rPr>
        <w:t>Question 17: Sector Risk</w:t>
      </w:r>
    </w:p>
    <w:p w14:paraId="07D7A017" w14:textId="77777777" w:rsidR="008D1C9F" w:rsidRDefault="0098439B">
      <w:r>
        <w:t>Sell LNKD (LinkedIn Corporation) &amp; Buy HFWA (Heritage Financial Corporation)</w:t>
      </w:r>
    </w:p>
    <w:p w14:paraId="76254FF2" w14:textId="77777777" w:rsidR="008D1C9F" w:rsidRDefault="0098439B">
      <w:r>
        <w:t xml:space="preserve">To reduce sector </w:t>
      </w:r>
      <w:proofErr w:type="gramStart"/>
      <w:r>
        <w:t>risk</w:t>
      </w:r>
      <w:proofErr w:type="gramEnd"/>
      <w:r>
        <w:t xml:space="preserve"> we recommend the fund sell LNKD for the following reasons:</w:t>
      </w:r>
    </w:p>
    <w:p w14:paraId="1078DC98" w14:textId="77777777" w:rsidR="008D1C9F" w:rsidRDefault="0098439B">
      <w:pPr>
        <w:numPr>
          <w:ilvl w:val="0"/>
          <w:numId w:val="12"/>
        </w:numPr>
        <w:ind w:hanging="360"/>
        <w:contextualSpacing/>
      </w:pPr>
      <w:r>
        <w:t>Fund was already overexposed to Information Technology sector</w:t>
      </w:r>
    </w:p>
    <w:p w14:paraId="07B3796E" w14:textId="77777777" w:rsidR="008D1C9F" w:rsidRDefault="0098439B">
      <w:pPr>
        <w:numPr>
          <w:ilvl w:val="0"/>
          <w:numId w:val="12"/>
        </w:numPr>
        <w:ind w:hanging="360"/>
        <w:contextualSpacing/>
      </w:pPr>
      <w:r>
        <w:t xml:space="preserve">Stock scored very unattractive on the US Master Quant Screen with a score of 6.61 </w:t>
      </w:r>
    </w:p>
    <w:p w14:paraId="0B462C02" w14:textId="77777777" w:rsidR="008D1C9F" w:rsidRDefault="0098439B">
      <w:pPr>
        <w:numPr>
          <w:ilvl w:val="0"/>
          <w:numId w:val="12"/>
        </w:numPr>
        <w:ind w:hanging="360"/>
        <w:contextualSpacing/>
      </w:pPr>
      <w:r>
        <w:t>Had negative EPS with no EPS m</w:t>
      </w:r>
      <w:r>
        <w:t xml:space="preserve">omentum.   </w:t>
      </w:r>
    </w:p>
    <w:p w14:paraId="1E13014D" w14:textId="77777777" w:rsidR="008D1C9F" w:rsidRDefault="0098439B">
      <w:pPr>
        <w:numPr>
          <w:ilvl w:val="0"/>
          <w:numId w:val="12"/>
        </w:numPr>
        <w:ind w:hanging="360"/>
        <w:contextualSpacing/>
      </w:pPr>
      <w:r>
        <w:t>Quant target price of 102.89% (-5.1% change)</w:t>
      </w:r>
    </w:p>
    <w:p w14:paraId="5A259FC4" w14:textId="77777777" w:rsidR="008D1C9F" w:rsidRDefault="0098439B">
      <w:r>
        <w:t>We recommend the fund buy HFWA for the following reasons:</w:t>
      </w:r>
    </w:p>
    <w:p w14:paraId="706F1644" w14:textId="77777777" w:rsidR="008D1C9F" w:rsidRDefault="0098439B">
      <w:pPr>
        <w:numPr>
          <w:ilvl w:val="0"/>
          <w:numId w:val="6"/>
        </w:numPr>
        <w:ind w:hanging="360"/>
        <w:contextualSpacing/>
      </w:pPr>
      <w:r>
        <w:t>Fund already underexposed to Financial sector</w:t>
      </w:r>
    </w:p>
    <w:p w14:paraId="70B61667" w14:textId="77777777" w:rsidR="008D1C9F" w:rsidRDefault="0098439B">
      <w:pPr>
        <w:numPr>
          <w:ilvl w:val="0"/>
          <w:numId w:val="6"/>
        </w:numPr>
        <w:ind w:hanging="360"/>
        <w:contextualSpacing/>
      </w:pPr>
      <w:r>
        <w:t xml:space="preserve">Scores very well on US Master Quant Screen with score of 4.47  </w:t>
      </w:r>
    </w:p>
    <w:p w14:paraId="1486563F" w14:textId="77777777" w:rsidR="008D1C9F" w:rsidRDefault="0098439B">
      <w:pPr>
        <w:numPr>
          <w:ilvl w:val="0"/>
          <w:numId w:val="6"/>
        </w:numPr>
        <w:ind w:hanging="360"/>
        <w:contextualSpacing/>
      </w:pPr>
      <w:r>
        <w:t xml:space="preserve">82% Sales Growth </w:t>
      </w:r>
    </w:p>
    <w:p w14:paraId="00A766DD" w14:textId="77777777" w:rsidR="008D1C9F" w:rsidRDefault="0098439B">
      <w:pPr>
        <w:numPr>
          <w:ilvl w:val="0"/>
          <w:numId w:val="6"/>
        </w:numPr>
        <w:ind w:hanging="360"/>
        <w:contextualSpacing/>
      </w:pPr>
      <w:r>
        <w:t xml:space="preserve">EPS momentum </w:t>
      </w:r>
      <w:r>
        <w:t>of 6.0.</w:t>
      </w:r>
    </w:p>
    <w:p w14:paraId="3121D3B3" w14:textId="77777777" w:rsidR="008D1C9F" w:rsidRDefault="0098439B">
      <w:pPr>
        <w:numPr>
          <w:ilvl w:val="0"/>
          <w:numId w:val="6"/>
        </w:numPr>
        <w:ind w:hanging="360"/>
        <w:contextualSpacing/>
      </w:pPr>
      <w:r>
        <w:t>Bloomberg DDM Target price of 25.98 (52.5% upside)</w:t>
      </w:r>
    </w:p>
    <w:p w14:paraId="79C34255" w14:textId="77777777" w:rsidR="008D1C9F" w:rsidRDefault="0098439B">
      <w:pPr>
        <w:numPr>
          <w:ilvl w:val="0"/>
          <w:numId w:val="6"/>
        </w:numPr>
        <w:ind w:hanging="360"/>
        <w:contextualSpacing/>
      </w:pPr>
      <w:r>
        <w:t>Quant target price of 22.18 (30.24% upside)</w:t>
      </w:r>
      <w:r>
        <w:br/>
      </w:r>
    </w:p>
    <w:p w14:paraId="52D4A715" w14:textId="77777777" w:rsidR="008D1C9F" w:rsidRDefault="0098439B">
      <w:r>
        <w:rPr>
          <w:b/>
        </w:rPr>
        <w:t>Question 18: Style Risk</w:t>
      </w:r>
    </w:p>
    <w:p w14:paraId="431ABDF3" w14:textId="77777777" w:rsidR="008D1C9F" w:rsidRDefault="0098439B">
      <w:r>
        <w:t>Sell CHTR (Charter Communications) &amp; Buy AOS (A.O Smith Corporation)</w:t>
      </w:r>
    </w:p>
    <w:p w14:paraId="73F5EDA3" w14:textId="77777777" w:rsidR="008D1C9F" w:rsidRDefault="0098439B">
      <w:r>
        <w:t xml:space="preserve">To reduce style </w:t>
      </w:r>
      <w:proofErr w:type="gramStart"/>
      <w:r>
        <w:t>risk</w:t>
      </w:r>
      <w:proofErr w:type="gramEnd"/>
      <w:r>
        <w:t xml:space="preserve"> we recommend the fund sell CHTR for th</w:t>
      </w:r>
      <w:r>
        <w:t>e following reasons:</w:t>
      </w:r>
    </w:p>
    <w:p w14:paraId="3CAA88AA" w14:textId="77777777" w:rsidR="008D1C9F" w:rsidRDefault="0098439B">
      <w:pPr>
        <w:numPr>
          <w:ilvl w:val="0"/>
          <w:numId w:val="4"/>
        </w:numPr>
        <w:ind w:hanging="360"/>
        <w:contextualSpacing/>
      </w:pPr>
      <w:r>
        <w:t>It scored very poorly on the US Master Quant Screen (lowest 1%)</w:t>
      </w:r>
    </w:p>
    <w:p w14:paraId="7549C4BC" w14:textId="77777777" w:rsidR="008D1C9F" w:rsidRDefault="0098439B">
      <w:pPr>
        <w:numPr>
          <w:ilvl w:val="0"/>
          <w:numId w:val="4"/>
        </w:numPr>
        <w:ind w:hanging="360"/>
        <w:contextualSpacing/>
      </w:pPr>
      <w:r>
        <w:t>No insider buying in last 6 months</w:t>
      </w:r>
    </w:p>
    <w:p w14:paraId="2A0D5E7A" w14:textId="77777777" w:rsidR="008D1C9F" w:rsidRDefault="0098439B">
      <w:pPr>
        <w:numPr>
          <w:ilvl w:val="0"/>
          <w:numId w:val="4"/>
        </w:numPr>
        <w:ind w:hanging="360"/>
        <w:contextualSpacing/>
      </w:pPr>
      <w:r>
        <w:t>32% short interest as percentage of float</w:t>
      </w:r>
    </w:p>
    <w:p w14:paraId="5DEE43AA" w14:textId="77777777" w:rsidR="008D1C9F" w:rsidRDefault="0098439B">
      <w:pPr>
        <w:numPr>
          <w:ilvl w:val="0"/>
          <w:numId w:val="4"/>
        </w:numPr>
        <w:ind w:hanging="360"/>
        <w:contextualSpacing/>
      </w:pPr>
      <w:r>
        <w:lastRenderedPageBreak/>
        <w:t>Bloomberg DDM Target price of 27.31 (86.5% downside)</w:t>
      </w:r>
    </w:p>
    <w:p w14:paraId="18A6A654" w14:textId="77777777" w:rsidR="008D1C9F" w:rsidRDefault="0098439B">
      <w:pPr>
        <w:numPr>
          <w:ilvl w:val="0"/>
          <w:numId w:val="4"/>
        </w:numPr>
        <w:ind w:hanging="360"/>
        <w:contextualSpacing/>
      </w:pPr>
      <w:r>
        <w:t>Quant target price of 191.1 (5.6% downsid</w:t>
      </w:r>
      <w:r>
        <w:t>e)</w:t>
      </w:r>
    </w:p>
    <w:p w14:paraId="4C47A8A0" w14:textId="77777777" w:rsidR="008D1C9F" w:rsidRDefault="0098439B">
      <w:r>
        <w:t>We recommend the fund buy AOS for the following reasons:</w:t>
      </w:r>
    </w:p>
    <w:p w14:paraId="741CE03B" w14:textId="77777777" w:rsidR="008D1C9F" w:rsidRDefault="0098439B">
      <w:pPr>
        <w:numPr>
          <w:ilvl w:val="0"/>
          <w:numId w:val="3"/>
        </w:numPr>
        <w:ind w:hanging="360"/>
        <w:contextualSpacing/>
      </w:pPr>
      <w:r>
        <w:t>Fund is underweight industrial stocks</w:t>
      </w:r>
    </w:p>
    <w:p w14:paraId="12D33D09" w14:textId="77777777" w:rsidR="008D1C9F" w:rsidRDefault="0098439B">
      <w:pPr>
        <w:numPr>
          <w:ilvl w:val="0"/>
          <w:numId w:val="3"/>
        </w:numPr>
        <w:ind w:hanging="360"/>
        <w:contextualSpacing/>
      </w:pPr>
      <w:r>
        <w:t>Had higher revenue growth than industry average</w:t>
      </w:r>
    </w:p>
    <w:p w14:paraId="4CD930A6" w14:textId="77777777" w:rsidR="008D1C9F" w:rsidRDefault="0098439B">
      <w:pPr>
        <w:numPr>
          <w:ilvl w:val="0"/>
          <w:numId w:val="3"/>
        </w:numPr>
        <w:ind w:hanging="360"/>
        <w:contextualSpacing/>
      </w:pPr>
      <w:r>
        <w:t>Improved EPS by 25.4% in most recent quarter</w:t>
      </w:r>
    </w:p>
    <w:p w14:paraId="432C3ADA" w14:textId="77777777" w:rsidR="008D1C9F" w:rsidRDefault="0098439B">
      <w:pPr>
        <w:numPr>
          <w:ilvl w:val="0"/>
          <w:numId w:val="3"/>
        </w:numPr>
        <w:ind w:hanging="360"/>
        <w:contextualSpacing/>
      </w:pPr>
      <w:r>
        <w:t>Quant target price of 77.88 (1% upside)</w:t>
      </w:r>
    </w:p>
    <w:p w14:paraId="12DAA247" w14:textId="77777777" w:rsidR="008D1C9F" w:rsidRDefault="008D1C9F"/>
    <w:p w14:paraId="6890328A" w14:textId="77777777" w:rsidR="008D1C9F" w:rsidRDefault="0098439B">
      <w:r>
        <w:rPr>
          <w:b/>
        </w:rPr>
        <w:t>Question 19:</w:t>
      </w:r>
    </w:p>
    <w:p w14:paraId="7EEFD389" w14:textId="77777777" w:rsidR="008D1C9F" w:rsidRDefault="0098439B">
      <w:r>
        <w:t>Sell NFLX (Netflix) &amp; Buy TX (</w:t>
      </w:r>
      <w:proofErr w:type="spellStart"/>
      <w:r>
        <w:t>Ternium</w:t>
      </w:r>
      <w:proofErr w:type="spellEnd"/>
      <w:r>
        <w:t xml:space="preserve"> SA)</w:t>
      </w:r>
    </w:p>
    <w:p w14:paraId="51933531" w14:textId="77777777" w:rsidR="008D1C9F" w:rsidRDefault="0098439B">
      <w:r>
        <w:t>We recommend the fund sell NFLX for the following reasons:</w:t>
      </w:r>
    </w:p>
    <w:p w14:paraId="176C6D8C" w14:textId="77777777" w:rsidR="008D1C9F" w:rsidRDefault="0098439B">
      <w:pPr>
        <w:numPr>
          <w:ilvl w:val="0"/>
          <w:numId w:val="2"/>
        </w:numPr>
        <w:ind w:hanging="360"/>
        <w:contextualSpacing/>
      </w:pPr>
      <w:r>
        <w:t>Had the most overall risk and 2nd most style and sector risk</w:t>
      </w:r>
    </w:p>
    <w:p w14:paraId="35B3580C" w14:textId="77777777" w:rsidR="008D1C9F" w:rsidRDefault="0098439B">
      <w:pPr>
        <w:numPr>
          <w:ilvl w:val="0"/>
          <w:numId w:val="2"/>
        </w:numPr>
        <w:ind w:hanging="360"/>
        <w:contextualSpacing/>
      </w:pPr>
      <w:r>
        <w:t>Scored very poorly in US Master Quant Screen (bottom 1%)</w:t>
      </w:r>
    </w:p>
    <w:p w14:paraId="3C458313" w14:textId="77777777" w:rsidR="008D1C9F" w:rsidRDefault="0098439B">
      <w:pPr>
        <w:numPr>
          <w:ilvl w:val="0"/>
          <w:numId w:val="2"/>
        </w:numPr>
        <w:ind w:hanging="360"/>
        <w:contextualSpacing/>
      </w:pPr>
      <w:r>
        <w:t>No insider buying in past 6 months</w:t>
      </w:r>
    </w:p>
    <w:p w14:paraId="51C24B04" w14:textId="77777777" w:rsidR="008D1C9F" w:rsidRDefault="0098439B">
      <w:pPr>
        <w:numPr>
          <w:ilvl w:val="0"/>
          <w:numId w:val="2"/>
        </w:numPr>
        <w:ind w:hanging="360"/>
        <w:contextualSpacing/>
      </w:pPr>
      <w:r>
        <w:t>Bl</w:t>
      </w:r>
      <w:r>
        <w:t>oomberg DDM target price of 96.75 (6.8% downside)</w:t>
      </w:r>
    </w:p>
    <w:p w14:paraId="25C4AD80" w14:textId="77777777" w:rsidR="008D1C9F" w:rsidRDefault="0098439B">
      <w:pPr>
        <w:numPr>
          <w:ilvl w:val="0"/>
          <w:numId w:val="2"/>
        </w:numPr>
        <w:ind w:hanging="360"/>
        <w:contextualSpacing/>
      </w:pPr>
      <w:r>
        <w:t>Quant target price of 93.75 (9.7% downside)</w:t>
      </w:r>
    </w:p>
    <w:p w14:paraId="0540C133" w14:textId="77777777" w:rsidR="008D1C9F" w:rsidRDefault="0098439B">
      <w:r>
        <w:t>We recommend the fund buy TX for the following reasons:</w:t>
      </w:r>
    </w:p>
    <w:p w14:paraId="20406FC3" w14:textId="77777777" w:rsidR="008D1C9F" w:rsidRDefault="0098439B">
      <w:pPr>
        <w:numPr>
          <w:ilvl w:val="0"/>
          <w:numId w:val="5"/>
        </w:numPr>
        <w:ind w:hanging="360"/>
        <w:contextualSpacing/>
      </w:pPr>
      <w:r>
        <w:t>TX is one of the top 25 scoring stocks on the US Master</w:t>
      </w:r>
    </w:p>
    <w:p w14:paraId="630C4216" w14:textId="77777777" w:rsidR="008D1C9F" w:rsidRDefault="0098439B">
      <w:pPr>
        <w:numPr>
          <w:ilvl w:val="0"/>
          <w:numId w:val="5"/>
        </w:numPr>
        <w:ind w:hanging="360"/>
        <w:contextualSpacing/>
      </w:pPr>
      <w:r>
        <w:t>Long term growth rate of 36.9%</w:t>
      </w:r>
    </w:p>
    <w:p w14:paraId="6850334F" w14:textId="77777777" w:rsidR="008D1C9F" w:rsidRDefault="0098439B">
      <w:pPr>
        <w:numPr>
          <w:ilvl w:val="0"/>
          <w:numId w:val="5"/>
        </w:numPr>
        <w:ind w:hanging="360"/>
        <w:contextualSpacing/>
      </w:pPr>
      <w:r>
        <w:t>Bloomberg DDM targe</w:t>
      </w:r>
      <w:r>
        <w:t>t price of 198.13 (972.1% upside)</w:t>
      </w:r>
    </w:p>
    <w:p w14:paraId="67CD5E6D" w14:textId="77777777" w:rsidR="008D1C9F" w:rsidRDefault="0098439B">
      <w:pPr>
        <w:numPr>
          <w:ilvl w:val="0"/>
          <w:numId w:val="5"/>
        </w:numPr>
        <w:ind w:hanging="360"/>
        <w:contextualSpacing/>
      </w:pPr>
      <w:r>
        <w:t>Quant target price of 26.78 (44.9% upside)</w:t>
      </w:r>
    </w:p>
    <w:p w14:paraId="4CAC57AF" w14:textId="77777777" w:rsidR="008D1C9F" w:rsidRDefault="008D1C9F"/>
    <w:p w14:paraId="0AACB77C" w14:textId="77777777" w:rsidR="008D1C9F" w:rsidRDefault="0098439B">
      <w:r>
        <w:rPr>
          <w:b/>
        </w:rPr>
        <w:t>Question 20:</w:t>
      </w:r>
    </w:p>
    <w:p w14:paraId="1F07BA89" w14:textId="77777777" w:rsidR="008D1C9F" w:rsidRDefault="0098439B">
      <w:r>
        <w:t xml:space="preserve">Yes, Netflix is in his top 13 holdings for 10 of the 12 funds he manages. </w:t>
      </w:r>
    </w:p>
    <w:p w14:paraId="068BCCE0" w14:textId="77777777" w:rsidR="008D1C9F" w:rsidRDefault="0098439B">
      <w:pPr>
        <w:numPr>
          <w:ilvl w:val="0"/>
          <w:numId w:val="8"/>
        </w:numPr>
        <w:ind w:hanging="180"/>
        <w:contextualSpacing/>
      </w:pPr>
      <w:proofErr w:type="spellStart"/>
      <w:r>
        <w:t>BlackRock</w:t>
      </w:r>
      <w:proofErr w:type="spellEnd"/>
      <w:r>
        <w:t xml:space="preserve"> Midcap Growth Equity Portfolio #5</w:t>
      </w:r>
    </w:p>
    <w:p w14:paraId="3C3F5C35" w14:textId="77777777" w:rsidR="008D1C9F" w:rsidRDefault="0098439B">
      <w:pPr>
        <w:numPr>
          <w:ilvl w:val="0"/>
          <w:numId w:val="8"/>
        </w:numPr>
        <w:ind w:hanging="180"/>
        <w:contextualSpacing/>
      </w:pPr>
      <w:r>
        <w:t xml:space="preserve">Metropolitan Series - </w:t>
      </w:r>
      <w:proofErr w:type="spellStart"/>
      <w:r>
        <w:t>BlackRock</w:t>
      </w:r>
      <w:proofErr w:type="spellEnd"/>
      <w:r>
        <w:t xml:space="preserve"> Capital Apprec</w:t>
      </w:r>
      <w:r>
        <w:t>iation Portfolio #12</w:t>
      </w:r>
    </w:p>
    <w:p w14:paraId="65C124E2" w14:textId="77777777" w:rsidR="008D1C9F" w:rsidRDefault="0098439B">
      <w:pPr>
        <w:numPr>
          <w:ilvl w:val="0"/>
          <w:numId w:val="8"/>
        </w:numPr>
        <w:ind w:hanging="180"/>
        <w:contextualSpacing/>
      </w:pPr>
      <w:r>
        <w:t>JNL/</w:t>
      </w:r>
      <w:proofErr w:type="spellStart"/>
      <w:r>
        <w:t>BlackRock</w:t>
      </w:r>
      <w:proofErr w:type="spellEnd"/>
      <w:r>
        <w:t xml:space="preserve"> Large Cap Select Growth Fund #11</w:t>
      </w:r>
    </w:p>
    <w:p w14:paraId="3DB0E4D1" w14:textId="77777777" w:rsidR="008D1C9F" w:rsidRDefault="0098439B">
      <w:pPr>
        <w:numPr>
          <w:ilvl w:val="0"/>
          <w:numId w:val="8"/>
        </w:numPr>
        <w:ind w:hanging="180"/>
        <w:contextualSpacing/>
      </w:pPr>
      <w:proofErr w:type="spellStart"/>
      <w:r>
        <w:t>BlackRock</w:t>
      </w:r>
      <w:proofErr w:type="spellEnd"/>
      <w:r>
        <w:t xml:space="preserve"> Capital Appreciation Fund Inc. #10</w:t>
      </w:r>
    </w:p>
    <w:p w14:paraId="46470349" w14:textId="77777777" w:rsidR="008D1C9F" w:rsidRDefault="0098439B">
      <w:pPr>
        <w:numPr>
          <w:ilvl w:val="0"/>
          <w:numId w:val="8"/>
        </w:numPr>
        <w:ind w:hanging="180"/>
        <w:contextualSpacing/>
      </w:pPr>
      <w:proofErr w:type="spellStart"/>
      <w:r>
        <w:t>BlackRock</w:t>
      </w:r>
      <w:proofErr w:type="spellEnd"/>
      <w:r>
        <w:t xml:space="preserve"> Capital Appreciation V.I. Fund #10</w:t>
      </w:r>
    </w:p>
    <w:p w14:paraId="2D55EDCC" w14:textId="77777777" w:rsidR="008D1C9F" w:rsidRDefault="0098439B">
      <w:pPr>
        <w:numPr>
          <w:ilvl w:val="0"/>
          <w:numId w:val="8"/>
        </w:numPr>
        <w:ind w:hanging="180"/>
        <w:contextualSpacing/>
      </w:pPr>
      <w:r>
        <w:t>Pacific Select Fund - Large Cap Growth Portfolio #9</w:t>
      </w:r>
    </w:p>
    <w:p w14:paraId="549082A0" w14:textId="77777777" w:rsidR="008D1C9F" w:rsidRDefault="0098439B">
      <w:pPr>
        <w:numPr>
          <w:ilvl w:val="0"/>
          <w:numId w:val="8"/>
        </w:numPr>
        <w:ind w:hanging="180"/>
        <w:contextualSpacing/>
      </w:pPr>
      <w:proofErr w:type="spellStart"/>
      <w:r>
        <w:t>BlackRock</w:t>
      </w:r>
      <w:proofErr w:type="spellEnd"/>
      <w:r>
        <w:t xml:space="preserve"> Master Focus Growth LLC #13</w:t>
      </w:r>
    </w:p>
    <w:p w14:paraId="46F013F5" w14:textId="77777777" w:rsidR="008D1C9F" w:rsidRDefault="0098439B">
      <w:pPr>
        <w:numPr>
          <w:ilvl w:val="0"/>
          <w:numId w:val="8"/>
        </w:numPr>
        <w:ind w:hanging="180"/>
        <w:contextualSpacing/>
      </w:pPr>
      <w:r>
        <w:t>PF Large Cap Growth Fund #9</w:t>
      </w:r>
    </w:p>
    <w:p w14:paraId="033A840F" w14:textId="77777777" w:rsidR="008D1C9F" w:rsidRDefault="0098439B">
      <w:pPr>
        <w:numPr>
          <w:ilvl w:val="0"/>
          <w:numId w:val="8"/>
        </w:numPr>
        <w:ind w:hanging="180"/>
        <w:contextualSpacing/>
      </w:pPr>
      <w:r>
        <w:t xml:space="preserve">Allianz VIP Trust - AZL </w:t>
      </w:r>
      <w:proofErr w:type="spellStart"/>
      <w:r>
        <w:t>BlackRock</w:t>
      </w:r>
      <w:proofErr w:type="spellEnd"/>
      <w:r>
        <w:t xml:space="preserve"> Capital Appreciation Fund #11</w:t>
      </w:r>
    </w:p>
    <w:p w14:paraId="76E8F60F" w14:textId="77777777" w:rsidR="008D1C9F" w:rsidRDefault="0098439B">
      <w:pPr>
        <w:numPr>
          <w:ilvl w:val="0"/>
          <w:numId w:val="8"/>
        </w:numPr>
        <w:ind w:hanging="180"/>
        <w:contextualSpacing/>
      </w:pPr>
      <w:proofErr w:type="spellStart"/>
      <w:r>
        <w:t>Laudus</w:t>
      </w:r>
      <w:proofErr w:type="spellEnd"/>
      <w:r>
        <w:t xml:space="preserve"> US Large Cap Growth Fund #11</w:t>
      </w:r>
    </w:p>
    <w:p w14:paraId="623489A5" w14:textId="77777777" w:rsidR="008D1C9F" w:rsidRDefault="0098439B">
      <w:r>
        <w:rPr>
          <w:b/>
        </w:rPr>
        <w:t xml:space="preserve">Question 21: </w:t>
      </w:r>
    </w:p>
    <w:p w14:paraId="14917AF3" w14:textId="77777777" w:rsidR="008D1C9F" w:rsidRDefault="0098439B">
      <w:r>
        <w:t>The information ratio of the fund is -.62 which leads us question the future performance of the fund.</w:t>
      </w:r>
    </w:p>
    <w:p w14:paraId="2C26875B" w14:textId="77777777" w:rsidR="008D1C9F" w:rsidRDefault="008D1C9F"/>
    <w:p w14:paraId="5D23880C" w14:textId="77777777" w:rsidR="008D1C9F" w:rsidRDefault="0098439B">
      <w:r>
        <w:rPr>
          <w:b/>
        </w:rPr>
        <w:lastRenderedPageBreak/>
        <w:t>Question 22</w:t>
      </w:r>
      <w:r>
        <w:rPr>
          <w:b/>
        </w:rPr>
        <w:t xml:space="preserve">:  </w:t>
      </w:r>
    </w:p>
    <w:p w14:paraId="372713F8" w14:textId="77777777" w:rsidR="008D1C9F" w:rsidRDefault="0098439B">
      <w:r>
        <w:t xml:space="preserve">We would not recommend a salary increase or decrease for Lawrence Kemp for the following reasons:  </w:t>
      </w:r>
    </w:p>
    <w:p w14:paraId="7135E23D" w14:textId="77777777" w:rsidR="008D1C9F" w:rsidRDefault="0098439B">
      <w:pPr>
        <w:numPr>
          <w:ilvl w:val="0"/>
          <w:numId w:val="7"/>
        </w:numPr>
        <w:ind w:hanging="360"/>
        <w:contextualSpacing/>
      </w:pPr>
      <w:r>
        <w:t xml:space="preserve">The fund has </w:t>
      </w:r>
      <w:proofErr w:type="spellStart"/>
      <w:r>
        <w:t>overperformed</w:t>
      </w:r>
      <w:proofErr w:type="spellEnd"/>
      <w:r>
        <w:t xml:space="preserve"> the market over the last 5 years by 1.61% annualized </w:t>
      </w:r>
    </w:p>
    <w:p w14:paraId="3B353380" w14:textId="77777777" w:rsidR="008D1C9F" w:rsidRDefault="0098439B">
      <w:pPr>
        <w:numPr>
          <w:ilvl w:val="0"/>
          <w:numId w:val="7"/>
        </w:numPr>
        <w:ind w:hanging="360"/>
        <w:contextualSpacing/>
      </w:pPr>
      <w:r>
        <w:t xml:space="preserve">Underperformed by 4.23% over the last year which is concerning.  </w:t>
      </w:r>
    </w:p>
    <w:p w14:paraId="03057A5D" w14:textId="77777777" w:rsidR="008D1C9F" w:rsidRDefault="0098439B">
      <w:pPr>
        <w:numPr>
          <w:ilvl w:val="0"/>
          <w:numId w:val="7"/>
        </w:numPr>
        <w:ind w:hanging="360"/>
        <w:contextualSpacing/>
      </w:pPr>
      <w:r>
        <w:t>Infor</w:t>
      </w:r>
      <w:r>
        <w:t>mation ratio of -0.62 which causing worry about the future performance of the fund</w:t>
      </w:r>
    </w:p>
    <w:sectPr w:rsidR="008D1C9F">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48309" w14:textId="77777777" w:rsidR="0098439B" w:rsidRDefault="0098439B" w:rsidP="00B35BE5">
      <w:pPr>
        <w:spacing w:after="0" w:line="240" w:lineRule="auto"/>
      </w:pPr>
      <w:r>
        <w:separator/>
      </w:r>
    </w:p>
  </w:endnote>
  <w:endnote w:type="continuationSeparator" w:id="0">
    <w:p w14:paraId="70F91516" w14:textId="77777777" w:rsidR="0098439B" w:rsidRDefault="0098439B" w:rsidP="00B3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9BDB2" w14:textId="77777777" w:rsidR="0098439B" w:rsidRDefault="0098439B" w:rsidP="00B35BE5">
      <w:pPr>
        <w:spacing w:after="0" w:line="240" w:lineRule="auto"/>
      </w:pPr>
      <w:r>
        <w:separator/>
      </w:r>
    </w:p>
  </w:footnote>
  <w:footnote w:type="continuationSeparator" w:id="0">
    <w:p w14:paraId="702B2E27" w14:textId="77777777" w:rsidR="0098439B" w:rsidRDefault="0098439B" w:rsidP="00B35B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544EE" w14:textId="77777777" w:rsidR="00B35BE5" w:rsidRPr="002E7499" w:rsidRDefault="00B35BE5" w:rsidP="00B35BE5">
    <w:pPr>
      <w:pStyle w:val="Header"/>
      <w:rPr>
        <w:sz w:val="20"/>
      </w:rPr>
    </w:pPr>
    <w:r w:rsidRPr="002E7499">
      <w:rPr>
        <w:sz w:val="20"/>
      </w:rPr>
      <w:t>FIN 334 – Materials Group</w:t>
    </w:r>
  </w:p>
  <w:p w14:paraId="770223D7" w14:textId="77777777" w:rsidR="00B35BE5" w:rsidRPr="002E7499" w:rsidRDefault="00B35BE5" w:rsidP="00B35BE5">
    <w:pPr>
      <w:pStyle w:val="Header"/>
      <w:rPr>
        <w:sz w:val="20"/>
      </w:rPr>
    </w:pPr>
    <w:r w:rsidRPr="002E7499">
      <w:rPr>
        <w:sz w:val="20"/>
      </w:rPr>
      <w:t xml:space="preserve">Pit Kauffmann, Tor Martinsen, Jordan </w:t>
    </w:r>
    <w:proofErr w:type="spellStart"/>
    <w:r w:rsidRPr="002E7499">
      <w:rPr>
        <w:sz w:val="20"/>
      </w:rPr>
      <w:t>Mucci</w:t>
    </w:r>
    <w:proofErr w:type="spellEnd"/>
    <w:r w:rsidRPr="002E7499">
      <w:rPr>
        <w:sz w:val="20"/>
      </w:rPr>
      <w:t xml:space="preserve">, Adam </w:t>
    </w:r>
    <w:proofErr w:type="spellStart"/>
    <w:r w:rsidRPr="002E7499">
      <w:rPr>
        <w:sz w:val="20"/>
      </w:rPr>
      <w:t>Salow</w:t>
    </w:r>
    <w:proofErr w:type="spellEnd"/>
    <w:r w:rsidRPr="002E7499">
      <w:rPr>
        <w:sz w:val="20"/>
      </w:rPr>
      <w:t>, Steve Toner</w:t>
    </w:r>
  </w:p>
  <w:p w14:paraId="2825F6F4" w14:textId="77777777" w:rsidR="00B35BE5" w:rsidRDefault="00B35B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471"/>
    <w:multiLevelType w:val="multilevel"/>
    <w:tmpl w:val="EDA2E9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8F0E3B"/>
    <w:multiLevelType w:val="multilevel"/>
    <w:tmpl w:val="611853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94E338D"/>
    <w:multiLevelType w:val="multilevel"/>
    <w:tmpl w:val="AAE8F6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11B4578"/>
    <w:multiLevelType w:val="multilevel"/>
    <w:tmpl w:val="9F3665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59D2872"/>
    <w:multiLevelType w:val="multilevel"/>
    <w:tmpl w:val="9752B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5F00F0F"/>
    <w:multiLevelType w:val="multilevel"/>
    <w:tmpl w:val="A4166F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A645F1C"/>
    <w:multiLevelType w:val="multilevel"/>
    <w:tmpl w:val="EF08A7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94334D7"/>
    <w:multiLevelType w:val="multilevel"/>
    <w:tmpl w:val="AF388A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5A426509"/>
    <w:multiLevelType w:val="multilevel"/>
    <w:tmpl w:val="C7AA52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EF34F10"/>
    <w:multiLevelType w:val="multilevel"/>
    <w:tmpl w:val="9E70C2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9314ECD"/>
    <w:multiLevelType w:val="multilevel"/>
    <w:tmpl w:val="CD0498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141268B"/>
    <w:multiLevelType w:val="multilevel"/>
    <w:tmpl w:val="ABFC7540"/>
    <w:lvl w:ilvl="0">
      <w:start w:val="1"/>
      <w:numFmt w:val="bullet"/>
      <w:lvlText w:val="•"/>
      <w:lvlJc w:val="right"/>
      <w:pPr>
        <w:ind w:left="540" w:firstLine="360"/>
      </w:pPr>
      <w:rPr>
        <w:rFonts w:ascii="Arial" w:eastAsia="Arial" w:hAnsi="Arial" w:cs="Arial"/>
        <w:b w:val="0"/>
        <w:i w:val="0"/>
        <w:smallCaps w:val="0"/>
        <w:strike w:val="0"/>
        <w:color w:val="576063"/>
        <w:sz w:val="24"/>
        <w:szCs w:val="24"/>
        <w:u w:val="none"/>
        <w:vertAlign w:val="baseline"/>
      </w:rPr>
    </w:lvl>
    <w:lvl w:ilvl="1">
      <w:start w:val="1"/>
      <w:numFmt w:val="bullet"/>
      <w:lvlText w:val="o"/>
      <w:lvlJc w:val="right"/>
      <w:pPr>
        <w:ind w:left="1170" w:firstLine="1040"/>
      </w:pPr>
      <w:rPr>
        <w:rFonts w:ascii="Courier New" w:eastAsia="Courier New" w:hAnsi="Courier New" w:cs="Courier New"/>
        <w:b w:val="0"/>
        <w:i w:val="0"/>
        <w:smallCaps w:val="0"/>
        <w:strike w:val="0"/>
        <w:color w:val="576063"/>
        <w:sz w:val="32"/>
        <w:szCs w:val="32"/>
        <w:u w:val="none"/>
        <w:vertAlign w:val="baseline"/>
      </w:rPr>
    </w:lvl>
    <w:lvl w:ilvl="2">
      <w:start w:val="1"/>
      <w:numFmt w:val="bullet"/>
      <w:lvlText w:val="•"/>
      <w:lvlJc w:val="right"/>
      <w:pPr>
        <w:ind w:left="1800" w:firstLine="1760"/>
      </w:pPr>
      <w:rPr>
        <w:rFonts w:ascii="Arial" w:eastAsia="Arial" w:hAnsi="Arial" w:cs="Arial"/>
        <w:b w:val="0"/>
        <w:i w:val="0"/>
        <w:smallCaps w:val="0"/>
        <w:strike w:val="0"/>
        <w:color w:val="576063"/>
        <w:sz w:val="32"/>
        <w:szCs w:val="32"/>
        <w:u w:val="none"/>
        <w:vertAlign w:val="baseline"/>
      </w:rPr>
    </w:lvl>
    <w:lvl w:ilvl="3">
      <w:start w:val="1"/>
      <w:numFmt w:val="bullet"/>
      <w:lvlText w:val="o"/>
      <w:lvlJc w:val="right"/>
      <w:pPr>
        <w:ind w:left="2520" w:firstLine="2480"/>
      </w:pPr>
      <w:rPr>
        <w:rFonts w:ascii="Courier New" w:eastAsia="Courier New" w:hAnsi="Courier New" w:cs="Courier New"/>
        <w:b w:val="0"/>
        <w:i w:val="0"/>
        <w:smallCaps w:val="0"/>
        <w:strike w:val="0"/>
        <w:color w:val="576063"/>
        <w:sz w:val="32"/>
        <w:szCs w:val="32"/>
        <w:u w:val="none"/>
        <w:vertAlign w:val="baseline"/>
      </w:rPr>
    </w:lvl>
    <w:lvl w:ilvl="4">
      <w:start w:val="1"/>
      <w:numFmt w:val="bullet"/>
      <w:lvlText w:val="•"/>
      <w:lvlJc w:val="right"/>
      <w:pPr>
        <w:ind w:left="3240" w:firstLine="3200"/>
      </w:pPr>
      <w:rPr>
        <w:rFonts w:ascii="Arial" w:eastAsia="Arial" w:hAnsi="Arial" w:cs="Arial"/>
        <w:b w:val="0"/>
        <w:i w:val="0"/>
        <w:smallCaps w:val="0"/>
        <w:strike w:val="0"/>
        <w:color w:val="576063"/>
        <w:sz w:val="32"/>
        <w:szCs w:val="32"/>
        <w:u w:val="none"/>
        <w:vertAlign w:val="baseline"/>
      </w:rPr>
    </w:lvl>
    <w:lvl w:ilvl="5">
      <w:start w:val="1"/>
      <w:numFmt w:val="bullet"/>
      <w:lvlText w:val="o"/>
      <w:lvlJc w:val="right"/>
      <w:pPr>
        <w:ind w:left="3960" w:firstLine="3920"/>
      </w:pPr>
      <w:rPr>
        <w:rFonts w:ascii="Courier New" w:eastAsia="Courier New" w:hAnsi="Courier New" w:cs="Courier New"/>
        <w:b w:val="0"/>
        <w:i w:val="0"/>
        <w:smallCaps w:val="0"/>
        <w:strike w:val="0"/>
        <w:color w:val="7F7F7F"/>
        <w:sz w:val="32"/>
        <w:szCs w:val="32"/>
        <w:u w:val="none"/>
        <w:vertAlign w:val="baseline"/>
      </w:rPr>
    </w:lvl>
    <w:lvl w:ilvl="6">
      <w:start w:val="1"/>
      <w:numFmt w:val="bullet"/>
      <w:lvlText w:val="•"/>
      <w:lvlJc w:val="right"/>
      <w:pPr>
        <w:ind w:left="4680" w:firstLine="4640"/>
      </w:pPr>
      <w:rPr>
        <w:rFonts w:ascii="Arial" w:eastAsia="Arial" w:hAnsi="Arial" w:cs="Arial"/>
        <w:b w:val="0"/>
        <w:i w:val="0"/>
        <w:smallCaps w:val="0"/>
        <w:strike w:val="0"/>
        <w:color w:val="7F7F7F"/>
        <w:sz w:val="32"/>
        <w:szCs w:val="32"/>
        <w:u w:val="none"/>
        <w:vertAlign w:val="baseline"/>
      </w:rPr>
    </w:lvl>
    <w:lvl w:ilvl="7">
      <w:start w:val="1"/>
      <w:numFmt w:val="bullet"/>
      <w:lvlText w:val="o"/>
      <w:lvlJc w:val="right"/>
      <w:pPr>
        <w:ind w:left="5400" w:firstLine="5360"/>
      </w:pPr>
      <w:rPr>
        <w:rFonts w:ascii="Courier New" w:eastAsia="Courier New" w:hAnsi="Courier New" w:cs="Courier New"/>
        <w:b w:val="0"/>
        <w:i w:val="0"/>
        <w:smallCaps w:val="0"/>
        <w:strike w:val="0"/>
        <w:color w:val="7F7F7F"/>
        <w:sz w:val="32"/>
        <w:szCs w:val="32"/>
        <w:u w:val="none"/>
        <w:vertAlign w:val="baseline"/>
      </w:rPr>
    </w:lvl>
    <w:lvl w:ilvl="8">
      <w:start w:val="1"/>
      <w:numFmt w:val="bullet"/>
      <w:lvlText w:val="•"/>
      <w:lvlJc w:val="right"/>
      <w:pPr>
        <w:ind w:left="6120" w:firstLine="6080"/>
      </w:pPr>
      <w:rPr>
        <w:rFonts w:ascii="Arial" w:eastAsia="Arial" w:hAnsi="Arial" w:cs="Arial"/>
        <w:b w:val="0"/>
        <w:i w:val="0"/>
        <w:smallCaps w:val="0"/>
        <w:strike w:val="0"/>
        <w:color w:val="7F7F7F"/>
        <w:sz w:val="32"/>
        <w:szCs w:val="32"/>
        <w:u w:val="none"/>
        <w:vertAlign w:val="baseline"/>
      </w:rPr>
    </w:lvl>
  </w:abstractNum>
  <w:num w:numId="1">
    <w:abstractNumId w:val="2"/>
  </w:num>
  <w:num w:numId="2">
    <w:abstractNumId w:val="3"/>
  </w:num>
  <w:num w:numId="3">
    <w:abstractNumId w:val="9"/>
  </w:num>
  <w:num w:numId="4">
    <w:abstractNumId w:val="10"/>
  </w:num>
  <w:num w:numId="5">
    <w:abstractNumId w:val="4"/>
  </w:num>
  <w:num w:numId="6">
    <w:abstractNumId w:val="1"/>
  </w:num>
  <w:num w:numId="7">
    <w:abstractNumId w:val="8"/>
  </w:num>
  <w:num w:numId="8">
    <w:abstractNumId w:val="11"/>
  </w:num>
  <w:num w:numId="9">
    <w:abstractNumId w:val="6"/>
  </w:num>
  <w:num w:numId="10">
    <w:abstractNumId w:val="7"/>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1C9F"/>
    <w:rsid w:val="007C3180"/>
    <w:rsid w:val="008D1C9F"/>
    <w:rsid w:val="0098439B"/>
    <w:rsid w:val="00B35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9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3">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Header">
    <w:name w:val="header"/>
    <w:basedOn w:val="Normal"/>
    <w:link w:val="HeaderChar"/>
    <w:uiPriority w:val="99"/>
    <w:unhideWhenUsed/>
    <w:rsid w:val="00B3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BE5"/>
  </w:style>
  <w:style w:type="paragraph" w:styleId="Footer">
    <w:name w:val="footer"/>
    <w:basedOn w:val="Normal"/>
    <w:link w:val="FooterChar"/>
    <w:uiPriority w:val="99"/>
    <w:unhideWhenUsed/>
    <w:rsid w:val="00B3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lionshares-m.factset.com/country_list.cfm?company_number=4000617&amp;search=mutual&amp;sort=value&amp;order=desc"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lionshares-m.factset.com/details.cfm?company_number=4000617&amp;search=mutual&amp;Country=United%20States" TargetMode="External"/><Relationship Id="rId11" Type="http://schemas.openxmlformats.org/officeDocument/2006/relationships/hyperlink" Target="https://lionshares-m.factset.com/details.cfm?company_number=4000617&amp;search=mutual&amp;Country=N%2FA" TargetMode="External"/><Relationship Id="rId12" Type="http://schemas.openxmlformats.org/officeDocument/2006/relationships/hyperlink" Target="https://lionshares-m.factset.com/details.cfm?company_number=4000617&amp;search=mutual&amp;Country=Ireland" TargetMode="External"/><Relationship Id="rId13" Type="http://schemas.openxmlformats.org/officeDocument/2006/relationships/hyperlink" Target="https://lionshares-m.factset.com/details.cfm?company_number=4000617&amp;search=mutual&amp;Country=China" TargetMode="External"/><Relationship Id="rId14" Type="http://schemas.openxmlformats.org/officeDocument/2006/relationships/hyperlink" Target="https://lionshares-m.factset.com/details.cfm?company_number=4000617&amp;search=mutual&amp;Country=Argentina" TargetMode="External"/><Relationship Id="rId15" Type="http://schemas.openxmlformats.org/officeDocument/2006/relationships/hyperlink" Target="https://lionshares-m.factset.com/details.cfm?company_number=4000617&amp;search=mutual&amp;Country=Norway" TargetMode="External"/><Relationship Id="rId16" Type="http://schemas.openxmlformats.org/officeDocument/2006/relationships/hyperlink" Target="https://lionshares-m.factset.com/details.cfm?company_number=4000617&amp;search=mutual&amp;Country=United%20Kingdom" TargetMode="External"/><Relationship Id="rId17" Type="http://schemas.openxmlformats.org/officeDocument/2006/relationships/hyperlink" Target="https://lionshares-m.factset.com/details.cfm?company_number=4000617&amp;search=mutual&amp;Country=France" TargetMode="Externa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lionshares-m.factset.com/country_list.cfm?company_number=4000617&amp;search=mutual&amp;sort=country_name&amp;order=asc" TargetMode="External"/><Relationship Id="rId8" Type="http://schemas.openxmlformats.org/officeDocument/2006/relationships/hyperlink" Target="https://lionshares-m.factset.com/country_list.cfm?company_number=4000617&amp;search=mutual&amp;sort=percent_number&amp;order=a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1421</Words>
  <Characters>8104</Characters>
  <Application>Microsoft Macintosh Word</Application>
  <DocSecurity>0</DocSecurity>
  <Lines>67</Lines>
  <Paragraphs>19</Paragraphs>
  <ScaleCrop>false</ScaleCrop>
  <LinksUpToDate>false</LinksUpToDate>
  <CharactersWithSpaces>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Tor Martinsen</cp:lastModifiedBy>
  <cp:revision>2</cp:revision>
  <dcterms:created xsi:type="dcterms:W3CDTF">2016-04-18T17:06:00Z</dcterms:created>
  <dcterms:modified xsi:type="dcterms:W3CDTF">2016-04-18T17:06:00Z</dcterms:modified>
</cp:coreProperties>
</file>