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9B9AC3" w14:textId="77777777" w:rsidR="00BA0CEA" w:rsidRPr="00576BD8" w:rsidRDefault="00795B16">
      <w:bookmarkStart w:id="0" w:name="_GoBack"/>
      <w:bookmarkEnd w:id="0"/>
      <w:r w:rsidRPr="00576BD8">
        <w:t xml:space="preserve">Finance 334 - Mutual Fund Analysis - </w:t>
      </w:r>
    </w:p>
    <w:p w14:paraId="118D1970" w14:textId="77777777" w:rsidR="00BA0CEA" w:rsidRDefault="00795B16">
      <w:pPr>
        <w:rPr>
          <w:shd w:val="clear" w:color="auto" w:fill="F5F5F5"/>
        </w:rPr>
      </w:pPr>
      <w:r w:rsidRPr="00576BD8">
        <w:t xml:space="preserve">Value Fund: </w:t>
      </w:r>
      <w:r w:rsidRPr="00576BD8">
        <w:rPr>
          <w:shd w:val="clear" w:color="auto" w:fill="F5F5F5"/>
        </w:rPr>
        <w:t>Fidelity Series Stock Selector Large Cap Value F (FRGEX)</w:t>
      </w:r>
    </w:p>
    <w:p w14:paraId="17813794" w14:textId="09A10C65" w:rsidR="001C28B1" w:rsidRPr="00576BD8" w:rsidRDefault="001C28B1">
      <w:r w:rsidRPr="001C28B1">
        <w:t>Pit Kauffmann, Tor Martinsen, Jordan Mucci, Adam Salow, Steve Toner</w:t>
      </w:r>
    </w:p>
    <w:p w14:paraId="6D15950F" w14:textId="77777777" w:rsidR="00BA0CEA" w:rsidRDefault="00BA0CEA"/>
    <w:p w14:paraId="70044334" w14:textId="77777777" w:rsidR="00BA0CEA" w:rsidRPr="00576BD8" w:rsidRDefault="00576BD8">
      <w:r>
        <w:t xml:space="preserve">Fund </w:t>
      </w:r>
      <w:r w:rsidR="00795B16" w:rsidRPr="00576BD8">
        <w:t>Description:</w:t>
      </w:r>
    </w:p>
    <w:p w14:paraId="6E930B50" w14:textId="77777777" w:rsidR="00BA0CEA" w:rsidRPr="00576BD8" w:rsidRDefault="00BA0CEA"/>
    <w:p w14:paraId="1A25EBC9" w14:textId="77777777" w:rsidR="00576BD8" w:rsidRDefault="00795B16" w:rsidP="00576BD8">
      <w:pPr>
        <w:contextualSpacing/>
      </w:pPr>
      <w:r w:rsidRPr="00576BD8">
        <w:t>The Fidelity Series Stock Selector</w:t>
      </w:r>
      <w:r w:rsidR="00576BD8">
        <w:t xml:space="preserve"> Large Cap Value Fund Class F (FRGEX) follows a standard value strategy: the fund “seeks long-term growth of capital” by following a strategy of buying securities they believe to be undervalued on the basis of fundamentals and with respect to other companies in the same industry. In addition, it follows the strategy of “n</w:t>
      </w:r>
      <w:r w:rsidR="00576BD8" w:rsidRPr="00576BD8">
        <w:t>ormally investing at least 80% of assets in stocks with</w:t>
      </w:r>
      <w:r w:rsidR="00576BD8">
        <w:t>…</w:t>
      </w:r>
      <w:r w:rsidR="00576BD8" w:rsidRPr="00576BD8">
        <w:t xml:space="preserve"> </w:t>
      </w:r>
      <w:r w:rsidR="00576BD8">
        <w:t>[</w:t>
      </w:r>
      <w:r w:rsidR="00576BD8" w:rsidRPr="00576BD8">
        <w:t>market cap</w:t>
      </w:r>
      <w:r w:rsidR="00576BD8">
        <w:t>italization</w:t>
      </w:r>
      <w:r w:rsidR="00576BD8" w:rsidRPr="00576BD8">
        <w:t>s</w:t>
      </w:r>
      <w:r w:rsidR="00576BD8">
        <w:t>]</w:t>
      </w:r>
      <w:r w:rsidR="00576BD8" w:rsidRPr="00576BD8">
        <w:t xml:space="preserve"> comparable to those in the Russell 1000 Index or the S&amp;P 500</w:t>
      </w:r>
      <w:r w:rsidR="00576BD8">
        <w:t xml:space="preserve">.” FRGEX aims to keep its portfolio balanced across all GICS sectors, </w:t>
      </w:r>
      <w:r w:rsidR="006B0C48">
        <w:t>and has holdings in securities of both domestic and foreign firms.</w:t>
      </w:r>
    </w:p>
    <w:p w14:paraId="3BD32AE7" w14:textId="77777777" w:rsidR="006B0C48" w:rsidRDefault="006B0C48" w:rsidP="00576BD8">
      <w:pPr>
        <w:contextualSpacing/>
      </w:pPr>
    </w:p>
    <w:p w14:paraId="2F21B231" w14:textId="77777777" w:rsidR="006B0C48" w:rsidRDefault="006B0C48" w:rsidP="00576BD8">
      <w:pPr>
        <w:contextualSpacing/>
      </w:pPr>
      <w:r>
        <w:t xml:space="preserve">Q1: FRGEX Market Capitalization </w:t>
      </w:r>
    </w:p>
    <w:p w14:paraId="3ABDC636" w14:textId="77777777" w:rsidR="006B0C48" w:rsidRDefault="006B0C48" w:rsidP="00576BD8">
      <w:pPr>
        <w:contextualSpacing/>
      </w:pPr>
    </w:p>
    <w:tbl>
      <w:tblPr>
        <w:tblW w:w="3513" w:type="dxa"/>
        <w:tblInd w:w="108" w:type="dxa"/>
        <w:tblLook w:val="04A0" w:firstRow="1" w:lastRow="0" w:firstColumn="1" w:lastColumn="0" w:noHBand="0" w:noVBand="1"/>
      </w:tblPr>
      <w:tblGrid>
        <w:gridCol w:w="2286"/>
        <w:gridCol w:w="1227"/>
      </w:tblGrid>
      <w:tr w:rsidR="006B0C48" w14:paraId="58650BD0" w14:textId="77777777" w:rsidTr="006B0C48">
        <w:trPr>
          <w:trHeight w:val="314"/>
        </w:trPr>
        <w:tc>
          <w:tcPr>
            <w:tcW w:w="2286" w:type="dxa"/>
            <w:tcBorders>
              <w:top w:val="nil"/>
              <w:left w:val="nil"/>
              <w:bottom w:val="nil"/>
              <w:right w:val="nil"/>
            </w:tcBorders>
            <w:shd w:val="clear" w:color="auto" w:fill="auto"/>
            <w:noWrap/>
            <w:vAlign w:val="bottom"/>
            <w:hideMark/>
          </w:tcPr>
          <w:p w14:paraId="1D69D93D" w14:textId="77777777" w:rsidR="006B0C48" w:rsidRDefault="006B0C48">
            <w:pPr>
              <w:jc w:val="right"/>
              <w:rPr>
                <w:rFonts w:ascii="Arial" w:eastAsia="Times New Roman" w:hAnsi="Arial" w:cs="Arial"/>
                <w:b/>
                <w:bCs/>
                <w:sz w:val="20"/>
                <w:szCs w:val="20"/>
              </w:rPr>
            </w:pPr>
            <w:r>
              <w:rPr>
                <w:rFonts w:ascii="Arial" w:eastAsia="Times New Roman" w:hAnsi="Arial" w:cs="Arial"/>
                <w:b/>
                <w:bCs/>
                <w:sz w:val="20"/>
                <w:szCs w:val="20"/>
              </w:rPr>
              <w:t>Mega (&gt; 50B)</w:t>
            </w:r>
          </w:p>
        </w:tc>
        <w:tc>
          <w:tcPr>
            <w:tcW w:w="1227" w:type="dxa"/>
            <w:tcBorders>
              <w:top w:val="nil"/>
              <w:left w:val="nil"/>
              <w:bottom w:val="nil"/>
              <w:right w:val="nil"/>
            </w:tcBorders>
            <w:shd w:val="clear" w:color="auto" w:fill="auto"/>
            <w:noWrap/>
            <w:vAlign w:val="bottom"/>
            <w:hideMark/>
          </w:tcPr>
          <w:p w14:paraId="00BFC7EA" w14:textId="77777777" w:rsidR="006B0C48" w:rsidRDefault="006B0C48">
            <w:pPr>
              <w:jc w:val="right"/>
              <w:rPr>
                <w:rFonts w:ascii="Arial" w:eastAsia="Times New Roman" w:hAnsi="Arial" w:cs="Arial"/>
                <w:sz w:val="20"/>
                <w:szCs w:val="20"/>
              </w:rPr>
            </w:pPr>
            <w:r>
              <w:rPr>
                <w:rFonts w:ascii="Arial" w:eastAsia="Times New Roman" w:hAnsi="Arial" w:cs="Arial"/>
                <w:sz w:val="20"/>
                <w:szCs w:val="20"/>
              </w:rPr>
              <w:t>44.67</w:t>
            </w:r>
          </w:p>
        </w:tc>
      </w:tr>
      <w:tr w:rsidR="006B0C48" w14:paraId="778FDB4C" w14:textId="77777777" w:rsidTr="006B0C48">
        <w:trPr>
          <w:trHeight w:val="239"/>
        </w:trPr>
        <w:tc>
          <w:tcPr>
            <w:tcW w:w="2286" w:type="dxa"/>
            <w:tcBorders>
              <w:top w:val="nil"/>
              <w:left w:val="nil"/>
              <w:bottom w:val="nil"/>
              <w:right w:val="nil"/>
            </w:tcBorders>
            <w:shd w:val="clear" w:color="auto" w:fill="auto"/>
            <w:noWrap/>
            <w:vAlign w:val="bottom"/>
            <w:hideMark/>
          </w:tcPr>
          <w:p w14:paraId="3783000F" w14:textId="77777777" w:rsidR="006B0C48" w:rsidRDefault="006B0C48">
            <w:pPr>
              <w:jc w:val="right"/>
              <w:rPr>
                <w:rFonts w:ascii="Arial" w:eastAsia="Times New Roman" w:hAnsi="Arial" w:cs="Arial"/>
                <w:b/>
                <w:bCs/>
                <w:sz w:val="20"/>
                <w:szCs w:val="20"/>
              </w:rPr>
            </w:pPr>
            <w:r>
              <w:rPr>
                <w:rFonts w:ascii="Arial" w:eastAsia="Times New Roman" w:hAnsi="Arial" w:cs="Arial"/>
                <w:b/>
                <w:bCs/>
                <w:sz w:val="20"/>
                <w:szCs w:val="20"/>
              </w:rPr>
              <w:t>Large (10B to 50B)</w:t>
            </w:r>
          </w:p>
        </w:tc>
        <w:tc>
          <w:tcPr>
            <w:tcW w:w="1227" w:type="dxa"/>
            <w:tcBorders>
              <w:top w:val="nil"/>
              <w:left w:val="nil"/>
              <w:bottom w:val="nil"/>
              <w:right w:val="nil"/>
            </w:tcBorders>
            <w:shd w:val="clear" w:color="auto" w:fill="auto"/>
            <w:noWrap/>
            <w:vAlign w:val="bottom"/>
            <w:hideMark/>
          </w:tcPr>
          <w:p w14:paraId="37A6080E" w14:textId="77777777" w:rsidR="006B0C48" w:rsidRDefault="006B0C48">
            <w:pPr>
              <w:jc w:val="right"/>
              <w:rPr>
                <w:rFonts w:ascii="Arial" w:eastAsia="Times New Roman" w:hAnsi="Arial" w:cs="Arial"/>
                <w:sz w:val="20"/>
                <w:szCs w:val="20"/>
              </w:rPr>
            </w:pPr>
            <w:r>
              <w:rPr>
                <w:rFonts w:ascii="Arial" w:eastAsia="Times New Roman" w:hAnsi="Arial" w:cs="Arial"/>
                <w:sz w:val="20"/>
                <w:szCs w:val="20"/>
              </w:rPr>
              <w:t>37.20</w:t>
            </w:r>
          </w:p>
        </w:tc>
      </w:tr>
      <w:tr w:rsidR="006B0C48" w14:paraId="2CDD1B1D" w14:textId="77777777" w:rsidTr="006B0C48">
        <w:trPr>
          <w:trHeight w:val="239"/>
        </w:trPr>
        <w:tc>
          <w:tcPr>
            <w:tcW w:w="2286" w:type="dxa"/>
            <w:tcBorders>
              <w:top w:val="nil"/>
              <w:left w:val="nil"/>
              <w:bottom w:val="nil"/>
              <w:right w:val="nil"/>
            </w:tcBorders>
            <w:shd w:val="clear" w:color="auto" w:fill="auto"/>
            <w:noWrap/>
            <w:vAlign w:val="bottom"/>
            <w:hideMark/>
          </w:tcPr>
          <w:p w14:paraId="64DCE71F" w14:textId="77777777" w:rsidR="006B0C48" w:rsidRDefault="006B0C48">
            <w:pPr>
              <w:jc w:val="right"/>
              <w:rPr>
                <w:rFonts w:ascii="Arial" w:eastAsia="Times New Roman" w:hAnsi="Arial" w:cs="Arial"/>
                <w:b/>
                <w:bCs/>
                <w:sz w:val="20"/>
                <w:szCs w:val="20"/>
              </w:rPr>
            </w:pPr>
            <w:r>
              <w:rPr>
                <w:rFonts w:ascii="Arial" w:eastAsia="Times New Roman" w:hAnsi="Arial" w:cs="Arial"/>
                <w:b/>
                <w:bCs/>
                <w:sz w:val="20"/>
                <w:szCs w:val="20"/>
              </w:rPr>
              <w:t>Mid (2B to 10B)</w:t>
            </w:r>
          </w:p>
        </w:tc>
        <w:tc>
          <w:tcPr>
            <w:tcW w:w="1227" w:type="dxa"/>
            <w:tcBorders>
              <w:top w:val="nil"/>
              <w:left w:val="nil"/>
              <w:bottom w:val="nil"/>
              <w:right w:val="nil"/>
            </w:tcBorders>
            <w:shd w:val="clear" w:color="auto" w:fill="auto"/>
            <w:noWrap/>
            <w:vAlign w:val="bottom"/>
            <w:hideMark/>
          </w:tcPr>
          <w:p w14:paraId="099B7B7D" w14:textId="77777777" w:rsidR="006B0C48" w:rsidRDefault="006B0C48">
            <w:pPr>
              <w:jc w:val="right"/>
              <w:rPr>
                <w:rFonts w:ascii="Arial" w:eastAsia="Times New Roman" w:hAnsi="Arial" w:cs="Arial"/>
                <w:sz w:val="20"/>
                <w:szCs w:val="20"/>
              </w:rPr>
            </w:pPr>
            <w:r>
              <w:rPr>
                <w:rFonts w:ascii="Arial" w:eastAsia="Times New Roman" w:hAnsi="Arial" w:cs="Arial"/>
                <w:sz w:val="20"/>
                <w:szCs w:val="20"/>
              </w:rPr>
              <w:t>13.60</w:t>
            </w:r>
          </w:p>
        </w:tc>
      </w:tr>
      <w:tr w:rsidR="006B0C48" w14:paraId="41E99188" w14:textId="77777777" w:rsidTr="006B0C48">
        <w:trPr>
          <w:trHeight w:val="239"/>
        </w:trPr>
        <w:tc>
          <w:tcPr>
            <w:tcW w:w="2286" w:type="dxa"/>
            <w:tcBorders>
              <w:top w:val="nil"/>
              <w:left w:val="nil"/>
              <w:bottom w:val="nil"/>
              <w:right w:val="nil"/>
            </w:tcBorders>
            <w:shd w:val="clear" w:color="auto" w:fill="auto"/>
            <w:noWrap/>
            <w:vAlign w:val="bottom"/>
            <w:hideMark/>
          </w:tcPr>
          <w:p w14:paraId="396603EC" w14:textId="77777777" w:rsidR="006B0C48" w:rsidRDefault="006B0C48">
            <w:pPr>
              <w:jc w:val="right"/>
              <w:rPr>
                <w:rFonts w:ascii="Arial" w:eastAsia="Times New Roman" w:hAnsi="Arial" w:cs="Arial"/>
                <w:b/>
                <w:bCs/>
                <w:sz w:val="20"/>
                <w:szCs w:val="20"/>
              </w:rPr>
            </w:pPr>
            <w:r>
              <w:rPr>
                <w:rFonts w:ascii="Arial" w:eastAsia="Times New Roman" w:hAnsi="Arial" w:cs="Arial"/>
                <w:b/>
                <w:bCs/>
                <w:sz w:val="20"/>
                <w:szCs w:val="20"/>
              </w:rPr>
              <w:t>Small (250MM to 2B)</w:t>
            </w:r>
          </w:p>
        </w:tc>
        <w:tc>
          <w:tcPr>
            <w:tcW w:w="1227" w:type="dxa"/>
            <w:tcBorders>
              <w:top w:val="nil"/>
              <w:left w:val="nil"/>
              <w:bottom w:val="nil"/>
              <w:right w:val="nil"/>
            </w:tcBorders>
            <w:shd w:val="clear" w:color="auto" w:fill="auto"/>
            <w:noWrap/>
            <w:vAlign w:val="bottom"/>
            <w:hideMark/>
          </w:tcPr>
          <w:p w14:paraId="19B14D27" w14:textId="77777777" w:rsidR="006B0C48" w:rsidRDefault="006B0C48">
            <w:pPr>
              <w:jc w:val="right"/>
              <w:rPr>
                <w:rFonts w:ascii="Arial" w:eastAsia="Times New Roman" w:hAnsi="Arial" w:cs="Arial"/>
                <w:sz w:val="20"/>
                <w:szCs w:val="20"/>
              </w:rPr>
            </w:pPr>
            <w:r>
              <w:rPr>
                <w:rFonts w:ascii="Arial" w:eastAsia="Times New Roman" w:hAnsi="Arial" w:cs="Arial"/>
                <w:sz w:val="20"/>
                <w:szCs w:val="20"/>
              </w:rPr>
              <w:t>0.95</w:t>
            </w:r>
          </w:p>
        </w:tc>
      </w:tr>
      <w:tr w:rsidR="006B0C48" w14:paraId="56A29DB3" w14:textId="77777777" w:rsidTr="006B0C48">
        <w:trPr>
          <w:trHeight w:val="239"/>
        </w:trPr>
        <w:tc>
          <w:tcPr>
            <w:tcW w:w="2286" w:type="dxa"/>
            <w:tcBorders>
              <w:top w:val="nil"/>
              <w:left w:val="nil"/>
              <w:bottom w:val="nil"/>
              <w:right w:val="nil"/>
            </w:tcBorders>
            <w:shd w:val="clear" w:color="auto" w:fill="auto"/>
            <w:noWrap/>
            <w:vAlign w:val="bottom"/>
            <w:hideMark/>
          </w:tcPr>
          <w:p w14:paraId="3880E95F" w14:textId="77777777" w:rsidR="006B0C48" w:rsidRDefault="006B0C48">
            <w:pPr>
              <w:jc w:val="right"/>
              <w:rPr>
                <w:rFonts w:ascii="Arial" w:eastAsia="Times New Roman" w:hAnsi="Arial" w:cs="Arial"/>
                <w:b/>
                <w:bCs/>
                <w:sz w:val="20"/>
                <w:szCs w:val="20"/>
              </w:rPr>
            </w:pPr>
            <w:r>
              <w:rPr>
                <w:rFonts w:ascii="Arial" w:eastAsia="Times New Roman" w:hAnsi="Arial" w:cs="Arial"/>
                <w:b/>
                <w:bCs/>
                <w:sz w:val="20"/>
                <w:szCs w:val="20"/>
              </w:rPr>
              <w:t>Micro (&lt; 250MM)</w:t>
            </w:r>
          </w:p>
        </w:tc>
        <w:tc>
          <w:tcPr>
            <w:tcW w:w="1227" w:type="dxa"/>
            <w:tcBorders>
              <w:top w:val="nil"/>
              <w:left w:val="nil"/>
              <w:bottom w:val="nil"/>
              <w:right w:val="nil"/>
            </w:tcBorders>
            <w:shd w:val="clear" w:color="auto" w:fill="auto"/>
            <w:noWrap/>
            <w:vAlign w:val="bottom"/>
            <w:hideMark/>
          </w:tcPr>
          <w:p w14:paraId="4485A89E" w14:textId="77777777" w:rsidR="006B0C48" w:rsidRDefault="006B0C48">
            <w:pPr>
              <w:jc w:val="right"/>
              <w:rPr>
                <w:rFonts w:ascii="Arial" w:eastAsia="Times New Roman" w:hAnsi="Arial" w:cs="Arial"/>
                <w:sz w:val="20"/>
                <w:szCs w:val="20"/>
              </w:rPr>
            </w:pPr>
            <w:r>
              <w:rPr>
                <w:rFonts w:ascii="Arial" w:eastAsia="Times New Roman" w:hAnsi="Arial" w:cs="Arial"/>
                <w:sz w:val="20"/>
                <w:szCs w:val="20"/>
              </w:rPr>
              <w:t>0.01</w:t>
            </w:r>
          </w:p>
        </w:tc>
      </w:tr>
    </w:tbl>
    <w:p w14:paraId="3788AFDF" w14:textId="77777777" w:rsidR="006B0C48" w:rsidRDefault="006B0C48" w:rsidP="00576BD8">
      <w:pPr>
        <w:contextualSpacing/>
      </w:pPr>
    </w:p>
    <w:p w14:paraId="18EA1627" w14:textId="1A27F002" w:rsidR="00847E8E" w:rsidRDefault="00847E8E" w:rsidP="00576BD8">
      <w:pPr>
        <w:contextualSpacing/>
      </w:pPr>
      <w:r>
        <w:t>Russell 1000 Value Distribution</w:t>
      </w:r>
    </w:p>
    <w:tbl>
      <w:tblPr>
        <w:tblW w:w="4695" w:type="dxa"/>
        <w:shd w:val="clear" w:color="auto" w:fill="FFFFFF"/>
        <w:tblCellMar>
          <w:top w:w="15" w:type="dxa"/>
          <w:left w:w="15" w:type="dxa"/>
          <w:bottom w:w="15" w:type="dxa"/>
          <w:right w:w="15" w:type="dxa"/>
        </w:tblCellMar>
        <w:tblLook w:val="04A0" w:firstRow="1" w:lastRow="0" w:firstColumn="1" w:lastColumn="0" w:noHBand="0" w:noVBand="1"/>
      </w:tblPr>
      <w:tblGrid>
        <w:gridCol w:w="1123"/>
        <w:gridCol w:w="688"/>
        <w:gridCol w:w="919"/>
        <w:gridCol w:w="899"/>
        <w:gridCol w:w="1066"/>
      </w:tblGrid>
      <w:tr w:rsidR="00847E8E" w14:paraId="2A7EBC8D" w14:textId="77777777" w:rsidTr="00847E8E">
        <w:trPr>
          <w:tblHeader/>
        </w:trPr>
        <w:tc>
          <w:tcPr>
            <w:tcW w:w="0" w:type="auto"/>
            <w:tcBorders>
              <w:top w:val="single" w:sz="6" w:space="0" w:color="C8C8C8"/>
              <w:left w:val="single" w:sz="6" w:space="0" w:color="C8C8C8"/>
              <w:bottom w:val="single" w:sz="6" w:space="0" w:color="C8C8C8"/>
              <w:right w:val="single" w:sz="6" w:space="0" w:color="E1E1E1"/>
            </w:tcBorders>
            <w:shd w:val="clear" w:color="auto" w:fill="E1E1E1"/>
            <w:tcMar>
              <w:top w:w="30" w:type="dxa"/>
              <w:left w:w="75" w:type="dxa"/>
              <w:bottom w:w="30" w:type="dxa"/>
              <w:right w:w="150" w:type="dxa"/>
            </w:tcMar>
            <w:vAlign w:val="bottom"/>
            <w:hideMark/>
          </w:tcPr>
          <w:p w14:paraId="52CFA83F" w14:textId="77777777" w:rsidR="00847E8E" w:rsidRDefault="00847E8E">
            <w:pPr>
              <w:rPr>
                <w:rFonts w:ascii="Arial" w:hAnsi="Arial" w:cs="Arial"/>
                <w:color w:val="000000"/>
                <w:sz w:val="17"/>
                <w:szCs w:val="17"/>
              </w:rPr>
            </w:pPr>
            <w:r>
              <w:rPr>
                <w:rFonts w:ascii="Arial" w:hAnsi="Arial" w:cs="Arial"/>
                <w:color w:val="000000"/>
                <w:sz w:val="17"/>
                <w:szCs w:val="17"/>
              </w:rPr>
              <w:t>Distribution</w:t>
            </w:r>
          </w:p>
        </w:tc>
        <w:tc>
          <w:tcPr>
            <w:tcW w:w="0" w:type="auto"/>
            <w:tcBorders>
              <w:top w:val="single" w:sz="6" w:space="0" w:color="C8C8C8"/>
              <w:left w:val="single" w:sz="6" w:space="0" w:color="E1E1E1"/>
              <w:bottom w:val="single" w:sz="6" w:space="0" w:color="C8C8C8"/>
              <w:right w:val="single" w:sz="6" w:space="0" w:color="E1E1E1"/>
            </w:tcBorders>
            <w:shd w:val="clear" w:color="auto" w:fill="E1E1E1"/>
            <w:tcMar>
              <w:top w:w="30" w:type="dxa"/>
              <w:left w:w="75" w:type="dxa"/>
              <w:bottom w:w="30" w:type="dxa"/>
              <w:right w:w="150" w:type="dxa"/>
            </w:tcMar>
            <w:vAlign w:val="bottom"/>
            <w:hideMark/>
          </w:tcPr>
          <w:p w14:paraId="037666E3" w14:textId="77777777" w:rsidR="00847E8E" w:rsidRDefault="00847E8E">
            <w:pPr>
              <w:jc w:val="right"/>
              <w:rPr>
                <w:rFonts w:ascii="Arial" w:hAnsi="Arial" w:cs="Arial"/>
                <w:color w:val="000000"/>
                <w:sz w:val="17"/>
                <w:szCs w:val="17"/>
              </w:rPr>
            </w:pPr>
            <w:r>
              <w:rPr>
                <w:rFonts w:ascii="Arial" w:hAnsi="Arial" w:cs="Arial"/>
                <w:color w:val="000000"/>
                <w:sz w:val="17"/>
                <w:szCs w:val="17"/>
              </w:rPr>
              <w:t>%Port</w:t>
            </w:r>
          </w:p>
        </w:tc>
        <w:tc>
          <w:tcPr>
            <w:tcW w:w="0" w:type="auto"/>
            <w:tcBorders>
              <w:top w:val="single" w:sz="6" w:space="0" w:color="C8C8C8"/>
              <w:left w:val="single" w:sz="6" w:space="0" w:color="E1E1E1"/>
              <w:bottom w:val="single" w:sz="6" w:space="0" w:color="C8C8C8"/>
              <w:right w:val="single" w:sz="6" w:space="0" w:color="E1E1E1"/>
            </w:tcBorders>
            <w:shd w:val="clear" w:color="auto" w:fill="E1E1E1"/>
            <w:tcMar>
              <w:top w:w="30" w:type="dxa"/>
              <w:left w:w="75" w:type="dxa"/>
              <w:bottom w:w="30" w:type="dxa"/>
              <w:right w:w="150" w:type="dxa"/>
            </w:tcMar>
            <w:vAlign w:val="bottom"/>
            <w:hideMark/>
          </w:tcPr>
          <w:p w14:paraId="7055B873" w14:textId="77777777" w:rsidR="00847E8E" w:rsidRDefault="00847E8E">
            <w:pPr>
              <w:jc w:val="right"/>
              <w:rPr>
                <w:rFonts w:ascii="Arial" w:hAnsi="Arial" w:cs="Arial"/>
                <w:color w:val="000000"/>
                <w:sz w:val="17"/>
                <w:szCs w:val="17"/>
              </w:rPr>
            </w:pPr>
            <w:r>
              <w:rPr>
                <w:rFonts w:ascii="Arial" w:hAnsi="Arial" w:cs="Arial"/>
                <w:color w:val="000000"/>
                <w:sz w:val="17"/>
                <w:szCs w:val="17"/>
              </w:rPr>
              <w:t>%Port Chg [6M]</w:t>
            </w:r>
          </w:p>
        </w:tc>
        <w:tc>
          <w:tcPr>
            <w:tcW w:w="0" w:type="auto"/>
            <w:tcBorders>
              <w:top w:val="single" w:sz="6" w:space="0" w:color="C8C8C8"/>
              <w:left w:val="single" w:sz="6" w:space="0" w:color="E1E1E1"/>
              <w:bottom w:val="single" w:sz="6" w:space="0" w:color="C8C8C8"/>
              <w:right w:val="single" w:sz="6" w:space="0" w:color="E1E1E1"/>
            </w:tcBorders>
            <w:shd w:val="clear" w:color="auto" w:fill="E1E1E1"/>
            <w:tcMar>
              <w:top w:w="30" w:type="dxa"/>
              <w:left w:w="75" w:type="dxa"/>
              <w:bottom w:w="30" w:type="dxa"/>
              <w:right w:w="150" w:type="dxa"/>
            </w:tcMar>
            <w:vAlign w:val="bottom"/>
            <w:hideMark/>
          </w:tcPr>
          <w:p w14:paraId="23921781" w14:textId="77777777" w:rsidR="00847E8E" w:rsidRDefault="00847E8E">
            <w:pPr>
              <w:jc w:val="right"/>
              <w:rPr>
                <w:rFonts w:ascii="Arial" w:hAnsi="Arial" w:cs="Arial"/>
                <w:color w:val="000000"/>
                <w:sz w:val="17"/>
                <w:szCs w:val="17"/>
              </w:rPr>
            </w:pPr>
            <w:r>
              <w:rPr>
                <w:rFonts w:ascii="Arial" w:hAnsi="Arial" w:cs="Arial"/>
                <w:color w:val="000000"/>
                <w:sz w:val="17"/>
                <w:szCs w:val="17"/>
              </w:rPr>
              <w:t>Mkt Val (MM)</w:t>
            </w:r>
          </w:p>
        </w:tc>
        <w:tc>
          <w:tcPr>
            <w:tcW w:w="0" w:type="auto"/>
            <w:tcBorders>
              <w:top w:val="single" w:sz="6" w:space="0" w:color="C8C8C8"/>
              <w:left w:val="single" w:sz="6" w:space="0" w:color="E1E1E1"/>
              <w:bottom w:val="single" w:sz="6" w:space="0" w:color="C8C8C8"/>
              <w:right w:val="single" w:sz="6" w:space="0" w:color="C8C8C8"/>
            </w:tcBorders>
            <w:shd w:val="clear" w:color="auto" w:fill="E1E1E1"/>
            <w:tcMar>
              <w:top w:w="30" w:type="dxa"/>
              <w:left w:w="75" w:type="dxa"/>
              <w:bottom w:w="30" w:type="dxa"/>
              <w:right w:w="150" w:type="dxa"/>
            </w:tcMar>
            <w:vAlign w:val="bottom"/>
            <w:hideMark/>
          </w:tcPr>
          <w:p w14:paraId="369C6FEE" w14:textId="77777777" w:rsidR="00847E8E" w:rsidRDefault="00847E8E">
            <w:pPr>
              <w:jc w:val="right"/>
              <w:rPr>
                <w:rFonts w:ascii="Arial" w:hAnsi="Arial" w:cs="Arial"/>
                <w:color w:val="000000"/>
                <w:sz w:val="17"/>
                <w:szCs w:val="17"/>
              </w:rPr>
            </w:pPr>
            <w:r>
              <w:rPr>
                <w:rFonts w:ascii="Arial" w:hAnsi="Arial" w:cs="Arial"/>
                <w:color w:val="000000"/>
                <w:sz w:val="17"/>
                <w:szCs w:val="17"/>
              </w:rPr>
              <w:t>Mkt Val Chg (MM) [6M]</w:t>
            </w:r>
          </w:p>
        </w:tc>
      </w:tr>
      <w:tr w:rsidR="00847E8E" w14:paraId="7435A79F" w14:textId="77777777" w:rsidTr="00847E8E">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B1444D0" w14:textId="77777777" w:rsidR="00847E8E" w:rsidRDefault="00847E8E">
            <w:pPr>
              <w:rPr>
                <w:rFonts w:ascii="Arial" w:hAnsi="Arial" w:cs="Arial"/>
                <w:color w:val="000000"/>
                <w:sz w:val="17"/>
                <w:szCs w:val="17"/>
              </w:rPr>
            </w:pPr>
            <w:r>
              <w:rPr>
                <w:rFonts w:ascii="Arial" w:hAnsi="Arial" w:cs="Arial"/>
                <w:color w:val="000000"/>
                <w:sz w:val="17"/>
                <w:szCs w:val="17"/>
              </w:rPr>
              <w:t>Mega</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33A0C65D" w14:textId="77777777" w:rsidR="00847E8E" w:rsidRDefault="00847E8E">
            <w:pPr>
              <w:jc w:val="right"/>
              <w:rPr>
                <w:rFonts w:ascii="Arial" w:hAnsi="Arial" w:cs="Arial"/>
                <w:color w:val="000000"/>
                <w:sz w:val="17"/>
                <w:szCs w:val="17"/>
              </w:rPr>
            </w:pPr>
            <w:r>
              <w:rPr>
                <w:rFonts w:ascii="Arial" w:hAnsi="Arial" w:cs="Arial"/>
                <w:color w:val="000000"/>
                <w:sz w:val="17"/>
                <w:szCs w:val="17"/>
              </w:rPr>
              <w:t>50.5</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39E6BFB8" w14:textId="77777777" w:rsidR="00847E8E" w:rsidRDefault="00847E8E">
            <w:pPr>
              <w:jc w:val="right"/>
              <w:rPr>
                <w:rFonts w:ascii="Arial" w:hAnsi="Arial" w:cs="Arial"/>
                <w:color w:val="339900"/>
                <w:sz w:val="17"/>
                <w:szCs w:val="17"/>
              </w:rPr>
            </w:pPr>
            <w:r>
              <w:rPr>
                <w:rFonts w:ascii="Arial" w:hAnsi="Arial" w:cs="Arial"/>
                <w:color w:val="339900"/>
                <w:sz w:val="17"/>
                <w:szCs w:val="17"/>
              </w:rPr>
              <w:t>1.53</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6455B8D4" w14:textId="77777777" w:rsidR="00847E8E" w:rsidRDefault="00847E8E">
            <w:pPr>
              <w:jc w:val="right"/>
              <w:rPr>
                <w:rFonts w:ascii="Arial" w:hAnsi="Arial" w:cs="Arial"/>
                <w:color w:val="000000"/>
                <w:sz w:val="17"/>
                <w:szCs w:val="17"/>
              </w:rPr>
            </w:pPr>
            <w:r>
              <w:rPr>
                <w:rFonts w:ascii="Arial" w:hAnsi="Arial" w:cs="Arial"/>
                <w:color w:val="000000"/>
                <w:sz w:val="17"/>
                <w:szCs w:val="17"/>
              </w:rPr>
              <w:t>12,986</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47A085B1" w14:textId="77777777" w:rsidR="00847E8E" w:rsidRDefault="00847E8E">
            <w:pPr>
              <w:jc w:val="right"/>
              <w:rPr>
                <w:rFonts w:ascii="Arial" w:hAnsi="Arial" w:cs="Arial"/>
                <w:color w:val="339900"/>
                <w:sz w:val="17"/>
                <w:szCs w:val="17"/>
              </w:rPr>
            </w:pPr>
            <w:r>
              <w:rPr>
                <w:rFonts w:ascii="Arial" w:hAnsi="Arial" w:cs="Arial"/>
                <w:color w:val="339900"/>
                <w:sz w:val="17"/>
                <w:szCs w:val="17"/>
              </w:rPr>
              <w:t>748</w:t>
            </w:r>
          </w:p>
        </w:tc>
      </w:tr>
      <w:tr w:rsidR="00847E8E" w14:paraId="54081883" w14:textId="77777777" w:rsidTr="00847E8E">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496C742D" w14:textId="77777777" w:rsidR="00847E8E" w:rsidRDefault="00847E8E">
            <w:pPr>
              <w:rPr>
                <w:rFonts w:ascii="Arial" w:hAnsi="Arial" w:cs="Arial"/>
                <w:color w:val="000000"/>
                <w:sz w:val="17"/>
                <w:szCs w:val="17"/>
              </w:rPr>
            </w:pPr>
            <w:r>
              <w:rPr>
                <w:rFonts w:ascii="Arial" w:hAnsi="Arial" w:cs="Arial"/>
                <w:color w:val="000000"/>
                <w:sz w:val="17"/>
                <w:szCs w:val="17"/>
              </w:rPr>
              <w:t>Large</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60B1AE19" w14:textId="77777777" w:rsidR="00847E8E" w:rsidRDefault="00847E8E">
            <w:pPr>
              <w:jc w:val="right"/>
              <w:rPr>
                <w:rFonts w:ascii="Arial" w:hAnsi="Arial" w:cs="Arial"/>
                <w:color w:val="000000"/>
                <w:sz w:val="17"/>
                <w:szCs w:val="17"/>
              </w:rPr>
            </w:pPr>
            <w:r>
              <w:rPr>
                <w:rFonts w:ascii="Arial" w:hAnsi="Arial" w:cs="Arial"/>
                <w:color w:val="000000"/>
                <w:sz w:val="17"/>
                <w:szCs w:val="17"/>
              </w:rPr>
              <w:t>33.4</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1B70E76D" w14:textId="77777777" w:rsidR="00847E8E" w:rsidRDefault="00847E8E">
            <w:pPr>
              <w:jc w:val="right"/>
              <w:rPr>
                <w:rFonts w:ascii="Arial" w:hAnsi="Arial" w:cs="Arial"/>
                <w:color w:val="FF0000"/>
                <w:sz w:val="17"/>
                <w:szCs w:val="17"/>
              </w:rPr>
            </w:pPr>
            <w:r>
              <w:rPr>
                <w:rFonts w:ascii="Arial" w:hAnsi="Arial" w:cs="Arial"/>
                <w:color w:val="FF0000"/>
                <w:sz w:val="17"/>
                <w:szCs w:val="17"/>
              </w:rPr>
              <w:t>-0.74</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556AFB1E" w14:textId="77777777" w:rsidR="00847E8E" w:rsidRDefault="00847E8E">
            <w:pPr>
              <w:jc w:val="right"/>
              <w:rPr>
                <w:rFonts w:ascii="Arial" w:hAnsi="Arial" w:cs="Arial"/>
                <w:color w:val="000000"/>
                <w:sz w:val="17"/>
                <w:szCs w:val="17"/>
              </w:rPr>
            </w:pPr>
            <w:r>
              <w:rPr>
                <w:rFonts w:ascii="Arial" w:hAnsi="Arial" w:cs="Arial"/>
                <w:color w:val="000000"/>
                <w:sz w:val="17"/>
                <w:szCs w:val="17"/>
              </w:rPr>
              <w:t>8,595</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0430826C" w14:textId="77777777" w:rsidR="00847E8E" w:rsidRDefault="00847E8E">
            <w:pPr>
              <w:jc w:val="right"/>
              <w:rPr>
                <w:rFonts w:ascii="Arial" w:hAnsi="Arial" w:cs="Arial"/>
                <w:color w:val="339900"/>
                <w:sz w:val="17"/>
                <w:szCs w:val="17"/>
              </w:rPr>
            </w:pPr>
            <w:r>
              <w:rPr>
                <w:rFonts w:ascii="Arial" w:hAnsi="Arial" w:cs="Arial"/>
                <w:color w:val="339900"/>
                <w:sz w:val="17"/>
                <w:szCs w:val="17"/>
              </w:rPr>
              <w:t>640</w:t>
            </w:r>
          </w:p>
        </w:tc>
      </w:tr>
      <w:tr w:rsidR="00847E8E" w14:paraId="7DF5AD5E" w14:textId="77777777" w:rsidTr="00847E8E">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5A14B08" w14:textId="77777777" w:rsidR="00847E8E" w:rsidRDefault="00847E8E">
            <w:pPr>
              <w:rPr>
                <w:rFonts w:ascii="Arial" w:hAnsi="Arial" w:cs="Arial"/>
                <w:color w:val="000000"/>
                <w:sz w:val="17"/>
                <w:szCs w:val="17"/>
              </w:rPr>
            </w:pPr>
            <w:r>
              <w:rPr>
                <w:rFonts w:ascii="Arial" w:hAnsi="Arial" w:cs="Arial"/>
                <w:color w:val="000000"/>
                <w:sz w:val="17"/>
                <w:szCs w:val="17"/>
              </w:rPr>
              <w:t>Mid</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27C84BE6" w14:textId="77777777" w:rsidR="00847E8E" w:rsidRDefault="00847E8E">
            <w:pPr>
              <w:jc w:val="right"/>
              <w:rPr>
                <w:rFonts w:ascii="Arial" w:hAnsi="Arial" w:cs="Arial"/>
                <w:color w:val="000000"/>
                <w:sz w:val="17"/>
                <w:szCs w:val="17"/>
              </w:rPr>
            </w:pPr>
            <w:r>
              <w:rPr>
                <w:rFonts w:ascii="Arial" w:hAnsi="Arial" w:cs="Arial"/>
                <w:color w:val="000000"/>
                <w:sz w:val="17"/>
                <w:szCs w:val="17"/>
              </w:rPr>
              <w:t>15.2</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4A146FCD" w14:textId="77777777" w:rsidR="00847E8E" w:rsidRDefault="00847E8E">
            <w:pPr>
              <w:jc w:val="right"/>
              <w:rPr>
                <w:rFonts w:ascii="Arial" w:hAnsi="Arial" w:cs="Arial"/>
                <w:color w:val="FF0000"/>
                <w:sz w:val="17"/>
                <w:szCs w:val="17"/>
              </w:rPr>
            </w:pPr>
            <w:r>
              <w:rPr>
                <w:rFonts w:ascii="Arial" w:hAnsi="Arial" w:cs="Arial"/>
                <w:color w:val="FF0000"/>
                <w:sz w:val="17"/>
                <w:szCs w:val="17"/>
              </w:rPr>
              <w:t>-0.91</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0D11DCA0" w14:textId="77777777" w:rsidR="00847E8E" w:rsidRDefault="00847E8E">
            <w:pPr>
              <w:jc w:val="right"/>
              <w:rPr>
                <w:rFonts w:ascii="Arial" w:hAnsi="Arial" w:cs="Arial"/>
                <w:color w:val="000000"/>
                <w:sz w:val="17"/>
                <w:szCs w:val="17"/>
              </w:rPr>
            </w:pPr>
            <w:r>
              <w:rPr>
                <w:rFonts w:ascii="Arial" w:hAnsi="Arial" w:cs="Arial"/>
                <w:color w:val="000000"/>
                <w:sz w:val="17"/>
                <w:szCs w:val="17"/>
              </w:rPr>
              <w:t>3,904</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01498EBE" w14:textId="77777777" w:rsidR="00847E8E" w:rsidRDefault="00847E8E">
            <w:pPr>
              <w:jc w:val="right"/>
              <w:rPr>
                <w:rFonts w:ascii="Arial" w:hAnsi="Arial" w:cs="Arial"/>
                <w:color w:val="339900"/>
                <w:sz w:val="17"/>
                <w:szCs w:val="17"/>
              </w:rPr>
            </w:pPr>
            <w:r>
              <w:rPr>
                <w:rFonts w:ascii="Arial" w:hAnsi="Arial" w:cs="Arial"/>
                <w:color w:val="339900"/>
                <w:sz w:val="17"/>
                <w:szCs w:val="17"/>
              </w:rPr>
              <w:t>228</w:t>
            </w:r>
          </w:p>
        </w:tc>
      </w:tr>
      <w:tr w:rsidR="00847E8E" w14:paraId="1B43C9F6" w14:textId="77777777" w:rsidTr="00847E8E">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5508DEA4" w14:textId="77777777" w:rsidR="00847E8E" w:rsidRDefault="00847E8E">
            <w:pPr>
              <w:rPr>
                <w:rFonts w:ascii="Arial" w:hAnsi="Arial" w:cs="Arial"/>
                <w:color w:val="000000"/>
                <w:sz w:val="17"/>
                <w:szCs w:val="17"/>
              </w:rPr>
            </w:pPr>
            <w:r>
              <w:rPr>
                <w:rFonts w:ascii="Arial" w:hAnsi="Arial" w:cs="Arial"/>
                <w:color w:val="000000"/>
                <w:sz w:val="17"/>
                <w:szCs w:val="17"/>
              </w:rPr>
              <w:t>Small</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505229BF" w14:textId="77777777" w:rsidR="00847E8E" w:rsidRDefault="00847E8E">
            <w:pPr>
              <w:jc w:val="right"/>
              <w:rPr>
                <w:rFonts w:ascii="Arial" w:hAnsi="Arial" w:cs="Arial"/>
                <w:color w:val="000000"/>
                <w:sz w:val="17"/>
                <w:szCs w:val="17"/>
              </w:rPr>
            </w:pPr>
            <w:r>
              <w:rPr>
                <w:rFonts w:ascii="Arial" w:hAnsi="Arial" w:cs="Arial"/>
                <w:color w:val="000000"/>
                <w:sz w:val="17"/>
                <w:szCs w:val="17"/>
              </w:rPr>
              <w:t>0.6</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7B185B00" w14:textId="77777777" w:rsidR="00847E8E" w:rsidRDefault="00847E8E">
            <w:pPr>
              <w:jc w:val="right"/>
              <w:rPr>
                <w:rFonts w:ascii="Arial" w:hAnsi="Arial" w:cs="Arial"/>
                <w:color w:val="FF0000"/>
                <w:sz w:val="17"/>
                <w:szCs w:val="17"/>
              </w:rPr>
            </w:pPr>
            <w:r>
              <w:rPr>
                <w:rFonts w:ascii="Arial" w:hAnsi="Arial" w:cs="Arial"/>
                <w:color w:val="FF0000"/>
                <w:sz w:val="17"/>
                <w:szCs w:val="17"/>
              </w:rPr>
              <w:t>-0.12</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70680E4D" w14:textId="77777777" w:rsidR="00847E8E" w:rsidRDefault="00847E8E">
            <w:pPr>
              <w:jc w:val="right"/>
              <w:rPr>
                <w:rFonts w:ascii="Arial" w:hAnsi="Arial" w:cs="Arial"/>
                <w:color w:val="000000"/>
                <w:sz w:val="17"/>
                <w:szCs w:val="17"/>
              </w:rPr>
            </w:pPr>
            <w:r>
              <w:rPr>
                <w:rFonts w:ascii="Arial" w:hAnsi="Arial" w:cs="Arial"/>
                <w:color w:val="000000"/>
                <w:sz w:val="17"/>
                <w:szCs w:val="17"/>
              </w:rPr>
              <w:t>147</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62F99130" w14:textId="77777777" w:rsidR="00847E8E" w:rsidRDefault="00847E8E">
            <w:pPr>
              <w:jc w:val="right"/>
              <w:rPr>
                <w:rFonts w:ascii="Arial" w:hAnsi="Arial" w:cs="Arial"/>
                <w:color w:val="339900"/>
                <w:sz w:val="17"/>
                <w:szCs w:val="17"/>
              </w:rPr>
            </w:pPr>
            <w:r>
              <w:rPr>
                <w:rFonts w:ascii="Arial" w:hAnsi="Arial" w:cs="Arial"/>
                <w:color w:val="339900"/>
                <w:sz w:val="17"/>
                <w:szCs w:val="17"/>
              </w:rPr>
              <w:t>13</w:t>
            </w:r>
          </w:p>
        </w:tc>
      </w:tr>
      <w:tr w:rsidR="00847E8E" w14:paraId="232DDBA2" w14:textId="77777777" w:rsidTr="00847E8E">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12A7AEF2" w14:textId="77777777" w:rsidR="00847E8E" w:rsidRDefault="00847E8E">
            <w:pPr>
              <w:rPr>
                <w:rFonts w:ascii="Arial" w:hAnsi="Arial" w:cs="Arial"/>
                <w:color w:val="000000"/>
                <w:sz w:val="17"/>
                <w:szCs w:val="17"/>
              </w:rPr>
            </w:pPr>
            <w:r>
              <w:rPr>
                <w:rFonts w:ascii="Arial" w:hAnsi="Arial" w:cs="Arial"/>
                <w:color w:val="000000"/>
                <w:sz w:val="17"/>
                <w:szCs w:val="17"/>
              </w:rPr>
              <w:t>Unassigned</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45EF45D1" w14:textId="77777777" w:rsidR="00847E8E" w:rsidRDefault="00847E8E">
            <w:pPr>
              <w:jc w:val="right"/>
              <w:rPr>
                <w:rFonts w:ascii="Arial" w:hAnsi="Arial" w:cs="Arial"/>
                <w:color w:val="000000"/>
                <w:sz w:val="17"/>
                <w:szCs w:val="17"/>
              </w:rPr>
            </w:pPr>
            <w:r>
              <w:rPr>
                <w:rFonts w:ascii="Arial" w:hAnsi="Arial" w:cs="Arial"/>
                <w:color w:val="000000"/>
                <w:sz w:val="17"/>
                <w:szCs w:val="17"/>
              </w:rPr>
              <w:t>0.4</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07563CD8" w14:textId="77777777" w:rsidR="00847E8E" w:rsidRDefault="00847E8E">
            <w:pPr>
              <w:jc w:val="right"/>
              <w:rPr>
                <w:rFonts w:ascii="Arial" w:hAnsi="Arial" w:cs="Arial"/>
                <w:color w:val="339900"/>
                <w:sz w:val="17"/>
                <w:szCs w:val="17"/>
              </w:rPr>
            </w:pPr>
            <w:r>
              <w:rPr>
                <w:rFonts w:ascii="Arial" w:hAnsi="Arial" w:cs="Arial"/>
                <w:color w:val="339900"/>
                <w:sz w:val="17"/>
                <w:szCs w:val="17"/>
              </w:rPr>
              <w:t>0.25</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1268DCC0" w14:textId="77777777" w:rsidR="00847E8E" w:rsidRDefault="00847E8E">
            <w:pPr>
              <w:jc w:val="right"/>
              <w:rPr>
                <w:rFonts w:ascii="Arial" w:hAnsi="Arial" w:cs="Arial"/>
                <w:color w:val="000000"/>
                <w:sz w:val="17"/>
                <w:szCs w:val="17"/>
              </w:rPr>
            </w:pPr>
            <w:r>
              <w:rPr>
                <w:rFonts w:ascii="Arial" w:hAnsi="Arial" w:cs="Arial"/>
                <w:color w:val="000000"/>
                <w:sz w:val="17"/>
                <w:szCs w:val="17"/>
              </w:rPr>
              <w:t>108</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BE960A7" w14:textId="77777777" w:rsidR="00847E8E" w:rsidRDefault="00847E8E">
            <w:pPr>
              <w:jc w:val="right"/>
              <w:rPr>
                <w:rFonts w:ascii="Arial" w:hAnsi="Arial" w:cs="Arial"/>
                <w:color w:val="339900"/>
                <w:sz w:val="17"/>
                <w:szCs w:val="17"/>
              </w:rPr>
            </w:pPr>
            <w:r>
              <w:rPr>
                <w:rFonts w:ascii="Arial" w:hAnsi="Arial" w:cs="Arial"/>
                <w:color w:val="339900"/>
                <w:sz w:val="17"/>
                <w:szCs w:val="17"/>
              </w:rPr>
              <w:t>69</w:t>
            </w:r>
          </w:p>
        </w:tc>
      </w:tr>
      <w:tr w:rsidR="00847E8E" w14:paraId="6E962CDA" w14:textId="77777777" w:rsidTr="00847E8E">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314F9E15" w14:textId="77777777" w:rsidR="00847E8E" w:rsidRDefault="00847E8E">
            <w:pPr>
              <w:rPr>
                <w:rFonts w:ascii="Arial" w:hAnsi="Arial" w:cs="Arial"/>
                <w:color w:val="000000"/>
                <w:sz w:val="17"/>
                <w:szCs w:val="17"/>
              </w:rPr>
            </w:pPr>
            <w:r>
              <w:rPr>
                <w:rFonts w:ascii="Arial" w:hAnsi="Arial" w:cs="Arial"/>
                <w:color w:val="000000"/>
                <w:sz w:val="17"/>
                <w:szCs w:val="17"/>
              </w:rPr>
              <w:t>Micro</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5670695D" w14:textId="77777777" w:rsidR="00847E8E" w:rsidRDefault="00847E8E">
            <w:pPr>
              <w:jc w:val="right"/>
              <w:rPr>
                <w:rFonts w:ascii="Arial" w:hAnsi="Arial" w:cs="Arial"/>
                <w:color w:val="000000"/>
                <w:sz w:val="17"/>
                <w:szCs w:val="17"/>
              </w:rPr>
            </w:pPr>
            <w:r>
              <w:rPr>
                <w:rFonts w:ascii="Arial" w:hAnsi="Arial" w:cs="Arial"/>
                <w:color w:val="000000"/>
                <w:sz w:val="17"/>
                <w:szCs w:val="17"/>
              </w:rPr>
              <w:t>0.0</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3186F78B" w14:textId="77777777" w:rsidR="00847E8E" w:rsidRDefault="00847E8E">
            <w:pPr>
              <w:jc w:val="right"/>
              <w:rPr>
                <w:rFonts w:ascii="Arial" w:hAnsi="Arial" w:cs="Arial"/>
                <w:color w:val="FF0000"/>
                <w:sz w:val="17"/>
                <w:szCs w:val="17"/>
              </w:rPr>
            </w:pPr>
            <w:r>
              <w:rPr>
                <w:rFonts w:ascii="Arial" w:hAnsi="Arial" w:cs="Arial"/>
                <w:color w:val="FF0000"/>
                <w:sz w:val="17"/>
                <w:szCs w:val="17"/>
              </w:rPr>
              <w:t>-0.00</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21D35269" w14:textId="77777777" w:rsidR="00847E8E" w:rsidRDefault="00847E8E">
            <w:pPr>
              <w:jc w:val="right"/>
              <w:rPr>
                <w:rFonts w:ascii="Arial" w:hAnsi="Arial" w:cs="Arial"/>
                <w:color w:val="000000"/>
                <w:sz w:val="17"/>
                <w:szCs w:val="17"/>
              </w:rPr>
            </w:pPr>
            <w:r>
              <w:rPr>
                <w:rFonts w:ascii="Arial" w:hAnsi="Arial" w:cs="Arial"/>
                <w:color w:val="000000"/>
                <w:sz w:val="17"/>
                <w:szCs w:val="17"/>
              </w:rPr>
              <w:t>0</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430D417D" w14:textId="77777777" w:rsidR="00847E8E" w:rsidRDefault="00847E8E">
            <w:pPr>
              <w:jc w:val="right"/>
              <w:rPr>
                <w:rFonts w:ascii="Arial" w:hAnsi="Arial" w:cs="Arial"/>
                <w:color w:val="339900"/>
                <w:sz w:val="17"/>
                <w:szCs w:val="17"/>
              </w:rPr>
            </w:pPr>
            <w:r>
              <w:rPr>
                <w:rFonts w:ascii="Arial" w:hAnsi="Arial" w:cs="Arial"/>
                <w:color w:val="339900"/>
                <w:sz w:val="17"/>
                <w:szCs w:val="17"/>
              </w:rPr>
              <w:t>0</w:t>
            </w:r>
          </w:p>
        </w:tc>
      </w:tr>
      <w:tr w:rsidR="00847E8E" w14:paraId="0BFD941E" w14:textId="77777777" w:rsidTr="00847E8E">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12439C3D" w14:textId="77777777" w:rsidR="00847E8E" w:rsidRDefault="00847E8E">
            <w:pPr>
              <w:rPr>
                <w:rFonts w:ascii="Arial" w:hAnsi="Arial" w:cs="Arial"/>
                <w:b/>
                <w:bCs/>
                <w:color w:val="000000"/>
                <w:sz w:val="17"/>
                <w:szCs w:val="17"/>
              </w:rPr>
            </w:pPr>
            <w:r>
              <w:rPr>
                <w:rFonts w:ascii="Arial" w:hAnsi="Arial" w:cs="Arial"/>
                <w:b/>
                <w:bCs/>
                <w:color w:val="000000"/>
                <w:sz w:val="17"/>
                <w:szCs w:val="17"/>
              </w:rPr>
              <w:t>Total</w:t>
            </w:r>
          </w:p>
        </w:tc>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46CD7925" w14:textId="77777777" w:rsidR="00847E8E" w:rsidRDefault="00847E8E">
            <w:pPr>
              <w:jc w:val="right"/>
              <w:rPr>
                <w:rFonts w:ascii="Arial" w:hAnsi="Arial" w:cs="Arial"/>
                <w:b/>
                <w:bCs/>
                <w:color w:val="000000"/>
                <w:sz w:val="17"/>
                <w:szCs w:val="17"/>
              </w:rPr>
            </w:pPr>
            <w:r>
              <w:rPr>
                <w:rFonts w:ascii="Arial" w:hAnsi="Arial" w:cs="Arial"/>
                <w:b/>
                <w:bCs/>
                <w:color w:val="000000"/>
                <w:sz w:val="17"/>
                <w:szCs w:val="17"/>
              </w:rPr>
              <w:t>100.0</w:t>
            </w:r>
          </w:p>
        </w:tc>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3AD67FE" w14:textId="77777777" w:rsidR="00847E8E" w:rsidRDefault="00847E8E">
            <w:pPr>
              <w:jc w:val="right"/>
              <w:rPr>
                <w:rFonts w:ascii="Arial" w:hAnsi="Arial" w:cs="Arial"/>
                <w:b/>
                <w:bCs/>
                <w:color w:val="FF0000"/>
                <w:sz w:val="17"/>
                <w:szCs w:val="17"/>
              </w:rPr>
            </w:pPr>
            <w:r>
              <w:rPr>
                <w:rFonts w:ascii="Arial" w:hAnsi="Arial" w:cs="Arial"/>
                <w:b/>
                <w:bCs/>
                <w:color w:val="FF0000"/>
                <w:sz w:val="17"/>
                <w:szCs w:val="17"/>
              </w:rPr>
              <w:t>-0.00</w:t>
            </w:r>
          </w:p>
        </w:tc>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3E7B5629" w14:textId="77777777" w:rsidR="00847E8E" w:rsidRDefault="00847E8E">
            <w:pPr>
              <w:jc w:val="right"/>
              <w:rPr>
                <w:rFonts w:ascii="Arial" w:hAnsi="Arial" w:cs="Arial"/>
                <w:b/>
                <w:bCs/>
                <w:color w:val="000000"/>
                <w:sz w:val="17"/>
                <w:szCs w:val="17"/>
              </w:rPr>
            </w:pPr>
            <w:r>
              <w:rPr>
                <w:rFonts w:ascii="Arial" w:hAnsi="Arial" w:cs="Arial"/>
                <w:b/>
                <w:bCs/>
                <w:color w:val="000000"/>
                <w:sz w:val="17"/>
                <w:szCs w:val="17"/>
              </w:rPr>
              <w:t>25,740</w:t>
            </w:r>
          </w:p>
        </w:tc>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1CA54966" w14:textId="77777777" w:rsidR="00847E8E" w:rsidRDefault="00847E8E">
            <w:pPr>
              <w:jc w:val="right"/>
              <w:rPr>
                <w:rFonts w:ascii="Arial" w:hAnsi="Arial" w:cs="Arial"/>
                <w:b/>
                <w:bCs/>
                <w:color w:val="339900"/>
                <w:sz w:val="17"/>
                <w:szCs w:val="17"/>
              </w:rPr>
            </w:pPr>
            <w:r>
              <w:rPr>
                <w:rFonts w:ascii="Arial" w:hAnsi="Arial" w:cs="Arial"/>
                <w:b/>
                <w:bCs/>
                <w:color w:val="339900"/>
                <w:sz w:val="17"/>
                <w:szCs w:val="17"/>
              </w:rPr>
              <w:t>1,696</w:t>
            </w:r>
          </w:p>
        </w:tc>
      </w:tr>
    </w:tbl>
    <w:p w14:paraId="67608BAA" w14:textId="77777777" w:rsidR="00847E8E" w:rsidRDefault="00847E8E" w:rsidP="00576BD8">
      <w:pPr>
        <w:contextualSpacing/>
      </w:pPr>
    </w:p>
    <w:p w14:paraId="6EBC1855" w14:textId="77777777" w:rsidR="003538F7" w:rsidRPr="00576BD8" w:rsidRDefault="003538F7" w:rsidP="00576BD8">
      <w:pPr>
        <w:contextualSpacing/>
      </w:pPr>
    </w:p>
    <w:p w14:paraId="6F1126EC" w14:textId="40FE60ED" w:rsidR="00AC10CB" w:rsidRDefault="00AC10CB">
      <w:r>
        <w:t>Compare to: Russell 1000 Index, and S&amp;P500 by market capitalizations</w:t>
      </w:r>
    </w:p>
    <w:p w14:paraId="79D93B3C" w14:textId="515AE88C" w:rsidR="003538F7" w:rsidRDefault="003538F7">
      <w:r>
        <w:t>As a large-cap fund, one would expect</w:t>
      </w:r>
      <w:r w:rsidR="001E56AE">
        <w:t xml:space="preserve"> that the majority of the portfolio is invested in stocks with a market capitalization between $10 and $50 billion; however, as we see from the table above, FRGEX is only37.2% invested in companies of this size. The bulk of its holdings fall into Mega-cap stocks, but this allocation likely reflects the fact that the fund uses the Russell 1000 Value Index as its benchmark; because the Russell indices have a much wider range for each capitalization class, it gives the managers more liberty to invest in mega-cap stocks than the S&amp;P 500 classification. </w:t>
      </w:r>
    </w:p>
    <w:p w14:paraId="3664BAB1" w14:textId="77777777" w:rsidR="001E56AE" w:rsidRDefault="001E56AE"/>
    <w:p w14:paraId="000F28B8" w14:textId="77777777" w:rsidR="00AC10CB" w:rsidRDefault="00AC10CB">
      <w:r>
        <w:t>Q2: Fund Managers</w:t>
      </w:r>
    </w:p>
    <w:p w14:paraId="6099CD6B" w14:textId="77777777" w:rsidR="00AC10CB" w:rsidRDefault="00AC10CB"/>
    <w:p w14:paraId="076A7305" w14:textId="77777777" w:rsidR="00576BD8" w:rsidRDefault="00AC10CB">
      <w:r>
        <w:t xml:space="preserve">Six managers are responsible for the oversight of FRGEX: </w:t>
      </w:r>
    </w:p>
    <w:p w14:paraId="19CB2C35" w14:textId="77777777" w:rsidR="00AC10CB" w:rsidRDefault="00AC10CB"/>
    <w:p w14:paraId="226BB93C" w14:textId="77777777" w:rsidR="00AC10CB" w:rsidRDefault="00AC10CB"/>
    <w:p w14:paraId="19ADED52" w14:textId="77777777" w:rsidR="00AC10CB" w:rsidRPr="00576BD8" w:rsidRDefault="00AC10CB" w:rsidP="00AC10CB">
      <w:pPr>
        <w:numPr>
          <w:ilvl w:val="0"/>
          <w:numId w:val="3"/>
        </w:numPr>
        <w:ind w:hanging="360"/>
        <w:contextualSpacing/>
      </w:pPr>
      <w:r w:rsidRPr="00576BD8">
        <w:t xml:space="preserve">Mutual Fund Managers: </w:t>
      </w:r>
    </w:p>
    <w:p w14:paraId="407610F2" w14:textId="77777777" w:rsidR="00AC10CB" w:rsidRPr="00CD721C" w:rsidRDefault="00AC10CB" w:rsidP="00CD721C">
      <w:pPr>
        <w:rPr>
          <w:color w:val="000000" w:themeColor="text1"/>
        </w:rPr>
      </w:pPr>
      <w:r w:rsidRPr="00CD721C">
        <w:rPr>
          <w:color w:val="000000" w:themeColor="text1"/>
        </w:rPr>
        <w:t>Matt H Friedman since 12/6/2012</w:t>
      </w:r>
    </w:p>
    <w:p w14:paraId="0C74E990" w14:textId="77777777" w:rsidR="00AC10CB" w:rsidRPr="00CD721C" w:rsidRDefault="00AC10CB" w:rsidP="00CD721C">
      <w:pPr>
        <w:rPr>
          <w:color w:val="000000" w:themeColor="text1"/>
        </w:rPr>
      </w:pPr>
      <w:r w:rsidRPr="00CD721C">
        <w:rPr>
          <w:color w:val="000000" w:themeColor="text1"/>
        </w:rPr>
        <w:t>John Mirshekari since 12/6/2012</w:t>
      </w:r>
    </w:p>
    <w:p w14:paraId="79C28C87" w14:textId="77777777" w:rsidR="00AC10CB" w:rsidRPr="00CD721C" w:rsidRDefault="00AC10CB" w:rsidP="00CD721C">
      <w:pPr>
        <w:rPr>
          <w:color w:val="000000" w:themeColor="text1"/>
        </w:rPr>
      </w:pPr>
      <w:r w:rsidRPr="00CD721C">
        <w:rPr>
          <w:color w:val="000000" w:themeColor="text1"/>
        </w:rPr>
        <w:t>Justin J Bennett since 12/6/2012</w:t>
      </w:r>
    </w:p>
    <w:p w14:paraId="14E6D38D" w14:textId="77777777" w:rsidR="00AC10CB" w:rsidRPr="00CD721C" w:rsidRDefault="00AC10CB" w:rsidP="00CD721C">
      <w:pPr>
        <w:rPr>
          <w:color w:val="000000" w:themeColor="text1"/>
        </w:rPr>
      </w:pPr>
      <w:r w:rsidRPr="00CD721C">
        <w:rPr>
          <w:color w:val="000000" w:themeColor="text1"/>
        </w:rPr>
        <w:t>Katherine Buck since 12/6/2012</w:t>
      </w:r>
    </w:p>
    <w:p w14:paraId="3AB8C18A" w14:textId="77777777" w:rsidR="00AC10CB" w:rsidRPr="00CD721C" w:rsidRDefault="00AC10CB" w:rsidP="00CD721C">
      <w:pPr>
        <w:rPr>
          <w:color w:val="000000" w:themeColor="text1"/>
        </w:rPr>
      </w:pPr>
      <w:r w:rsidRPr="00CD721C">
        <w:rPr>
          <w:color w:val="000000" w:themeColor="text1"/>
        </w:rPr>
        <w:t>Laurie M Mundt since 12/6/2012</w:t>
      </w:r>
    </w:p>
    <w:p w14:paraId="6DFFD845" w14:textId="77777777" w:rsidR="00AC10CB" w:rsidRPr="00CD721C" w:rsidRDefault="00AC10CB" w:rsidP="00CD721C">
      <w:pPr>
        <w:rPr>
          <w:color w:val="000000" w:themeColor="text1"/>
        </w:rPr>
      </w:pPr>
      <w:r w:rsidRPr="00CD721C">
        <w:rPr>
          <w:color w:val="000000" w:themeColor="text1"/>
        </w:rPr>
        <w:t>Steve S Barwikowski since 12/6/2012</w:t>
      </w:r>
    </w:p>
    <w:p w14:paraId="4E144702" w14:textId="77777777" w:rsidR="00AC10CB" w:rsidRPr="00CD721C" w:rsidRDefault="00AC10CB" w:rsidP="00AC10CB">
      <w:pPr>
        <w:rPr>
          <w:color w:val="000000" w:themeColor="text1"/>
        </w:rPr>
      </w:pPr>
      <w:r w:rsidRPr="00CD721C">
        <w:rPr>
          <w:color w:val="000000" w:themeColor="text1"/>
        </w:rPr>
        <w:tab/>
        <w:t xml:space="preserve">At first glance, it doesn’t appear to raise any red flags - All have experience managing mutual funds at financial institutions, and they have all had experience with value-style funds. </w:t>
      </w:r>
    </w:p>
    <w:p w14:paraId="6439DC47" w14:textId="77777777" w:rsidR="00CD721C" w:rsidRPr="00CD721C" w:rsidRDefault="00CD721C">
      <w:pPr>
        <w:rPr>
          <w:color w:val="000000" w:themeColor="text1"/>
        </w:rPr>
      </w:pPr>
    </w:p>
    <w:p w14:paraId="0ECCE773" w14:textId="77777777" w:rsidR="00AC10CB" w:rsidRDefault="00AC10CB">
      <w:pPr>
        <w:rPr>
          <w:color w:val="000000" w:themeColor="text1"/>
        </w:rPr>
      </w:pPr>
      <w:r>
        <w:rPr>
          <w:color w:val="000000" w:themeColor="text1"/>
        </w:rPr>
        <w:t>Q3: Financial Ratios</w:t>
      </w:r>
    </w:p>
    <w:p w14:paraId="65D7E4AB" w14:textId="77777777" w:rsidR="00AC10CB" w:rsidRDefault="00AC10CB">
      <w:pPr>
        <w:rPr>
          <w:color w:val="000000" w:themeColor="text1"/>
        </w:rPr>
      </w:pPr>
    </w:p>
    <w:tbl>
      <w:tblPr>
        <w:tblStyle w:val="TableGrid"/>
        <w:tblW w:w="6496" w:type="dxa"/>
        <w:jc w:val="center"/>
        <w:tblLook w:val="04A0" w:firstRow="1" w:lastRow="0" w:firstColumn="1" w:lastColumn="0" w:noHBand="0" w:noVBand="1"/>
      </w:tblPr>
      <w:tblGrid>
        <w:gridCol w:w="3248"/>
        <w:gridCol w:w="3248"/>
      </w:tblGrid>
      <w:tr w:rsidR="00AC10CB" w:rsidRPr="00AC10CB" w14:paraId="2FE9D30E" w14:textId="77777777" w:rsidTr="00AC10CB">
        <w:trPr>
          <w:trHeight w:val="258"/>
          <w:jc w:val="center"/>
        </w:trPr>
        <w:tc>
          <w:tcPr>
            <w:tcW w:w="3248" w:type="dxa"/>
            <w:noWrap/>
            <w:hideMark/>
          </w:tcPr>
          <w:p w14:paraId="266C4F50" w14:textId="77777777" w:rsidR="00AC10CB" w:rsidRPr="00AC10CB" w:rsidRDefault="00AC10CB" w:rsidP="00AC10CB">
            <w:pPr>
              <w:rPr>
                <w:color w:val="000000" w:themeColor="text1"/>
              </w:rPr>
            </w:pPr>
            <w:r w:rsidRPr="00AC10CB">
              <w:rPr>
                <w:color w:val="000000" w:themeColor="text1"/>
              </w:rPr>
              <w:t>Avg P/E Ratio</w:t>
            </w:r>
          </w:p>
        </w:tc>
        <w:tc>
          <w:tcPr>
            <w:tcW w:w="3248" w:type="dxa"/>
            <w:noWrap/>
            <w:hideMark/>
          </w:tcPr>
          <w:p w14:paraId="242B65B7" w14:textId="77777777" w:rsidR="00AC10CB" w:rsidRPr="00AC10CB" w:rsidRDefault="00AC10CB" w:rsidP="00AC10CB">
            <w:pPr>
              <w:rPr>
                <w:color w:val="000000" w:themeColor="text1"/>
              </w:rPr>
            </w:pPr>
            <w:r w:rsidRPr="00AC10CB">
              <w:rPr>
                <w:color w:val="000000" w:themeColor="text1"/>
              </w:rPr>
              <w:t>25.35</w:t>
            </w:r>
          </w:p>
        </w:tc>
      </w:tr>
      <w:tr w:rsidR="00AC10CB" w:rsidRPr="00AC10CB" w14:paraId="03457E11" w14:textId="77777777" w:rsidTr="00AC10CB">
        <w:trPr>
          <w:trHeight w:val="258"/>
          <w:jc w:val="center"/>
        </w:trPr>
        <w:tc>
          <w:tcPr>
            <w:tcW w:w="3248" w:type="dxa"/>
            <w:noWrap/>
            <w:hideMark/>
          </w:tcPr>
          <w:p w14:paraId="3852950E" w14:textId="77777777" w:rsidR="00AC10CB" w:rsidRPr="00AC10CB" w:rsidRDefault="00AC10CB">
            <w:pPr>
              <w:rPr>
                <w:color w:val="000000" w:themeColor="text1"/>
              </w:rPr>
            </w:pPr>
            <w:r w:rsidRPr="00AC10CB">
              <w:rPr>
                <w:color w:val="000000" w:themeColor="text1"/>
              </w:rPr>
              <w:t>Avg P/B Ratio</w:t>
            </w:r>
          </w:p>
        </w:tc>
        <w:tc>
          <w:tcPr>
            <w:tcW w:w="3248" w:type="dxa"/>
            <w:noWrap/>
            <w:hideMark/>
          </w:tcPr>
          <w:p w14:paraId="532D132D" w14:textId="77777777" w:rsidR="00AC10CB" w:rsidRPr="00AC10CB" w:rsidRDefault="00AC10CB" w:rsidP="00AC10CB">
            <w:pPr>
              <w:rPr>
                <w:color w:val="000000" w:themeColor="text1"/>
              </w:rPr>
            </w:pPr>
            <w:r w:rsidRPr="00AC10CB">
              <w:rPr>
                <w:color w:val="000000" w:themeColor="text1"/>
              </w:rPr>
              <w:t>2.53</w:t>
            </w:r>
          </w:p>
        </w:tc>
      </w:tr>
      <w:tr w:rsidR="00AC10CB" w:rsidRPr="00AC10CB" w14:paraId="14FD9B81" w14:textId="77777777" w:rsidTr="00AC10CB">
        <w:trPr>
          <w:trHeight w:val="258"/>
          <w:jc w:val="center"/>
        </w:trPr>
        <w:tc>
          <w:tcPr>
            <w:tcW w:w="3248" w:type="dxa"/>
            <w:noWrap/>
            <w:hideMark/>
          </w:tcPr>
          <w:p w14:paraId="1C02080D" w14:textId="77777777" w:rsidR="00AC10CB" w:rsidRPr="00AC10CB" w:rsidRDefault="00AC10CB">
            <w:pPr>
              <w:rPr>
                <w:color w:val="000000" w:themeColor="text1"/>
              </w:rPr>
            </w:pPr>
            <w:r w:rsidRPr="00AC10CB">
              <w:rPr>
                <w:color w:val="000000" w:themeColor="text1"/>
              </w:rPr>
              <w:t>Avg Div Yld (%)</w:t>
            </w:r>
          </w:p>
        </w:tc>
        <w:tc>
          <w:tcPr>
            <w:tcW w:w="3248" w:type="dxa"/>
            <w:noWrap/>
            <w:hideMark/>
          </w:tcPr>
          <w:p w14:paraId="14FBA535" w14:textId="77777777" w:rsidR="00AC10CB" w:rsidRPr="00AC10CB" w:rsidRDefault="00AC10CB" w:rsidP="00AC10CB">
            <w:pPr>
              <w:rPr>
                <w:color w:val="000000" w:themeColor="text1"/>
              </w:rPr>
            </w:pPr>
            <w:r w:rsidRPr="00AC10CB">
              <w:rPr>
                <w:color w:val="000000" w:themeColor="text1"/>
              </w:rPr>
              <w:t>2.45</w:t>
            </w:r>
          </w:p>
        </w:tc>
      </w:tr>
      <w:tr w:rsidR="00AC10CB" w:rsidRPr="00AC10CB" w14:paraId="07305FDF" w14:textId="77777777" w:rsidTr="00AC10CB">
        <w:trPr>
          <w:trHeight w:val="258"/>
          <w:jc w:val="center"/>
        </w:trPr>
        <w:tc>
          <w:tcPr>
            <w:tcW w:w="3248" w:type="dxa"/>
            <w:noWrap/>
            <w:hideMark/>
          </w:tcPr>
          <w:p w14:paraId="60434EA5" w14:textId="77777777" w:rsidR="00AC10CB" w:rsidRPr="00AC10CB" w:rsidRDefault="00AC10CB">
            <w:pPr>
              <w:rPr>
                <w:color w:val="000000" w:themeColor="text1"/>
              </w:rPr>
            </w:pPr>
            <w:r w:rsidRPr="00AC10CB">
              <w:rPr>
                <w:color w:val="000000" w:themeColor="text1"/>
              </w:rPr>
              <w:t>Avg Sales Growth (%)</w:t>
            </w:r>
          </w:p>
        </w:tc>
        <w:tc>
          <w:tcPr>
            <w:tcW w:w="3248" w:type="dxa"/>
            <w:noWrap/>
            <w:hideMark/>
          </w:tcPr>
          <w:p w14:paraId="112D0548" w14:textId="77777777" w:rsidR="00AC10CB" w:rsidRPr="00AC10CB" w:rsidRDefault="00AC10CB" w:rsidP="00AC10CB">
            <w:pPr>
              <w:rPr>
                <w:color w:val="000000" w:themeColor="text1"/>
              </w:rPr>
            </w:pPr>
            <w:r w:rsidRPr="00AC10CB">
              <w:rPr>
                <w:color w:val="000000" w:themeColor="text1"/>
              </w:rPr>
              <w:t>-2.47</w:t>
            </w:r>
          </w:p>
        </w:tc>
      </w:tr>
      <w:tr w:rsidR="00AC10CB" w:rsidRPr="00AC10CB" w14:paraId="15A36367" w14:textId="77777777" w:rsidTr="00AC10CB">
        <w:trPr>
          <w:trHeight w:val="258"/>
          <w:jc w:val="center"/>
        </w:trPr>
        <w:tc>
          <w:tcPr>
            <w:tcW w:w="3248" w:type="dxa"/>
            <w:noWrap/>
            <w:hideMark/>
          </w:tcPr>
          <w:p w14:paraId="65DA90C7" w14:textId="77777777" w:rsidR="00AC10CB" w:rsidRPr="00AC10CB" w:rsidRDefault="00AC10CB">
            <w:pPr>
              <w:rPr>
                <w:color w:val="000000" w:themeColor="text1"/>
              </w:rPr>
            </w:pPr>
            <w:r w:rsidRPr="00AC10CB">
              <w:rPr>
                <w:color w:val="000000" w:themeColor="text1"/>
              </w:rPr>
              <w:t>Price Momentum</w:t>
            </w:r>
          </w:p>
        </w:tc>
        <w:tc>
          <w:tcPr>
            <w:tcW w:w="3248" w:type="dxa"/>
            <w:noWrap/>
            <w:hideMark/>
          </w:tcPr>
          <w:p w14:paraId="0CF106ED" w14:textId="77777777" w:rsidR="00AC10CB" w:rsidRPr="00AC10CB" w:rsidRDefault="00AC10CB" w:rsidP="00AC10CB">
            <w:pPr>
              <w:rPr>
                <w:color w:val="000000" w:themeColor="text1"/>
              </w:rPr>
            </w:pPr>
            <w:r w:rsidRPr="00AC10CB">
              <w:rPr>
                <w:color w:val="000000" w:themeColor="text1"/>
              </w:rPr>
              <w:t>1.03</w:t>
            </w:r>
          </w:p>
        </w:tc>
      </w:tr>
      <w:tr w:rsidR="00AC10CB" w:rsidRPr="00AC10CB" w14:paraId="263CF998" w14:textId="77777777" w:rsidTr="00AC10CB">
        <w:trPr>
          <w:trHeight w:val="258"/>
          <w:jc w:val="center"/>
        </w:trPr>
        <w:tc>
          <w:tcPr>
            <w:tcW w:w="3248" w:type="dxa"/>
            <w:noWrap/>
            <w:hideMark/>
          </w:tcPr>
          <w:p w14:paraId="38292DD3" w14:textId="77777777" w:rsidR="00AC10CB" w:rsidRPr="00AC10CB" w:rsidRDefault="00AC10CB">
            <w:pPr>
              <w:rPr>
                <w:color w:val="000000" w:themeColor="text1"/>
              </w:rPr>
            </w:pPr>
            <w:r w:rsidRPr="00AC10CB">
              <w:rPr>
                <w:color w:val="000000" w:themeColor="text1"/>
              </w:rPr>
              <w:t>Relative Strength</w:t>
            </w:r>
          </w:p>
        </w:tc>
        <w:tc>
          <w:tcPr>
            <w:tcW w:w="3248" w:type="dxa"/>
            <w:noWrap/>
            <w:hideMark/>
          </w:tcPr>
          <w:p w14:paraId="1ECFD577" w14:textId="77777777" w:rsidR="00AC10CB" w:rsidRPr="00AC10CB" w:rsidRDefault="00AC10CB" w:rsidP="00AC10CB">
            <w:pPr>
              <w:rPr>
                <w:color w:val="000000" w:themeColor="text1"/>
              </w:rPr>
            </w:pPr>
            <w:r w:rsidRPr="00AC10CB">
              <w:rPr>
                <w:color w:val="000000" w:themeColor="text1"/>
              </w:rPr>
              <w:t>7.78</w:t>
            </w:r>
          </w:p>
        </w:tc>
      </w:tr>
      <w:tr w:rsidR="00AC10CB" w:rsidRPr="00AC10CB" w14:paraId="03549F20" w14:textId="77777777" w:rsidTr="00AC10CB">
        <w:trPr>
          <w:trHeight w:val="258"/>
          <w:jc w:val="center"/>
        </w:trPr>
        <w:tc>
          <w:tcPr>
            <w:tcW w:w="3248" w:type="dxa"/>
            <w:noWrap/>
            <w:hideMark/>
          </w:tcPr>
          <w:p w14:paraId="0C3FFB03" w14:textId="77777777" w:rsidR="00AC10CB" w:rsidRPr="00AC10CB" w:rsidRDefault="00AC10CB">
            <w:pPr>
              <w:rPr>
                <w:color w:val="000000" w:themeColor="text1"/>
              </w:rPr>
            </w:pPr>
            <w:r w:rsidRPr="00AC10CB">
              <w:rPr>
                <w:color w:val="000000" w:themeColor="text1"/>
              </w:rPr>
              <w:t>Beta</w:t>
            </w:r>
          </w:p>
        </w:tc>
        <w:tc>
          <w:tcPr>
            <w:tcW w:w="3248" w:type="dxa"/>
            <w:noWrap/>
            <w:hideMark/>
          </w:tcPr>
          <w:p w14:paraId="0D8D5DD0" w14:textId="77777777" w:rsidR="00AC10CB" w:rsidRPr="00AC10CB" w:rsidRDefault="00AC10CB" w:rsidP="00AC10CB">
            <w:pPr>
              <w:rPr>
                <w:color w:val="000000" w:themeColor="text1"/>
              </w:rPr>
            </w:pPr>
            <w:r w:rsidRPr="00AC10CB">
              <w:rPr>
                <w:color w:val="000000" w:themeColor="text1"/>
              </w:rPr>
              <w:t>0.95</w:t>
            </w:r>
          </w:p>
        </w:tc>
      </w:tr>
    </w:tbl>
    <w:p w14:paraId="606948B1" w14:textId="77777777" w:rsidR="00AC10CB" w:rsidRDefault="00AC10CB" w:rsidP="000244C4">
      <w:pPr>
        <w:rPr>
          <w:color w:val="000000" w:themeColor="text1"/>
        </w:rPr>
      </w:pPr>
      <w:r>
        <w:rPr>
          <w:color w:val="000000" w:themeColor="text1"/>
        </w:rPr>
        <w:t xml:space="preserve">The most alarming of the above ratios is the incredibly high average Price/Earnings ratio of 25.35. As a self-proclaimed “value” fund, FRGEX has no </w:t>
      </w:r>
      <w:r w:rsidR="000244C4">
        <w:rPr>
          <w:color w:val="000000" w:themeColor="text1"/>
        </w:rPr>
        <w:t>reason to hold so many stocks with a high enough P/E ratio that the average P/E for the entire fund is as high as 25.35. Even if this average reflects the bias of one extremely overvalued security, it still reflects a serious departure from the fund’s stated investment strategy. The much lower average P/B ratio for FRGEX suggests that the majority of the fund’s managers pay much more attention to P/B as a metric for screening undervalued securities than Price/Earnings, the latter of which is arguably the more robust measure.</w:t>
      </w:r>
    </w:p>
    <w:p w14:paraId="4216A5BD" w14:textId="77777777" w:rsidR="000244C4" w:rsidRDefault="000244C4">
      <w:pPr>
        <w:rPr>
          <w:color w:val="000000" w:themeColor="text1"/>
        </w:rPr>
      </w:pPr>
      <w:r>
        <w:rPr>
          <w:color w:val="000000" w:themeColor="text1"/>
        </w:rPr>
        <w:tab/>
        <w:t xml:space="preserve">On the other hand, the fund’s low Relative Strength index of 7.78 is a good sign that FRGEX is buying predominantly stocks that are oversold, yet </w:t>
      </w:r>
      <w:r w:rsidR="00EE03D3">
        <w:rPr>
          <w:color w:val="000000" w:themeColor="text1"/>
        </w:rPr>
        <w:t xml:space="preserve">one would expect that the managers would have chosen stocks primarily based on measurements of a stock’s value, rather than a momentum metric such as Relative Strength. </w:t>
      </w:r>
    </w:p>
    <w:p w14:paraId="1A237646" w14:textId="77777777" w:rsidR="007E2A5E" w:rsidRDefault="007E2A5E">
      <w:pPr>
        <w:rPr>
          <w:color w:val="000000" w:themeColor="text1"/>
        </w:rPr>
      </w:pPr>
    </w:p>
    <w:p w14:paraId="5D7D181F" w14:textId="77833B9E" w:rsidR="007E2A5E" w:rsidRDefault="007E2A5E">
      <w:pPr>
        <w:rPr>
          <w:color w:val="000000" w:themeColor="text1"/>
        </w:rPr>
      </w:pPr>
      <w:r>
        <w:rPr>
          <w:color w:val="000000" w:themeColor="text1"/>
        </w:rPr>
        <w:t>Q4: Global Distribution of Asset Allocation</w:t>
      </w:r>
    </w:p>
    <w:tbl>
      <w:tblPr>
        <w:tblStyle w:val="TableGrid"/>
        <w:tblW w:w="0" w:type="auto"/>
        <w:tblLook w:val="04A0" w:firstRow="1" w:lastRow="0" w:firstColumn="1" w:lastColumn="0" w:noHBand="0" w:noVBand="1"/>
      </w:tblPr>
      <w:tblGrid>
        <w:gridCol w:w="1253"/>
        <w:gridCol w:w="1380"/>
      </w:tblGrid>
      <w:tr w:rsidR="007E2A5E" w:rsidRPr="007E2A5E" w14:paraId="2B77CFF2" w14:textId="77777777" w:rsidTr="007E2A5E">
        <w:trPr>
          <w:trHeight w:val="260"/>
        </w:trPr>
        <w:tc>
          <w:tcPr>
            <w:tcW w:w="1253" w:type="dxa"/>
            <w:noWrap/>
            <w:hideMark/>
          </w:tcPr>
          <w:p w14:paraId="748D6A0E" w14:textId="77777777" w:rsidR="007E2A5E" w:rsidRPr="007E2A5E" w:rsidRDefault="007E2A5E">
            <w:pPr>
              <w:rPr>
                <w:color w:val="000000" w:themeColor="text1"/>
              </w:rPr>
            </w:pPr>
            <w:r w:rsidRPr="007E2A5E">
              <w:rPr>
                <w:color w:val="000000" w:themeColor="text1"/>
              </w:rPr>
              <w:t>North America</w:t>
            </w:r>
          </w:p>
        </w:tc>
        <w:tc>
          <w:tcPr>
            <w:tcW w:w="1380" w:type="dxa"/>
            <w:noWrap/>
            <w:hideMark/>
          </w:tcPr>
          <w:p w14:paraId="702A8D33" w14:textId="77777777" w:rsidR="007E2A5E" w:rsidRPr="007E2A5E" w:rsidRDefault="007E2A5E" w:rsidP="007E2A5E">
            <w:pPr>
              <w:rPr>
                <w:color w:val="000000" w:themeColor="text1"/>
              </w:rPr>
            </w:pPr>
            <w:r w:rsidRPr="007E2A5E">
              <w:rPr>
                <w:color w:val="000000" w:themeColor="text1"/>
              </w:rPr>
              <w:t>88.55</w:t>
            </w:r>
          </w:p>
        </w:tc>
      </w:tr>
      <w:tr w:rsidR="007E2A5E" w:rsidRPr="007E2A5E" w14:paraId="694C6CD5" w14:textId="77777777" w:rsidTr="007E2A5E">
        <w:trPr>
          <w:trHeight w:val="260"/>
        </w:trPr>
        <w:tc>
          <w:tcPr>
            <w:tcW w:w="1253" w:type="dxa"/>
            <w:noWrap/>
            <w:hideMark/>
          </w:tcPr>
          <w:p w14:paraId="2E71387A" w14:textId="77777777" w:rsidR="007E2A5E" w:rsidRPr="007E2A5E" w:rsidRDefault="007E2A5E">
            <w:pPr>
              <w:rPr>
                <w:color w:val="000000" w:themeColor="text1"/>
              </w:rPr>
            </w:pPr>
            <w:r w:rsidRPr="007E2A5E">
              <w:rPr>
                <w:color w:val="000000" w:themeColor="text1"/>
              </w:rPr>
              <w:t>Europe</w:t>
            </w:r>
          </w:p>
        </w:tc>
        <w:tc>
          <w:tcPr>
            <w:tcW w:w="1380" w:type="dxa"/>
            <w:noWrap/>
            <w:hideMark/>
          </w:tcPr>
          <w:p w14:paraId="489077B0" w14:textId="77777777" w:rsidR="007E2A5E" w:rsidRPr="007E2A5E" w:rsidRDefault="007E2A5E" w:rsidP="007E2A5E">
            <w:pPr>
              <w:rPr>
                <w:color w:val="000000" w:themeColor="text1"/>
              </w:rPr>
            </w:pPr>
            <w:r w:rsidRPr="007E2A5E">
              <w:rPr>
                <w:color w:val="000000" w:themeColor="text1"/>
              </w:rPr>
              <w:t>7.84</w:t>
            </w:r>
          </w:p>
        </w:tc>
      </w:tr>
      <w:tr w:rsidR="007E2A5E" w:rsidRPr="007E2A5E" w14:paraId="5652C5FE" w14:textId="77777777" w:rsidTr="007E2A5E">
        <w:trPr>
          <w:trHeight w:val="260"/>
        </w:trPr>
        <w:tc>
          <w:tcPr>
            <w:tcW w:w="1253" w:type="dxa"/>
            <w:noWrap/>
            <w:hideMark/>
          </w:tcPr>
          <w:p w14:paraId="33F815AD" w14:textId="77777777" w:rsidR="007E2A5E" w:rsidRPr="007E2A5E" w:rsidRDefault="007E2A5E">
            <w:pPr>
              <w:rPr>
                <w:color w:val="000000" w:themeColor="text1"/>
              </w:rPr>
            </w:pPr>
            <w:r w:rsidRPr="007E2A5E">
              <w:rPr>
                <w:color w:val="000000" w:themeColor="text1"/>
              </w:rPr>
              <w:t>Latin America</w:t>
            </w:r>
          </w:p>
        </w:tc>
        <w:tc>
          <w:tcPr>
            <w:tcW w:w="1380" w:type="dxa"/>
            <w:noWrap/>
            <w:hideMark/>
          </w:tcPr>
          <w:p w14:paraId="4F644FB6" w14:textId="77777777" w:rsidR="007E2A5E" w:rsidRPr="007E2A5E" w:rsidRDefault="007E2A5E" w:rsidP="007E2A5E">
            <w:pPr>
              <w:rPr>
                <w:color w:val="000000" w:themeColor="text1"/>
              </w:rPr>
            </w:pPr>
            <w:r w:rsidRPr="007E2A5E">
              <w:rPr>
                <w:color w:val="000000" w:themeColor="text1"/>
              </w:rPr>
              <w:t>0.05</w:t>
            </w:r>
          </w:p>
        </w:tc>
      </w:tr>
      <w:tr w:rsidR="007E2A5E" w:rsidRPr="007E2A5E" w14:paraId="5BF78F4E" w14:textId="77777777" w:rsidTr="007E2A5E">
        <w:trPr>
          <w:trHeight w:val="260"/>
        </w:trPr>
        <w:tc>
          <w:tcPr>
            <w:tcW w:w="1253" w:type="dxa"/>
            <w:noWrap/>
            <w:hideMark/>
          </w:tcPr>
          <w:p w14:paraId="4082890D" w14:textId="77777777" w:rsidR="007E2A5E" w:rsidRPr="007E2A5E" w:rsidRDefault="007E2A5E">
            <w:pPr>
              <w:rPr>
                <w:color w:val="000000" w:themeColor="text1"/>
              </w:rPr>
            </w:pPr>
            <w:r w:rsidRPr="007E2A5E">
              <w:rPr>
                <w:color w:val="000000" w:themeColor="text1"/>
              </w:rPr>
              <w:t>Asia</w:t>
            </w:r>
          </w:p>
        </w:tc>
        <w:tc>
          <w:tcPr>
            <w:tcW w:w="1380" w:type="dxa"/>
            <w:noWrap/>
            <w:hideMark/>
          </w:tcPr>
          <w:p w14:paraId="6AD08126" w14:textId="77777777" w:rsidR="007E2A5E" w:rsidRPr="007E2A5E" w:rsidRDefault="007E2A5E" w:rsidP="007E2A5E">
            <w:pPr>
              <w:rPr>
                <w:color w:val="000000" w:themeColor="text1"/>
              </w:rPr>
            </w:pPr>
            <w:r w:rsidRPr="007E2A5E">
              <w:rPr>
                <w:color w:val="000000" w:themeColor="text1"/>
              </w:rPr>
              <w:t>0.00</w:t>
            </w:r>
          </w:p>
        </w:tc>
      </w:tr>
    </w:tbl>
    <w:p w14:paraId="33F36995" w14:textId="77777777" w:rsidR="007E2A5E" w:rsidRDefault="007E2A5E">
      <w:pPr>
        <w:rPr>
          <w:color w:val="000000" w:themeColor="text1"/>
        </w:rPr>
      </w:pPr>
    </w:p>
    <w:p w14:paraId="631B23AD" w14:textId="09045E37" w:rsidR="00017DB8" w:rsidRDefault="007E2A5E">
      <w:pPr>
        <w:rPr>
          <w:color w:val="000000" w:themeColor="text1"/>
        </w:rPr>
      </w:pPr>
      <w:r>
        <w:rPr>
          <w:color w:val="000000" w:themeColor="text1"/>
        </w:rPr>
        <w:t>The majority of FRGEX’s investments are in North American firms, with about 8% of its holdings in Europe. As these foreign investments only make up a small portion of the fund’s assets, one can expect that currency risk will not be a large component of the fund’s overall risk.</w:t>
      </w:r>
      <w:r w:rsidR="00017DB8">
        <w:rPr>
          <w:color w:val="000000" w:themeColor="text1"/>
        </w:rPr>
        <w:t xml:space="preserve"> However, this still represents a substantial difference in allocation relative to the fund’s benchmark (Russell 1000 Value), which is almost entirely invested in domestic securities.</w:t>
      </w:r>
    </w:p>
    <w:p w14:paraId="4A9C55A6" w14:textId="77777777" w:rsidR="007E2A5E" w:rsidRDefault="007E2A5E">
      <w:pPr>
        <w:rPr>
          <w:color w:val="000000" w:themeColor="text1"/>
        </w:rPr>
      </w:pPr>
    </w:p>
    <w:p w14:paraId="0093084D" w14:textId="148A3F2A" w:rsidR="007E2A5E" w:rsidRDefault="007E2A5E">
      <w:pPr>
        <w:rPr>
          <w:color w:val="000000" w:themeColor="text1"/>
        </w:rPr>
      </w:pPr>
      <w:r>
        <w:rPr>
          <w:color w:val="000000" w:themeColor="text1"/>
        </w:rPr>
        <w:lastRenderedPageBreak/>
        <w:t>Q5: Morningstar Rating</w:t>
      </w:r>
    </w:p>
    <w:p w14:paraId="16A5DD95" w14:textId="2E28824A" w:rsidR="007E2A5E" w:rsidRDefault="001E56AE">
      <w:pPr>
        <w:rPr>
          <w:color w:val="000000" w:themeColor="text1"/>
        </w:rPr>
      </w:pPr>
      <w:r>
        <w:rPr>
          <w:color w:val="000000" w:themeColor="text1"/>
        </w:rPr>
        <w:t>The Morningstar rating is four stars, which appears high given the past performance of FRGEX. However, the Morningstar rating system ranks funds relative to funds with similar investment styles and weights based on the funds’ recent history, so it is quite likely that FRGEX</w:t>
      </w:r>
      <w:r w:rsidR="00017DB8">
        <w:rPr>
          <w:color w:val="000000" w:themeColor="text1"/>
        </w:rPr>
        <w:t xml:space="preserve"> has still outperformed other Large-cap Value funds, even though the strategy in general has been underperforming.</w:t>
      </w:r>
    </w:p>
    <w:p w14:paraId="74324925" w14:textId="77777777" w:rsidR="007E2A5E" w:rsidRDefault="007E2A5E">
      <w:pPr>
        <w:rPr>
          <w:color w:val="000000" w:themeColor="text1"/>
        </w:rPr>
      </w:pPr>
    </w:p>
    <w:p w14:paraId="051F1D92" w14:textId="28AFDF9E" w:rsidR="007E2A5E" w:rsidRDefault="007E2A5E">
      <w:pPr>
        <w:rPr>
          <w:color w:val="000000" w:themeColor="text1"/>
        </w:rPr>
      </w:pPr>
      <w:r>
        <w:rPr>
          <w:color w:val="000000" w:themeColor="text1"/>
        </w:rPr>
        <w:t>Q6: Appropriate Benchmark</w:t>
      </w:r>
    </w:p>
    <w:p w14:paraId="7E226B10" w14:textId="3E57267C" w:rsidR="007E2A5E" w:rsidRDefault="007E2A5E">
      <w:pPr>
        <w:rPr>
          <w:color w:val="000000" w:themeColor="text1"/>
        </w:rPr>
      </w:pPr>
    </w:p>
    <w:p w14:paraId="306C3039" w14:textId="2B2EE706" w:rsidR="00233574" w:rsidRDefault="00017DB8">
      <w:pPr>
        <w:rPr>
          <w:color w:val="000000" w:themeColor="text1"/>
        </w:rPr>
      </w:pPr>
      <w:r>
        <w:rPr>
          <w:color w:val="000000" w:themeColor="text1"/>
        </w:rPr>
        <w:t>FRGEX lists the</w:t>
      </w:r>
      <w:r w:rsidR="00233574">
        <w:rPr>
          <w:color w:val="000000" w:themeColor="text1"/>
        </w:rPr>
        <w:t xml:space="preserve"> Russell</w:t>
      </w:r>
      <w:r w:rsidR="00C44929">
        <w:rPr>
          <w:color w:val="000000" w:themeColor="text1"/>
        </w:rPr>
        <w:t xml:space="preserve"> 1000 Value ETF</w:t>
      </w:r>
      <w:r>
        <w:rPr>
          <w:color w:val="000000" w:themeColor="text1"/>
        </w:rPr>
        <w:t xml:space="preserve"> as its benchmark, and conducting a risk decomposition in Barra confirms that this benchmark results in an incredibly </w:t>
      </w:r>
      <w:r w:rsidR="0017059D">
        <w:rPr>
          <w:color w:val="000000" w:themeColor="text1"/>
        </w:rPr>
        <w:t>low active risk of 1.76</w:t>
      </w:r>
      <w:r>
        <w:rPr>
          <w:color w:val="000000" w:themeColor="text1"/>
        </w:rPr>
        <w:t>%. Furthermore, the Russell 1000 Value ETF has almost identical sector allocation weights, making the comparison of FRGEX to its benchmark even more straightforward. Indeed, it appears that the managers of FRGEX are working diligently to mirror the composition of their benchmark as closely as possible, as can be seen in the tables below.</w:t>
      </w:r>
    </w:p>
    <w:p w14:paraId="7B66A416" w14:textId="77777777" w:rsidR="00017DB8" w:rsidRDefault="00017DB8">
      <w:pPr>
        <w:rPr>
          <w:color w:val="000000" w:themeColor="text1"/>
        </w:rPr>
      </w:pPr>
    </w:p>
    <w:tbl>
      <w:tblPr>
        <w:tblW w:w="4580" w:type="dxa"/>
        <w:tblCellMar>
          <w:left w:w="0" w:type="dxa"/>
          <w:right w:w="0" w:type="dxa"/>
        </w:tblCellMar>
        <w:tblLook w:val="04A0" w:firstRow="1" w:lastRow="0" w:firstColumn="1" w:lastColumn="0" w:noHBand="0" w:noVBand="1"/>
      </w:tblPr>
      <w:tblGrid>
        <w:gridCol w:w="3280"/>
        <w:gridCol w:w="1300"/>
      </w:tblGrid>
      <w:tr w:rsidR="00C44929" w14:paraId="44AAF196" w14:textId="77777777" w:rsidTr="00C44929">
        <w:trPr>
          <w:trHeight w:val="255"/>
        </w:trPr>
        <w:tc>
          <w:tcPr>
            <w:tcW w:w="3280" w:type="dxa"/>
            <w:tcBorders>
              <w:top w:val="nil"/>
              <w:left w:val="nil"/>
              <w:bottom w:val="nil"/>
              <w:right w:val="nil"/>
            </w:tcBorders>
            <w:shd w:val="clear" w:color="auto" w:fill="auto"/>
            <w:noWrap/>
            <w:tcMar>
              <w:top w:w="15" w:type="dxa"/>
              <w:left w:w="15" w:type="dxa"/>
              <w:bottom w:w="0" w:type="dxa"/>
              <w:right w:w="15" w:type="dxa"/>
            </w:tcMar>
            <w:vAlign w:val="bottom"/>
            <w:hideMark/>
          </w:tcPr>
          <w:p w14:paraId="635343F4" w14:textId="77777777" w:rsidR="00C44929" w:rsidRDefault="00C44929">
            <w:pPr>
              <w:rPr>
                <w:rFonts w:ascii="Arial" w:hAnsi="Arial" w:cs="Arial"/>
                <w:sz w:val="20"/>
                <w:szCs w:val="20"/>
              </w:rPr>
            </w:pPr>
            <w:r>
              <w:rPr>
                <w:rFonts w:ascii="Arial" w:hAnsi="Arial" w:cs="Arial"/>
                <w:sz w:val="20"/>
                <w:szCs w:val="20"/>
              </w:rPr>
              <w:t>Benchmark</w:t>
            </w:r>
          </w:p>
        </w:tc>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0C62C84D" w14:textId="77777777" w:rsidR="00C44929" w:rsidRDefault="00C44929">
            <w:pPr>
              <w:rPr>
                <w:rFonts w:ascii="Arial" w:hAnsi="Arial" w:cs="Arial"/>
                <w:sz w:val="20"/>
                <w:szCs w:val="20"/>
              </w:rPr>
            </w:pPr>
            <w:r>
              <w:rPr>
                <w:rFonts w:ascii="Arial" w:hAnsi="Arial" w:cs="Arial"/>
                <w:sz w:val="20"/>
                <w:szCs w:val="20"/>
              </w:rPr>
              <w:t>Active Risk</w:t>
            </w:r>
          </w:p>
        </w:tc>
      </w:tr>
      <w:tr w:rsidR="00C44929" w14:paraId="48D94FC5" w14:textId="77777777" w:rsidTr="00C44929">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02E97F" w14:textId="77777777" w:rsidR="00C44929" w:rsidRDefault="00C44929">
            <w:pPr>
              <w:rPr>
                <w:rFonts w:ascii="Arial" w:hAnsi="Arial" w:cs="Arial"/>
                <w:sz w:val="20"/>
                <w:szCs w:val="20"/>
              </w:rPr>
            </w:pPr>
            <w:r>
              <w:rPr>
                <w:rFonts w:ascii="Arial" w:hAnsi="Arial" w:cs="Arial"/>
                <w:sz w:val="20"/>
                <w:szCs w:val="20"/>
              </w:rPr>
              <w:t>Ishares Core S&amp;P Small - Cap</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C49D75" w14:textId="77777777" w:rsidR="00C44929" w:rsidRDefault="00C44929">
            <w:pPr>
              <w:jc w:val="right"/>
              <w:rPr>
                <w:rFonts w:ascii="Arial" w:hAnsi="Arial" w:cs="Arial"/>
                <w:sz w:val="20"/>
                <w:szCs w:val="20"/>
              </w:rPr>
            </w:pPr>
            <w:r>
              <w:rPr>
                <w:rFonts w:ascii="Arial" w:hAnsi="Arial" w:cs="Arial"/>
                <w:sz w:val="20"/>
                <w:szCs w:val="20"/>
              </w:rPr>
              <w:t>6.49%</w:t>
            </w:r>
          </w:p>
        </w:tc>
      </w:tr>
      <w:tr w:rsidR="00C44929" w14:paraId="7A1DC9B3" w14:textId="77777777" w:rsidTr="00C44929">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6103B" w14:textId="77777777" w:rsidR="00C44929" w:rsidRDefault="00C44929">
            <w:pPr>
              <w:rPr>
                <w:rFonts w:ascii="Arial" w:hAnsi="Arial" w:cs="Arial"/>
                <w:sz w:val="20"/>
                <w:szCs w:val="20"/>
              </w:rPr>
            </w:pPr>
            <w:r>
              <w:rPr>
                <w:rFonts w:ascii="Arial" w:hAnsi="Arial" w:cs="Arial"/>
                <w:sz w:val="20"/>
                <w:szCs w:val="20"/>
              </w:rPr>
              <w:t xml:space="preserve">Russell 1000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399534" w14:textId="77777777" w:rsidR="00C44929" w:rsidRDefault="00C44929">
            <w:pPr>
              <w:jc w:val="right"/>
              <w:rPr>
                <w:rFonts w:ascii="Arial" w:hAnsi="Arial" w:cs="Arial"/>
                <w:sz w:val="20"/>
                <w:szCs w:val="20"/>
              </w:rPr>
            </w:pPr>
            <w:r>
              <w:rPr>
                <w:rFonts w:ascii="Arial" w:hAnsi="Arial" w:cs="Arial"/>
                <w:sz w:val="20"/>
                <w:szCs w:val="20"/>
              </w:rPr>
              <w:t>3.50%</w:t>
            </w:r>
          </w:p>
        </w:tc>
      </w:tr>
      <w:tr w:rsidR="00C44929" w14:paraId="672CAADE" w14:textId="77777777" w:rsidTr="00C44929">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CFC1C0" w14:textId="77777777" w:rsidR="00C44929" w:rsidRDefault="00C44929">
            <w:pPr>
              <w:rPr>
                <w:rFonts w:ascii="Arial" w:hAnsi="Arial" w:cs="Arial"/>
                <w:sz w:val="20"/>
                <w:szCs w:val="20"/>
              </w:rPr>
            </w:pPr>
            <w:r>
              <w:rPr>
                <w:rFonts w:ascii="Arial" w:hAnsi="Arial" w:cs="Arial"/>
                <w:sz w:val="20"/>
                <w:szCs w:val="20"/>
              </w:rPr>
              <w:t>Russell 1000 Value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8C7FB" w14:textId="77777777" w:rsidR="00C44929" w:rsidRDefault="00C44929">
            <w:pPr>
              <w:jc w:val="right"/>
              <w:rPr>
                <w:rFonts w:ascii="Arial" w:hAnsi="Arial" w:cs="Arial"/>
                <w:sz w:val="20"/>
                <w:szCs w:val="20"/>
              </w:rPr>
            </w:pPr>
            <w:r>
              <w:rPr>
                <w:rFonts w:ascii="Arial" w:hAnsi="Arial" w:cs="Arial"/>
                <w:sz w:val="20"/>
                <w:szCs w:val="20"/>
              </w:rPr>
              <w:t>1.76%</w:t>
            </w:r>
          </w:p>
        </w:tc>
      </w:tr>
      <w:tr w:rsidR="00C44929" w14:paraId="0976E711" w14:textId="77777777" w:rsidTr="00C44929">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A3F9D0" w14:textId="77777777" w:rsidR="00C44929" w:rsidRDefault="00C44929">
            <w:pPr>
              <w:rPr>
                <w:rFonts w:ascii="Arial" w:hAnsi="Arial" w:cs="Arial"/>
                <w:sz w:val="20"/>
                <w:szCs w:val="20"/>
              </w:rPr>
            </w:pPr>
            <w:r>
              <w:rPr>
                <w:rFonts w:ascii="Arial" w:hAnsi="Arial" w:cs="Arial"/>
                <w:sz w:val="20"/>
                <w:szCs w:val="20"/>
              </w:rPr>
              <w:t>Russell 2000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B3815F" w14:textId="77777777" w:rsidR="00C44929" w:rsidRDefault="00C44929">
            <w:pPr>
              <w:jc w:val="right"/>
              <w:rPr>
                <w:rFonts w:ascii="Arial" w:hAnsi="Arial" w:cs="Arial"/>
                <w:sz w:val="20"/>
                <w:szCs w:val="20"/>
              </w:rPr>
            </w:pPr>
            <w:r>
              <w:rPr>
                <w:rFonts w:ascii="Arial" w:hAnsi="Arial" w:cs="Arial"/>
                <w:sz w:val="20"/>
                <w:szCs w:val="20"/>
              </w:rPr>
              <w:t>6.89%</w:t>
            </w:r>
          </w:p>
        </w:tc>
      </w:tr>
      <w:tr w:rsidR="00C44929" w14:paraId="21E8EB1B" w14:textId="77777777" w:rsidTr="00C44929">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8B2A94" w14:textId="77777777" w:rsidR="00C44929" w:rsidRDefault="00C44929">
            <w:pPr>
              <w:rPr>
                <w:rFonts w:ascii="Arial" w:hAnsi="Arial" w:cs="Arial"/>
                <w:sz w:val="20"/>
                <w:szCs w:val="20"/>
              </w:rPr>
            </w:pPr>
            <w:r>
              <w:rPr>
                <w:rFonts w:ascii="Arial" w:hAnsi="Arial" w:cs="Arial"/>
                <w:sz w:val="20"/>
                <w:szCs w:val="20"/>
              </w:rPr>
              <w:t>S&amp;P 500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D3A78" w14:textId="77777777" w:rsidR="00C44929" w:rsidRDefault="00C44929">
            <w:pPr>
              <w:jc w:val="right"/>
              <w:rPr>
                <w:rFonts w:ascii="Arial" w:hAnsi="Arial" w:cs="Arial"/>
                <w:sz w:val="20"/>
                <w:szCs w:val="20"/>
              </w:rPr>
            </w:pPr>
            <w:r>
              <w:rPr>
                <w:rFonts w:ascii="Arial" w:hAnsi="Arial" w:cs="Arial"/>
                <w:sz w:val="20"/>
                <w:szCs w:val="20"/>
              </w:rPr>
              <w:t>3.76%</w:t>
            </w:r>
          </w:p>
        </w:tc>
      </w:tr>
      <w:tr w:rsidR="00C44929" w14:paraId="0AA0D2DB" w14:textId="77777777" w:rsidTr="00C44929">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9038A8" w14:textId="77777777" w:rsidR="00C44929" w:rsidRDefault="00C44929">
            <w:pPr>
              <w:rPr>
                <w:rFonts w:ascii="Arial" w:hAnsi="Arial" w:cs="Arial"/>
                <w:sz w:val="20"/>
                <w:szCs w:val="20"/>
              </w:rPr>
            </w:pPr>
            <w:r>
              <w:rPr>
                <w:rFonts w:ascii="Arial" w:hAnsi="Arial" w:cs="Arial"/>
                <w:sz w:val="20"/>
                <w:szCs w:val="20"/>
              </w:rPr>
              <w:t>S &amp; P Midcap 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DA7AAB" w14:textId="77777777" w:rsidR="00C44929" w:rsidRDefault="00C44929">
            <w:pPr>
              <w:jc w:val="right"/>
              <w:rPr>
                <w:rFonts w:ascii="Arial" w:hAnsi="Arial" w:cs="Arial"/>
                <w:sz w:val="20"/>
                <w:szCs w:val="20"/>
              </w:rPr>
            </w:pPr>
            <w:r>
              <w:rPr>
                <w:rFonts w:ascii="Arial" w:hAnsi="Arial" w:cs="Arial"/>
                <w:sz w:val="20"/>
                <w:szCs w:val="20"/>
              </w:rPr>
              <w:t>4.70%</w:t>
            </w:r>
          </w:p>
        </w:tc>
      </w:tr>
    </w:tbl>
    <w:p w14:paraId="3BC2F547" w14:textId="77777777" w:rsidR="00BA0CEA" w:rsidRDefault="00BA0CEA">
      <w:pPr>
        <w:rPr>
          <w:color w:val="000000" w:themeColor="text1"/>
        </w:rPr>
      </w:pPr>
    </w:p>
    <w:p w14:paraId="079F0D6B" w14:textId="77777777" w:rsidR="00017DB8" w:rsidRPr="00576BD8" w:rsidRDefault="00017DB8"/>
    <w:p w14:paraId="41487365" w14:textId="77777777" w:rsidR="00BA0CEA" w:rsidRPr="00576BD8" w:rsidRDefault="00795B16">
      <w:r w:rsidRPr="00576BD8">
        <w:t>6. Benchmark - Russell 1000 Value TR USD</w:t>
      </w:r>
    </w:p>
    <w:p w14:paraId="137FB1ED" w14:textId="77777777" w:rsidR="00BA0CEA" w:rsidRPr="00576BD8" w:rsidRDefault="00795B16">
      <w:r w:rsidRPr="00576BD8">
        <w:rPr>
          <w:noProof/>
        </w:rPr>
        <w:drawing>
          <wp:inline distT="114300" distB="114300" distL="114300" distR="114300" wp14:anchorId="7B3BC19E" wp14:editId="3E7FC8BA">
            <wp:extent cx="5943600" cy="19558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5943600" cy="1955800"/>
                    </a:xfrm>
                    <a:prstGeom prst="rect">
                      <a:avLst/>
                    </a:prstGeom>
                    <a:ln/>
                  </pic:spPr>
                </pic:pic>
              </a:graphicData>
            </a:graphic>
          </wp:inline>
        </w:drawing>
      </w:r>
    </w:p>
    <w:p w14:paraId="24D98879" w14:textId="77777777" w:rsidR="00BA0CEA" w:rsidRPr="00576BD8" w:rsidRDefault="00BA0CEA"/>
    <w:p w14:paraId="48554659" w14:textId="77777777" w:rsidR="00BA0CEA" w:rsidRPr="00576BD8" w:rsidRDefault="00BA0CEA"/>
    <w:p w14:paraId="0A78AD9C" w14:textId="77777777" w:rsidR="00BA0CEA" w:rsidRPr="00576BD8" w:rsidRDefault="00795B16">
      <w:r w:rsidRPr="00576BD8">
        <w:t>Sector Weights for FGREX</w:t>
      </w:r>
    </w:p>
    <w:p w14:paraId="5678FCF8" w14:textId="77777777" w:rsidR="007C2EFE" w:rsidRDefault="00795B16">
      <w:r w:rsidRPr="00576BD8">
        <w:rPr>
          <w:noProof/>
        </w:rPr>
        <w:lastRenderedPageBreak/>
        <w:drawing>
          <wp:inline distT="114300" distB="114300" distL="114300" distR="114300" wp14:anchorId="47446B00" wp14:editId="26C9BA44">
            <wp:extent cx="3133725" cy="2886075"/>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6"/>
                    <a:srcRect/>
                    <a:stretch>
                      <a:fillRect/>
                    </a:stretch>
                  </pic:blipFill>
                  <pic:spPr>
                    <a:xfrm>
                      <a:off x="0" y="0"/>
                      <a:ext cx="3133725" cy="2886075"/>
                    </a:xfrm>
                    <a:prstGeom prst="rect">
                      <a:avLst/>
                    </a:prstGeom>
                    <a:ln/>
                  </pic:spPr>
                </pic:pic>
              </a:graphicData>
            </a:graphic>
          </wp:inline>
        </w:drawing>
      </w:r>
    </w:p>
    <w:p w14:paraId="23FFCCB1" w14:textId="55119D12" w:rsidR="007C2EFE" w:rsidRDefault="007C2EFE">
      <w:r>
        <w:t>Sector Weights Russell 1000 Value</w:t>
      </w:r>
    </w:p>
    <w:p w14:paraId="149FE49A" w14:textId="77777777" w:rsidR="007C2EFE" w:rsidRPr="00576BD8" w:rsidRDefault="007C2EFE"/>
    <w:tbl>
      <w:tblPr>
        <w:tblW w:w="4695" w:type="dxa"/>
        <w:shd w:val="clear" w:color="auto" w:fill="FFFFFF"/>
        <w:tblCellMar>
          <w:top w:w="15" w:type="dxa"/>
          <w:left w:w="15" w:type="dxa"/>
          <w:bottom w:w="15" w:type="dxa"/>
          <w:right w:w="15" w:type="dxa"/>
        </w:tblCellMar>
        <w:tblLook w:val="04A0" w:firstRow="1" w:lastRow="0" w:firstColumn="1" w:lastColumn="0" w:noHBand="0" w:noVBand="1"/>
      </w:tblPr>
      <w:tblGrid>
        <w:gridCol w:w="2106"/>
        <w:gridCol w:w="688"/>
        <w:gridCol w:w="688"/>
        <w:gridCol w:w="745"/>
        <w:gridCol w:w="651"/>
      </w:tblGrid>
      <w:tr w:rsidR="007C2EFE" w:rsidRPr="007C2EFE" w14:paraId="0F39FAD7" w14:textId="77777777" w:rsidTr="007C2EFE">
        <w:trPr>
          <w:tblHeader/>
        </w:trPr>
        <w:tc>
          <w:tcPr>
            <w:tcW w:w="0" w:type="auto"/>
            <w:tcBorders>
              <w:top w:val="single" w:sz="6" w:space="0" w:color="C8C8C8"/>
              <w:left w:val="single" w:sz="6" w:space="0" w:color="C8C8C8"/>
              <w:bottom w:val="single" w:sz="6" w:space="0" w:color="C8C8C8"/>
              <w:right w:val="single" w:sz="6" w:space="0" w:color="E1E1E1"/>
            </w:tcBorders>
            <w:shd w:val="clear" w:color="auto" w:fill="E1E1E1"/>
            <w:tcMar>
              <w:top w:w="30" w:type="dxa"/>
              <w:left w:w="75" w:type="dxa"/>
              <w:bottom w:w="30" w:type="dxa"/>
              <w:right w:w="150" w:type="dxa"/>
            </w:tcMar>
            <w:vAlign w:val="bottom"/>
            <w:hideMark/>
          </w:tcPr>
          <w:p w14:paraId="7A8D9480" w14:textId="4B6CCA0C" w:rsidR="007C2EFE" w:rsidRPr="007C2EFE" w:rsidRDefault="00531BB0" w:rsidP="007C2EFE">
            <w:pPr>
              <w:rPr>
                <w:rFonts w:ascii="Arial" w:eastAsia="Times New Roman" w:hAnsi="Arial" w:cs="Arial"/>
                <w:color w:val="000000"/>
                <w:sz w:val="17"/>
                <w:szCs w:val="17"/>
              </w:rPr>
            </w:pPr>
            <w:r>
              <w:rPr>
                <w:rFonts w:ascii="Arial" w:eastAsia="Times New Roman" w:hAnsi="Arial" w:cs="Arial"/>
                <w:color w:val="000000"/>
                <w:sz w:val="17"/>
                <w:szCs w:val="17"/>
              </w:rPr>
              <w:t>S</w:t>
            </w:r>
            <w:r w:rsidR="007C2EFE" w:rsidRPr="007C2EFE">
              <w:rPr>
                <w:rFonts w:ascii="Arial" w:eastAsia="Times New Roman" w:hAnsi="Arial" w:cs="Arial"/>
                <w:color w:val="000000"/>
                <w:sz w:val="17"/>
                <w:szCs w:val="17"/>
              </w:rPr>
              <w:t>ector</w:t>
            </w:r>
          </w:p>
        </w:tc>
        <w:tc>
          <w:tcPr>
            <w:tcW w:w="0" w:type="auto"/>
            <w:tcBorders>
              <w:top w:val="single" w:sz="6" w:space="0" w:color="C8C8C8"/>
              <w:left w:val="single" w:sz="6" w:space="0" w:color="E1E1E1"/>
              <w:bottom w:val="single" w:sz="6" w:space="0" w:color="C8C8C8"/>
              <w:right w:val="single" w:sz="6" w:space="0" w:color="E1E1E1"/>
            </w:tcBorders>
            <w:shd w:val="clear" w:color="auto" w:fill="E1E1E1"/>
            <w:tcMar>
              <w:top w:w="30" w:type="dxa"/>
              <w:left w:w="75" w:type="dxa"/>
              <w:bottom w:w="30" w:type="dxa"/>
              <w:right w:w="150" w:type="dxa"/>
            </w:tcMar>
            <w:vAlign w:val="bottom"/>
            <w:hideMark/>
          </w:tcPr>
          <w:p w14:paraId="2486ED9C"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%Port</w:t>
            </w:r>
          </w:p>
        </w:tc>
        <w:tc>
          <w:tcPr>
            <w:tcW w:w="0" w:type="auto"/>
            <w:tcBorders>
              <w:top w:val="single" w:sz="6" w:space="0" w:color="C8C8C8"/>
              <w:left w:val="single" w:sz="6" w:space="0" w:color="E1E1E1"/>
              <w:bottom w:val="single" w:sz="6" w:space="0" w:color="C8C8C8"/>
              <w:right w:val="single" w:sz="6" w:space="0" w:color="E1E1E1"/>
            </w:tcBorders>
            <w:shd w:val="clear" w:color="auto" w:fill="E1E1E1"/>
            <w:tcMar>
              <w:top w:w="30" w:type="dxa"/>
              <w:left w:w="75" w:type="dxa"/>
              <w:bottom w:w="30" w:type="dxa"/>
              <w:right w:w="150" w:type="dxa"/>
            </w:tcMar>
            <w:vAlign w:val="bottom"/>
            <w:hideMark/>
          </w:tcPr>
          <w:p w14:paraId="67563DEE"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%Port Chg [6M]</w:t>
            </w:r>
          </w:p>
        </w:tc>
        <w:tc>
          <w:tcPr>
            <w:tcW w:w="0" w:type="auto"/>
            <w:tcBorders>
              <w:top w:val="single" w:sz="6" w:space="0" w:color="C8C8C8"/>
              <w:left w:val="single" w:sz="6" w:space="0" w:color="E1E1E1"/>
              <w:bottom w:val="single" w:sz="6" w:space="0" w:color="C8C8C8"/>
              <w:right w:val="single" w:sz="6" w:space="0" w:color="E1E1E1"/>
            </w:tcBorders>
            <w:shd w:val="clear" w:color="auto" w:fill="E1E1E1"/>
            <w:tcMar>
              <w:top w:w="30" w:type="dxa"/>
              <w:left w:w="75" w:type="dxa"/>
              <w:bottom w:w="30" w:type="dxa"/>
              <w:right w:w="150" w:type="dxa"/>
            </w:tcMar>
            <w:vAlign w:val="bottom"/>
            <w:hideMark/>
          </w:tcPr>
          <w:p w14:paraId="7292BF81"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Mkt Val (MM)</w:t>
            </w:r>
          </w:p>
        </w:tc>
        <w:tc>
          <w:tcPr>
            <w:tcW w:w="0" w:type="auto"/>
            <w:tcBorders>
              <w:top w:val="single" w:sz="6" w:space="0" w:color="C8C8C8"/>
              <w:left w:val="single" w:sz="6" w:space="0" w:color="E1E1E1"/>
              <w:bottom w:val="single" w:sz="6" w:space="0" w:color="C8C8C8"/>
              <w:right w:val="single" w:sz="6" w:space="0" w:color="C8C8C8"/>
            </w:tcBorders>
            <w:shd w:val="clear" w:color="auto" w:fill="E1E1E1"/>
            <w:tcMar>
              <w:top w:w="30" w:type="dxa"/>
              <w:left w:w="75" w:type="dxa"/>
              <w:bottom w:w="30" w:type="dxa"/>
              <w:right w:w="150" w:type="dxa"/>
            </w:tcMar>
            <w:vAlign w:val="bottom"/>
            <w:hideMark/>
          </w:tcPr>
          <w:p w14:paraId="02C9B539"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Mkt Val Chg (MM) [6M]</w:t>
            </w:r>
          </w:p>
        </w:tc>
      </w:tr>
      <w:tr w:rsidR="007C2EFE" w:rsidRPr="007C2EFE" w14:paraId="4DB34B0C" w14:textId="77777777" w:rsidTr="007C2EFE">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3E58C740"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Finance</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6EE0B51E"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25.4</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3D913C0E" w14:textId="77777777" w:rsidR="007C2EFE" w:rsidRPr="007C2EFE" w:rsidRDefault="007C2EFE" w:rsidP="007C2EFE">
            <w:pPr>
              <w:jc w:val="right"/>
              <w:rPr>
                <w:rFonts w:ascii="Arial" w:eastAsia="Times New Roman" w:hAnsi="Arial" w:cs="Arial"/>
                <w:color w:val="FF0000"/>
                <w:sz w:val="17"/>
                <w:szCs w:val="17"/>
              </w:rPr>
            </w:pPr>
            <w:r w:rsidRPr="007C2EFE">
              <w:rPr>
                <w:rFonts w:ascii="Arial" w:eastAsia="Times New Roman" w:hAnsi="Arial" w:cs="Arial"/>
                <w:color w:val="FF0000"/>
                <w:sz w:val="17"/>
                <w:szCs w:val="17"/>
              </w:rPr>
              <w:t>-2.52</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07B9BE2E"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6,529</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7BC19D0F"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473</w:t>
            </w:r>
          </w:p>
        </w:tc>
      </w:tr>
      <w:tr w:rsidR="007C2EFE" w:rsidRPr="007C2EFE" w14:paraId="60000292" w14:textId="77777777" w:rsidTr="007C2EFE">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7252FC46"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Health Technology</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74A4FF5D"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10.5</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78E58F63"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0.55</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19BACBDE"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2,694</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2E2BC3B7"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154</w:t>
            </w:r>
          </w:p>
        </w:tc>
      </w:tr>
      <w:tr w:rsidR="007C2EFE" w:rsidRPr="007C2EFE" w14:paraId="0198F802" w14:textId="77777777" w:rsidTr="007C2EFE">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7B6F72A0"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Energy Minerals</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7D8D7149"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9.9</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364005D1"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0.10</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12BE5FC"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2,558</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1C22E431"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149</w:t>
            </w:r>
          </w:p>
        </w:tc>
      </w:tr>
      <w:tr w:rsidR="007C2EFE" w:rsidRPr="007C2EFE" w14:paraId="3E69282C" w14:textId="77777777" w:rsidTr="007C2EFE">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646F0DC9"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Producer Manufacturing</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1370C68B"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9.4</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687D7E5D"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0.57</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316594A5"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2,409</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21045622"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83</w:t>
            </w:r>
          </w:p>
        </w:tc>
      </w:tr>
      <w:tr w:rsidR="007C2EFE" w:rsidRPr="007C2EFE" w14:paraId="5F093C81" w14:textId="77777777" w:rsidTr="007C2EFE">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6337074F"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Electronic Technology</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1204E0B"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8.1</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F5EEEDC" w14:textId="77777777" w:rsidR="007C2EFE" w:rsidRPr="007C2EFE" w:rsidRDefault="007C2EFE" w:rsidP="007C2EFE">
            <w:pPr>
              <w:jc w:val="right"/>
              <w:rPr>
                <w:rFonts w:ascii="Arial" w:eastAsia="Times New Roman" w:hAnsi="Arial" w:cs="Arial"/>
                <w:color w:val="FF0000"/>
                <w:sz w:val="17"/>
                <w:szCs w:val="17"/>
              </w:rPr>
            </w:pPr>
            <w:r w:rsidRPr="007C2EFE">
              <w:rPr>
                <w:rFonts w:ascii="Arial" w:eastAsia="Times New Roman" w:hAnsi="Arial" w:cs="Arial"/>
                <w:color w:val="FF0000"/>
                <w:sz w:val="17"/>
                <w:szCs w:val="17"/>
              </w:rPr>
              <w:t>-0.38</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7FE5938"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2,075</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3B19761"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215</w:t>
            </w:r>
          </w:p>
        </w:tc>
      </w:tr>
      <w:tr w:rsidR="007C2EFE" w:rsidRPr="007C2EFE" w14:paraId="30F069DB" w14:textId="77777777" w:rsidTr="007C2EFE">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0062F9A8"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Utilities</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70105EDF"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7.2</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3F147DBC"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0.66</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10286CBE"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1,849</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79E06786"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115</w:t>
            </w:r>
          </w:p>
        </w:tc>
      </w:tr>
      <w:tr w:rsidR="007C2EFE" w:rsidRPr="007C2EFE" w14:paraId="407924B4" w14:textId="77777777" w:rsidTr="007C2EFE">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1219B8E0"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Consumer Non-Durables</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7FD61355"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5.2</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2B0994A"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0.49</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BF59DFF"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1,340</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78BB31F9"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77</w:t>
            </w:r>
          </w:p>
        </w:tc>
      </w:tr>
      <w:tr w:rsidR="007C2EFE" w:rsidRPr="007C2EFE" w14:paraId="2D030B9C" w14:textId="77777777" w:rsidTr="007C2EFE">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0281E1FD"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Technology Services</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4BC75D28"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4.3</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3A4DB4DB"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0.40</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52200090"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1,103</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30C26756"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72</w:t>
            </w:r>
          </w:p>
        </w:tc>
      </w:tr>
      <w:tr w:rsidR="007C2EFE" w:rsidRPr="007C2EFE" w14:paraId="7DCEC799" w14:textId="77777777" w:rsidTr="007C2EFE">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68E13071"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Industrial Services</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220C57EA"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3.2</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4E955EF5" w14:textId="77777777" w:rsidR="007C2EFE" w:rsidRPr="007C2EFE" w:rsidRDefault="007C2EFE" w:rsidP="007C2EFE">
            <w:pPr>
              <w:jc w:val="right"/>
              <w:rPr>
                <w:rFonts w:ascii="Arial" w:eastAsia="Times New Roman" w:hAnsi="Arial" w:cs="Arial"/>
                <w:color w:val="FF0000"/>
                <w:sz w:val="17"/>
                <w:szCs w:val="17"/>
              </w:rPr>
            </w:pPr>
            <w:r w:rsidRPr="007C2EFE">
              <w:rPr>
                <w:rFonts w:ascii="Arial" w:eastAsia="Times New Roman" w:hAnsi="Arial" w:cs="Arial"/>
                <w:color w:val="FF0000"/>
                <w:sz w:val="17"/>
                <w:szCs w:val="17"/>
              </w:rPr>
              <w:t>-0.29</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5368CAA0"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815</w:t>
            </w:r>
          </w:p>
        </w:tc>
        <w:tc>
          <w:tcPr>
            <w:tcW w:w="0" w:type="auto"/>
            <w:tcBorders>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76322BFF"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49</w:t>
            </w:r>
          </w:p>
        </w:tc>
      </w:tr>
      <w:tr w:rsidR="007C2EFE" w:rsidRPr="007C2EFE" w14:paraId="4D2D6071" w14:textId="77777777" w:rsidTr="007C2EFE">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00CC436E" w14:textId="77777777" w:rsidR="007C2EFE" w:rsidRPr="007C2EFE" w:rsidRDefault="007C2EFE" w:rsidP="007C2EFE">
            <w:pPr>
              <w:rPr>
                <w:rFonts w:ascii="Arial" w:eastAsia="Times New Roman" w:hAnsi="Arial" w:cs="Arial"/>
                <w:color w:val="000000"/>
                <w:sz w:val="17"/>
                <w:szCs w:val="17"/>
              </w:rPr>
            </w:pPr>
            <w:r w:rsidRPr="007C2EFE">
              <w:rPr>
                <w:rFonts w:ascii="Arial" w:eastAsia="Times New Roman" w:hAnsi="Arial" w:cs="Arial"/>
                <w:color w:val="000000"/>
                <w:sz w:val="17"/>
                <w:szCs w:val="17"/>
              </w:rPr>
              <w:t>Retail Trade</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37437667"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3.0</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3222240A" w14:textId="77777777" w:rsidR="007C2EFE" w:rsidRPr="007C2EFE" w:rsidRDefault="007C2EFE" w:rsidP="007C2EFE">
            <w:pPr>
              <w:jc w:val="right"/>
              <w:rPr>
                <w:rFonts w:ascii="Arial" w:eastAsia="Times New Roman" w:hAnsi="Arial" w:cs="Arial"/>
                <w:color w:val="FF0000"/>
                <w:sz w:val="17"/>
                <w:szCs w:val="17"/>
              </w:rPr>
            </w:pPr>
            <w:r w:rsidRPr="007C2EFE">
              <w:rPr>
                <w:rFonts w:ascii="Arial" w:eastAsia="Times New Roman" w:hAnsi="Arial" w:cs="Arial"/>
                <w:color w:val="FF0000"/>
                <w:sz w:val="17"/>
                <w:szCs w:val="17"/>
              </w:rPr>
              <w:t>-0.06</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62CD51AC" w14:textId="77777777" w:rsidR="007C2EFE" w:rsidRPr="007C2EFE" w:rsidRDefault="007C2EFE" w:rsidP="007C2EFE">
            <w:pPr>
              <w:jc w:val="right"/>
              <w:rPr>
                <w:rFonts w:ascii="Arial" w:eastAsia="Times New Roman" w:hAnsi="Arial" w:cs="Arial"/>
                <w:color w:val="000000"/>
                <w:sz w:val="17"/>
                <w:szCs w:val="17"/>
              </w:rPr>
            </w:pPr>
            <w:r w:rsidRPr="007C2EFE">
              <w:rPr>
                <w:rFonts w:ascii="Arial" w:eastAsia="Times New Roman" w:hAnsi="Arial" w:cs="Arial"/>
                <w:color w:val="000000"/>
                <w:sz w:val="17"/>
                <w:szCs w:val="17"/>
              </w:rPr>
              <w:t>779</w:t>
            </w:r>
          </w:p>
        </w:tc>
        <w:tc>
          <w:tcPr>
            <w:tcW w:w="0" w:type="auto"/>
            <w:tcBorders>
              <w:left w:val="single" w:sz="6" w:space="0" w:color="E1E1E1"/>
              <w:right w:val="single" w:sz="6" w:space="0" w:color="E1E1E1"/>
            </w:tcBorders>
            <w:shd w:val="clear" w:color="auto" w:fill="F0F0F0"/>
            <w:noWrap/>
            <w:tcMar>
              <w:top w:w="30" w:type="dxa"/>
              <w:left w:w="75" w:type="dxa"/>
              <w:bottom w:w="30" w:type="dxa"/>
              <w:right w:w="150" w:type="dxa"/>
            </w:tcMar>
            <w:vAlign w:val="center"/>
            <w:hideMark/>
          </w:tcPr>
          <w:p w14:paraId="79C31C9B" w14:textId="77777777" w:rsidR="007C2EFE" w:rsidRPr="007C2EFE" w:rsidRDefault="007C2EFE" w:rsidP="007C2EFE">
            <w:pPr>
              <w:jc w:val="right"/>
              <w:rPr>
                <w:rFonts w:ascii="Arial" w:eastAsia="Times New Roman" w:hAnsi="Arial" w:cs="Arial"/>
                <w:color w:val="339900"/>
                <w:sz w:val="17"/>
                <w:szCs w:val="17"/>
              </w:rPr>
            </w:pPr>
            <w:r w:rsidRPr="007C2EFE">
              <w:rPr>
                <w:rFonts w:ascii="Arial" w:eastAsia="Times New Roman" w:hAnsi="Arial" w:cs="Arial"/>
                <w:color w:val="339900"/>
                <w:sz w:val="17"/>
                <w:szCs w:val="17"/>
              </w:rPr>
              <w:t>41</w:t>
            </w:r>
          </w:p>
        </w:tc>
      </w:tr>
      <w:tr w:rsidR="007C2EFE" w:rsidRPr="007C2EFE" w14:paraId="5DD73457" w14:textId="77777777" w:rsidTr="007C2EFE">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60D9ABE3" w14:textId="77777777" w:rsidR="007C2EFE" w:rsidRPr="007C2EFE" w:rsidRDefault="007C2EFE" w:rsidP="007C2EFE">
            <w:pPr>
              <w:rPr>
                <w:rFonts w:ascii="Arial" w:eastAsia="Times New Roman" w:hAnsi="Arial" w:cs="Arial"/>
                <w:b/>
                <w:bCs/>
                <w:color w:val="000000"/>
                <w:sz w:val="17"/>
                <w:szCs w:val="17"/>
              </w:rPr>
            </w:pPr>
            <w:r w:rsidRPr="007C2EFE">
              <w:rPr>
                <w:rFonts w:ascii="Arial" w:eastAsia="Times New Roman" w:hAnsi="Arial" w:cs="Arial"/>
                <w:b/>
                <w:bCs/>
                <w:color w:val="000000"/>
                <w:sz w:val="17"/>
                <w:szCs w:val="17"/>
              </w:rPr>
              <w:t>Total</w:t>
            </w:r>
          </w:p>
        </w:tc>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19A3FF54" w14:textId="77777777" w:rsidR="007C2EFE" w:rsidRPr="007C2EFE" w:rsidRDefault="007C2EFE" w:rsidP="007C2EFE">
            <w:pPr>
              <w:jc w:val="right"/>
              <w:rPr>
                <w:rFonts w:ascii="Arial" w:eastAsia="Times New Roman" w:hAnsi="Arial" w:cs="Arial"/>
                <w:b/>
                <w:bCs/>
                <w:color w:val="000000"/>
                <w:sz w:val="17"/>
                <w:szCs w:val="17"/>
              </w:rPr>
            </w:pPr>
            <w:r w:rsidRPr="007C2EFE">
              <w:rPr>
                <w:rFonts w:ascii="Arial" w:eastAsia="Times New Roman" w:hAnsi="Arial" w:cs="Arial"/>
                <w:b/>
                <w:bCs/>
                <w:color w:val="000000"/>
                <w:sz w:val="17"/>
                <w:szCs w:val="17"/>
              </w:rPr>
              <w:t>86.1</w:t>
            </w:r>
          </w:p>
        </w:tc>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43870784" w14:textId="77777777" w:rsidR="007C2EFE" w:rsidRPr="007C2EFE" w:rsidRDefault="007C2EFE" w:rsidP="007C2EFE">
            <w:pPr>
              <w:jc w:val="right"/>
              <w:rPr>
                <w:rFonts w:ascii="Arial" w:eastAsia="Times New Roman" w:hAnsi="Arial" w:cs="Arial"/>
                <w:b/>
                <w:bCs/>
                <w:color w:val="FF0000"/>
                <w:sz w:val="17"/>
                <w:szCs w:val="17"/>
              </w:rPr>
            </w:pPr>
            <w:r w:rsidRPr="007C2EFE">
              <w:rPr>
                <w:rFonts w:ascii="Arial" w:eastAsia="Times New Roman" w:hAnsi="Arial" w:cs="Arial"/>
                <w:b/>
                <w:bCs/>
                <w:color w:val="FF0000"/>
                <w:sz w:val="17"/>
                <w:szCs w:val="17"/>
              </w:rPr>
              <w:t>-0.48</w:t>
            </w:r>
          </w:p>
        </w:tc>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2E38302A" w14:textId="77777777" w:rsidR="007C2EFE" w:rsidRPr="007C2EFE" w:rsidRDefault="007C2EFE" w:rsidP="007C2EFE">
            <w:pPr>
              <w:jc w:val="right"/>
              <w:rPr>
                <w:rFonts w:ascii="Arial" w:eastAsia="Times New Roman" w:hAnsi="Arial" w:cs="Arial"/>
                <w:b/>
                <w:bCs/>
                <w:color w:val="000000"/>
                <w:sz w:val="17"/>
                <w:szCs w:val="17"/>
              </w:rPr>
            </w:pPr>
            <w:r w:rsidRPr="007C2EFE">
              <w:rPr>
                <w:rFonts w:ascii="Arial" w:eastAsia="Times New Roman" w:hAnsi="Arial" w:cs="Arial"/>
                <w:b/>
                <w:bCs/>
                <w:color w:val="000000"/>
                <w:sz w:val="17"/>
                <w:szCs w:val="17"/>
              </w:rPr>
              <w:t>22,151</w:t>
            </w:r>
          </w:p>
        </w:tc>
        <w:tc>
          <w:tcPr>
            <w:tcW w:w="0" w:type="auto"/>
            <w:tcBorders>
              <w:top w:val="single" w:sz="6" w:space="0" w:color="969696"/>
              <w:left w:val="single" w:sz="6" w:space="0" w:color="E1E1E1"/>
              <w:right w:val="single" w:sz="6" w:space="0" w:color="E1E1E1"/>
            </w:tcBorders>
            <w:shd w:val="clear" w:color="auto" w:fill="FFFFFF"/>
            <w:noWrap/>
            <w:tcMar>
              <w:top w:w="30" w:type="dxa"/>
              <w:left w:w="75" w:type="dxa"/>
              <w:bottom w:w="30" w:type="dxa"/>
              <w:right w:w="150" w:type="dxa"/>
            </w:tcMar>
            <w:vAlign w:val="center"/>
            <w:hideMark/>
          </w:tcPr>
          <w:p w14:paraId="3C9C9399" w14:textId="77777777" w:rsidR="007C2EFE" w:rsidRPr="007C2EFE" w:rsidRDefault="007C2EFE" w:rsidP="007C2EFE">
            <w:pPr>
              <w:jc w:val="right"/>
              <w:rPr>
                <w:rFonts w:ascii="Arial" w:eastAsia="Times New Roman" w:hAnsi="Arial" w:cs="Arial"/>
                <w:b/>
                <w:bCs/>
                <w:color w:val="339900"/>
                <w:sz w:val="17"/>
                <w:szCs w:val="17"/>
              </w:rPr>
            </w:pPr>
            <w:r w:rsidRPr="007C2EFE">
              <w:rPr>
                <w:rFonts w:ascii="Arial" w:eastAsia="Times New Roman" w:hAnsi="Arial" w:cs="Arial"/>
                <w:b/>
                <w:bCs/>
                <w:color w:val="339900"/>
                <w:sz w:val="17"/>
                <w:szCs w:val="17"/>
              </w:rPr>
              <w:t>1,429</w:t>
            </w:r>
          </w:p>
        </w:tc>
      </w:tr>
    </w:tbl>
    <w:p w14:paraId="36CC6EE6" w14:textId="77777777" w:rsidR="00BA0CEA" w:rsidRPr="00576BD8" w:rsidRDefault="00BA0CEA"/>
    <w:p w14:paraId="13608A78" w14:textId="402FC641" w:rsidR="00BA0CEA" w:rsidRPr="00576BD8" w:rsidRDefault="00EB07AE">
      <w:r>
        <w:t>Q</w:t>
      </w:r>
      <w:r w:rsidR="00795B16" w:rsidRPr="00576BD8">
        <w:t>7. What are the 1, 3, and 5 year returns for the benchmark?</w:t>
      </w:r>
    </w:p>
    <w:p w14:paraId="3568489A" w14:textId="77777777" w:rsidR="00BA0CEA" w:rsidRDefault="00BA0CEA"/>
    <w:p w14:paraId="2E3769CD" w14:textId="3CC52867" w:rsidR="00EB07AE" w:rsidRPr="00576BD8" w:rsidRDefault="00EB07AE">
      <w:r>
        <w:t xml:space="preserve">The </w:t>
      </w:r>
      <w:r w:rsidR="00A14C32">
        <w:t xml:space="preserve">1, 3, and 5 year </w:t>
      </w:r>
      <w:r>
        <w:t xml:space="preserve">returns for the Russell 1000 Value </w:t>
      </w:r>
      <w:r w:rsidR="00A14C32">
        <w:t>were -1.54%, 9.38%, and 10.25%, respectively.</w:t>
      </w:r>
    </w:p>
    <w:p w14:paraId="7CB5F9E8" w14:textId="77777777" w:rsidR="00BA0CEA" w:rsidRPr="00576BD8" w:rsidRDefault="00795B16">
      <w:r w:rsidRPr="00576BD8">
        <w:rPr>
          <w:noProof/>
        </w:rPr>
        <w:lastRenderedPageBreak/>
        <w:drawing>
          <wp:inline distT="114300" distB="114300" distL="114300" distR="114300" wp14:anchorId="23FB7F52" wp14:editId="0250449C">
            <wp:extent cx="5943600" cy="2209800"/>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5943600" cy="2209800"/>
                    </a:xfrm>
                    <a:prstGeom prst="rect">
                      <a:avLst/>
                    </a:prstGeom>
                    <a:ln/>
                  </pic:spPr>
                </pic:pic>
              </a:graphicData>
            </a:graphic>
          </wp:inline>
        </w:drawing>
      </w:r>
    </w:p>
    <w:p w14:paraId="3AD60DCF" w14:textId="23D77ADB" w:rsidR="00A14C32" w:rsidRDefault="00A14C32" w:rsidP="00A14C32">
      <w:r>
        <w:t>Q8</w:t>
      </w:r>
      <w:r w:rsidRPr="00576BD8">
        <w:t xml:space="preserve">. What are the 1, 3, and 5 year returns </w:t>
      </w:r>
      <w:r>
        <w:t>for the fund</w:t>
      </w:r>
      <w:r w:rsidRPr="00576BD8">
        <w:t>?</w:t>
      </w:r>
    </w:p>
    <w:p w14:paraId="1E862D84" w14:textId="4C74C035" w:rsidR="00BA0CEA" w:rsidRPr="00576BD8" w:rsidRDefault="00A14C32">
      <w:r>
        <w:t>The 1 and  3 year returns for FRGEX were -3.9% and 9.15%; because the fund started in 2012, it is just shy of having 5 years of historical data, but we can see that the fund has consistently underperformed relative to its benchmark since its inception.</w:t>
      </w:r>
    </w:p>
    <w:p w14:paraId="1C8CE4EA" w14:textId="7189EA63" w:rsidR="00BA0CEA" w:rsidRPr="00576BD8" w:rsidRDefault="0054090D">
      <w:r>
        <w:lastRenderedPageBreak/>
        <w:t>Q</w:t>
      </w:r>
      <w:r w:rsidR="00795B16" w:rsidRPr="00576BD8">
        <w:t xml:space="preserve">9. </w:t>
      </w:r>
      <w:r w:rsidR="00795B16" w:rsidRPr="00576BD8">
        <w:rPr>
          <w:b/>
        </w:rPr>
        <w:t>What is the Active Risk of the fund?</w:t>
      </w:r>
      <w:r w:rsidR="00795B16" w:rsidRPr="00576BD8">
        <w:t xml:space="preserve"> The appropriate benchmark is the IShares Russell 1000 Value ETF, which results in the lowest active risk of 1.75%. </w:t>
      </w:r>
      <w:r w:rsidR="00795B16" w:rsidRPr="00576BD8">
        <w:rPr>
          <w:noProof/>
        </w:rPr>
        <w:drawing>
          <wp:anchor distT="114300" distB="114300" distL="114300" distR="114300" simplePos="0" relativeHeight="251658240" behindDoc="0" locked="0" layoutInCell="0" hidden="0" allowOverlap="0" wp14:anchorId="5C64C3A7" wp14:editId="20B2B33E">
            <wp:simplePos x="0" y="0"/>
            <wp:positionH relativeFrom="margin">
              <wp:posOffset>-190499</wp:posOffset>
            </wp:positionH>
            <wp:positionV relativeFrom="paragraph">
              <wp:posOffset>381000</wp:posOffset>
            </wp:positionV>
            <wp:extent cx="5943600" cy="4686300"/>
            <wp:effectExtent l="0" t="0" r="0" b="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943600" cy="4686300"/>
                    </a:xfrm>
                    <a:prstGeom prst="rect">
                      <a:avLst/>
                    </a:prstGeom>
                    <a:ln/>
                  </pic:spPr>
                </pic:pic>
              </a:graphicData>
            </a:graphic>
          </wp:anchor>
        </w:drawing>
      </w:r>
    </w:p>
    <w:p w14:paraId="7BD28681" w14:textId="52F1CC67" w:rsidR="00017DB8" w:rsidRDefault="0054090D">
      <w:pPr>
        <w:rPr>
          <w:b/>
        </w:rPr>
      </w:pPr>
      <w:r>
        <w:rPr>
          <w:b/>
        </w:rPr>
        <w:t>Q</w:t>
      </w:r>
      <w:r w:rsidR="00795B16" w:rsidRPr="00576BD8">
        <w:rPr>
          <w:b/>
        </w:rPr>
        <w:t>10. What ‘type’ of fund is it?</w:t>
      </w:r>
    </w:p>
    <w:p w14:paraId="6436B52E" w14:textId="25F65512" w:rsidR="00BA0CEA" w:rsidRPr="00576BD8" w:rsidRDefault="00795B16">
      <w:r w:rsidRPr="00576BD8">
        <w:t>Compared to the typical range of active risk expected for Value funds, this is very low (active risk for Value funds ranges between 3 and 6%), suggesting that this fund is not offering a great enough return for Value-style investors’ preferences.</w:t>
      </w:r>
      <w:r w:rsidR="00A37D93">
        <w:t xml:space="preserve"> With this level of active risk, FRGEX is less of a Value style fund and more of a “tilt” fund.</w:t>
      </w:r>
    </w:p>
    <w:p w14:paraId="21D18D30" w14:textId="77777777" w:rsidR="00BA0CEA" w:rsidRPr="00576BD8" w:rsidRDefault="00BA0CEA"/>
    <w:p w14:paraId="7F223E5B" w14:textId="213B6FC0" w:rsidR="00BA0CEA" w:rsidRPr="00576BD8" w:rsidRDefault="0054090D">
      <w:r>
        <w:rPr>
          <w:b/>
        </w:rPr>
        <w:t>Q</w:t>
      </w:r>
      <w:r w:rsidR="00795B16" w:rsidRPr="00576BD8">
        <w:rPr>
          <w:b/>
        </w:rPr>
        <w:t>11. What % is the common factor risk and how does it break down into “Industries” and “Risk Indices”?</w:t>
      </w:r>
    </w:p>
    <w:p w14:paraId="4062E655" w14:textId="762A4909" w:rsidR="00BA0CEA" w:rsidRPr="00576BD8" w:rsidRDefault="00795B16">
      <w:r w:rsidRPr="00576BD8">
        <w:tab/>
        <w:t xml:space="preserve">The common factor risk for FRGEX accounts for 17.85% of the total active risk of the fund, 8.24% coming from Industries and 11.85% coming from Risk Indices; the difference is made up by a reduction in overall risk coming from the Covariance of the stocks in the portfolio, which is -2.24% of the Active risk. In general, all of these numbers indicate that the fund managers are extremely concerned with managing and lowering risk for their investors -- so much so, that they no longer have the risk exposure that is customary for their investment style. It may very well be that their 3-year lag in performance relative to the Russell 1000 ETF is due </w:t>
      </w:r>
      <w:r w:rsidRPr="00576BD8">
        <w:lastRenderedPageBreak/>
        <w:t xml:space="preserve">to the fund managers systematically making allocation decisions that are too risk-averse, and as a result their returns have suffered. </w:t>
      </w:r>
    </w:p>
    <w:p w14:paraId="2D2B28D7" w14:textId="77777777" w:rsidR="00BA0CEA" w:rsidRPr="00576BD8" w:rsidRDefault="00BA0CEA"/>
    <w:p w14:paraId="6BCA9166" w14:textId="003AD48C" w:rsidR="00BA0CEA" w:rsidRDefault="0054090D">
      <w:pPr>
        <w:rPr>
          <w:b/>
        </w:rPr>
      </w:pPr>
      <w:r>
        <w:rPr>
          <w:b/>
        </w:rPr>
        <w:t>Q</w:t>
      </w:r>
      <w:r w:rsidR="00795B16" w:rsidRPr="00576BD8">
        <w:rPr>
          <w:b/>
        </w:rPr>
        <w:t>12.  What does the Barra sector exposure look like? Express Comments and Concerns</w:t>
      </w:r>
    </w:p>
    <w:p w14:paraId="128280B8" w14:textId="77777777" w:rsidR="00AB4B46" w:rsidRDefault="00AB4B46">
      <w:pPr>
        <w:rPr>
          <w:b/>
        </w:rPr>
      </w:pPr>
    </w:p>
    <w:p w14:paraId="775CA2BF" w14:textId="6E614565" w:rsidR="00AB4B46" w:rsidRDefault="00AB4B46" w:rsidP="00AB4B46">
      <w:pPr>
        <w:rPr>
          <w:rFonts w:eastAsia="Times New Roman"/>
        </w:rPr>
      </w:pPr>
      <w:r>
        <w:rPr>
          <w:rFonts w:ascii="Arial" w:eastAsia="Times New Roman" w:hAnsi="Arial" w:cs="Arial"/>
          <w:noProof/>
          <w:color w:val="000000"/>
          <w:sz w:val="22"/>
          <w:szCs w:val="22"/>
        </w:rPr>
        <w:drawing>
          <wp:inline distT="0" distB="0" distL="0" distR="0" wp14:anchorId="63CAD510" wp14:editId="7E1B0A26">
            <wp:extent cx="5948045" cy="3041650"/>
            <wp:effectExtent l="0" t="0" r="0" b="6350"/>
            <wp:docPr id="7" name="Picture 7" descr="https://lh3.googleusercontent.com/-If9lNiWA-0WCSWB3oQhutidzfxAVG9hePCFBY3CLmq6gkM4_2nT1xqTQbQoZTIXBdz-Ynmy9Hg61cNt6_LbsVxQk8OOLhXUT7kh8nJe-aJji71I3JLJ_f5o1Vy0zKHPSiTIHs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f9lNiWA-0WCSWB3oQhutidzfxAVG9hePCFBY3CLmq6gkM4_2nT1xqTQbQoZTIXBdz-Ynmy9Hg61cNt6_LbsVxQk8OOLhXUT7kh8nJe-aJji71I3JLJ_f5o1Vy0zKHPSiTIHs5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8045" cy="3041650"/>
                    </a:xfrm>
                    <a:prstGeom prst="rect">
                      <a:avLst/>
                    </a:prstGeom>
                    <a:noFill/>
                    <a:ln>
                      <a:noFill/>
                    </a:ln>
                  </pic:spPr>
                </pic:pic>
              </a:graphicData>
            </a:graphic>
          </wp:inline>
        </w:drawing>
      </w:r>
    </w:p>
    <w:p w14:paraId="5BF03E9E" w14:textId="77777777" w:rsidR="00337B36" w:rsidRDefault="00337B36" w:rsidP="00AB4B46">
      <w:pPr>
        <w:rPr>
          <w:rFonts w:eastAsia="Times New Roman"/>
        </w:rPr>
      </w:pPr>
    </w:p>
    <w:p w14:paraId="2A9F2032" w14:textId="514C074E" w:rsidR="00337B36" w:rsidRDefault="00337B36" w:rsidP="00AB4B46">
      <w:pPr>
        <w:rPr>
          <w:rFonts w:eastAsia="Times New Roman"/>
        </w:rPr>
      </w:pPr>
      <w:r>
        <w:rPr>
          <w:rFonts w:eastAsia="Times New Roman"/>
        </w:rPr>
        <w:t>Mimics the sector distributi</w:t>
      </w:r>
      <w:r w:rsidR="00A37D93">
        <w:rPr>
          <w:rFonts w:eastAsia="Times New Roman"/>
        </w:rPr>
        <w:t>on of the benchmark very closely. Because FRGEX is a “Stock Selector” fund, this makes sense – any risk that the fund adds to an investor’s portfolio should come primarily stock selection, not sector bets.</w:t>
      </w:r>
    </w:p>
    <w:p w14:paraId="3390DADA" w14:textId="77777777" w:rsidR="00AB4B46" w:rsidRPr="00576BD8" w:rsidRDefault="00AB4B46"/>
    <w:p w14:paraId="5538F954" w14:textId="6BF8B062" w:rsidR="00BA0CEA" w:rsidRDefault="0054090D">
      <w:pPr>
        <w:rPr>
          <w:b/>
        </w:rPr>
      </w:pPr>
      <w:r>
        <w:rPr>
          <w:b/>
        </w:rPr>
        <w:t>Q</w:t>
      </w:r>
      <w:r w:rsidR="00795B16" w:rsidRPr="00576BD8">
        <w:rPr>
          <w:b/>
        </w:rPr>
        <w:t>13.  What does the Barra style risk exposure look like? Express Comments and Concerns</w:t>
      </w:r>
    </w:p>
    <w:p w14:paraId="7FEB8C4D" w14:textId="0EB32037" w:rsidR="003C7998" w:rsidRDefault="00337B36">
      <w:r>
        <w:rPr>
          <w:noProof/>
        </w:rPr>
        <w:drawing>
          <wp:inline distT="0" distB="0" distL="0" distR="0" wp14:anchorId="08E79F3F" wp14:editId="38D4EF61">
            <wp:extent cx="5940612" cy="3022413"/>
            <wp:effectExtent l="0" t="0" r="3175" b="635"/>
            <wp:docPr id="9" name="Picture 8" descr="https://lh4.googleusercontent.com/bOKoFJnFMJJFHziODrKb0vKswEzUwetoL2ljxYJJ6auZW-s7W9BOUPXju-eHDlD9dJqiFOfE1GyLdCAmp91hzDta0HWSPbiDx1MlUqPMR8nDs7iHlNqUalwXgUFIlB-ywWcZNc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https://lh4.googleusercontent.com/bOKoFJnFMJJFHziODrKb0vKswEzUwetoL2ljxYJJ6auZW-s7W9BOUPXju-eHDlD9dJqiFOfE1GyLdCAmp91hzDta0HWSPbiDx1MlUqPMR8nDs7iHlNqUalwXgUFIlB-ywWcZNc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612" cy="30224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59680DA" w14:textId="50592221" w:rsidR="00337B36" w:rsidRDefault="006E3C5E">
      <w:r>
        <w:lastRenderedPageBreak/>
        <w:t>The style risk exposure of FRGEX has greater departures from the benchmark, which for the most part tend to be in the right places for a fund of this style – the relative underweighting in momentum and overweighting in value and earnings yield are consistent with the fund’s Value strategy. At the same time, the fund’</w:t>
      </w:r>
      <w:r w:rsidR="001630DC">
        <w:t>s relative underexposure to</w:t>
      </w:r>
      <w:r>
        <w:t xml:space="preserve"> size</w:t>
      </w:r>
      <w:r w:rsidR="001630DC">
        <w:t xml:space="preserve"> risk</w:t>
      </w:r>
      <w:r>
        <w:t xml:space="preserve"> doesn’t make much sense for a large-cap fund. </w:t>
      </w:r>
    </w:p>
    <w:p w14:paraId="0012DBD4" w14:textId="16DAE469" w:rsidR="00337B36" w:rsidRPr="00576BD8" w:rsidRDefault="00337B36"/>
    <w:p w14:paraId="05C1EE5A" w14:textId="3E93A247" w:rsidR="00BA0CEA" w:rsidRDefault="0054090D">
      <w:pPr>
        <w:rPr>
          <w:b/>
        </w:rPr>
      </w:pPr>
      <w:r>
        <w:rPr>
          <w:b/>
        </w:rPr>
        <w:t>Q</w:t>
      </w:r>
      <w:r w:rsidR="00795B16" w:rsidRPr="00576BD8">
        <w:rPr>
          <w:b/>
        </w:rPr>
        <w:t>14. What stocks add the most risk?</w:t>
      </w:r>
    </w:p>
    <w:p w14:paraId="0B2DC7EA" w14:textId="77777777" w:rsidR="006E3C5E" w:rsidRDefault="006E3C5E">
      <w:pPr>
        <w:rPr>
          <w:b/>
        </w:rPr>
      </w:pPr>
    </w:p>
    <w:tbl>
      <w:tblPr>
        <w:tblW w:w="11880" w:type="dxa"/>
        <w:tblCellMar>
          <w:left w:w="0" w:type="dxa"/>
          <w:right w:w="0" w:type="dxa"/>
        </w:tblCellMar>
        <w:tblLook w:val="0600" w:firstRow="0" w:lastRow="0" w:firstColumn="0" w:lastColumn="0" w:noHBand="1" w:noVBand="1"/>
      </w:tblPr>
      <w:tblGrid>
        <w:gridCol w:w="1258"/>
        <w:gridCol w:w="3117"/>
        <w:gridCol w:w="1277"/>
        <w:gridCol w:w="1279"/>
        <w:gridCol w:w="1278"/>
        <w:gridCol w:w="3671"/>
      </w:tblGrid>
      <w:tr w:rsidR="006E3C5E" w:rsidRPr="006E3C5E" w14:paraId="3511BCC4" w14:textId="77777777" w:rsidTr="006E3C5E">
        <w:trPr>
          <w:trHeight w:val="237"/>
        </w:trPr>
        <w:tc>
          <w:tcPr>
            <w:tcW w:w="4380" w:type="dxa"/>
            <w:gridSpan w:val="2"/>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D5FCB35" w14:textId="77777777" w:rsidR="006E3C5E" w:rsidRPr="006E3C5E" w:rsidRDefault="006E3C5E" w:rsidP="006E3C5E">
            <w:pPr>
              <w:rPr>
                <w:b/>
              </w:rPr>
            </w:pPr>
            <w:r w:rsidRPr="006E3C5E">
              <w:rPr>
                <w:b/>
              </w:rPr>
              <w:t>Least Diversifying</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F0390B0" w14:textId="77777777" w:rsidR="006E3C5E" w:rsidRPr="006E3C5E" w:rsidRDefault="006E3C5E" w:rsidP="006E3C5E">
            <w:pPr>
              <w:rPr>
                <w:b/>
              </w:rPr>
            </w:pPr>
            <w:r w:rsidRPr="006E3C5E">
              <w:rPr>
                <w:b/>
              </w:rPr>
              <w:t>MC to risk</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6D28102" w14:textId="77777777" w:rsidR="006E3C5E" w:rsidRPr="006E3C5E" w:rsidRDefault="006E3C5E" w:rsidP="006E3C5E">
            <w:pPr>
              <w:rPr>
                <w:b/>
              </w:rPr>
            </w:pPr>
            <w:r w:rsidRPr="006E3C5E">
              <w:rPr>
                <w:b/>
              </w:rPr>
              <w:t>%weight</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4AC1819" w14:textId="77777777" w:rsidR="006E3C5E" w:rsidRPr="006E3C5E" w:rsidRDefault="006E3C5E" w:rsidP="006E3C5E">
            <w:pPr>
              <w:rPr>
                <w:b/>
              </w:rPr>
            </w:pPr>
            <w:r w:rsidRPr="006E3C5E">
              <w:rPr>
                <w:b/>
              </w:rPr>
              <w:t>Q SCORE</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9253FE9" w14:textId="77777777" w:rsidR="006E3C5E" w:rsidRPr="006E3C5E" w:rsidRDefault="006E3C5E" w:rsidP="006E3C5E">
            <w:pPr>
              <w:rPr>
                <w:b/>
              </w:rPr>
            </w:pPr>
            <w:r w:rsidRPr="006E3C5E">
              <w:rPr>
                <w:b/>
              </w:rPr>
              <w:t>Sector</w:t>
            </w:r>
          </w:p>
        </w:tc>
      </w:tr>
      <w:tr w:rsidR="006E3C5E" w:rsidRPr="006E3C5E" w14:paraId="067604BE"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4836CFE" w14:textId="77777777" w:rsidR="006E3C5E" w:rsidRPr="006E3C5E" w:rsidRDefault="006E3C5E" w:rsidP="006E3C5E">
            <w:pPr>
              <w:rPr>
                <w:b/>
              </w:rPr>
            </w:pPr>
            <w:r w:rsidRPr="006E3C5E">
              <w:rPr>
                <w:b/>
              </w:rPr>
              <w:t xml:space="preserve">CRC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0F9122F" w14:textId="77777777" w:rsidR="006E3C5E" w:rsidRPr="006E3C5E" w:rsidRDefault="006E3C5E" w:rsidP="006E3C5E">
            <w:pPr>
              <w:rPr>
                <w:b/>
              </w:rPr>
            </w:pPr>
            <w:r w:rsidRPr="006E3C5E">
              <w:rPr>
                <w:b/>
              </w:rPr>
              <w:t xml:space="preserve">CALIFORNIA RES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E3B5A9C" w14:textId="77777777" w:rsidR="006E3C5E" w:rsidRPr="006E3C5E" w:rsidRDefault="006E3C5E" w:rsidP="006E3C5E">
            <w:pPr>
              <w:rPr>
                <w:b/>
              </w:rPr>
            </w:pPr>
            <w:r w:rsidRPr="006E3C5E">
              <w:rPr>
                <w:b/>
              </w:rPr>
              <w:t>0.086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60FDBBA" w14:textId="77777777" w:rsidR="006E3C5E" w:rsidRPr="006E3C5E" w:rsidRDefault="006E3C5E" w:rsidP="006E3C5E">
            <w:pPr>
              <w:rPr>
                <w:b/>
              </w:rPr>
            </w:pPr>
            <w:r w:rsidRPr="006E3C5E">
              <w:rPr>
                <w:b/>
              </w:rPr>
              <w:t>0.13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96D4C3C" w14:textId="77777777" w:rsidR="006E3C5E" w:rsidRPr="006E3C5E" w:rsidRDefault="006E3C5E" w:rsidP="006E3C5E">
            <w:pPr>
              <w:rPr>
                <w:b/>
              </w:rPr>
            </w:pPr>
            <w:r w:rsidRPr="006E3C5E">
              <w:rPr>
                <w:b/>
              </w:rPr>
              <w:t>6.94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1124F39" w14:textId="77777777" w:rsidR="006E3C5E" w:rsidRPr="006E3C5E" w:rsidRDefault="006E3C5E" w:rsidP="006E3C5E">
            <w:pPr>
              <w:rPr>
                <w:b/>
              </w:rPr>
            </w:pPr>
            <w:r w:rsidRPr="006E3C5E">
              <w:rPr>
                <w:b/>
              </w:rPr>
              <w:t>Energy</w:t>
            </w:r>
          </w:p>
        </w:tc>
      </w:tr>
      <w:tr w:rsidR="006E3C5E" w:rsidRPr="006E3C5E" w14:paraId="565446DC"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8A0A7FD" w14:textId="77777777" w:rsidR="006E3C5E" w:rsidRPr="006E3C5E" w:rsidRDefault="006E3C5E" w:rsidP="006E3C5E">
            <w:pPr>
              <w:rPr>
                <w:b/>
              </w:rPr>
            </w:pPr>
            <w:r w:rsidRPr="006E3C5E">
              <w:rPr>
                <w:b/>
              </w:rPr>
              <w:t xml:space="preserve">NXPI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659933D" w14:textId="77777777" w:rsidR="006E3C5E" w:rsidRPr="006E3C5E" w:rsidRDefault="006E3C5E" w:rsidP="006E3C5E">
            <w:pPr>
              <w:rPr>
                <w:b/>
              </w:rPr>
            </w:pPr>
            <w:r w:rsidRPr="006E3C5E">
              <w:rPr>
                <w:b/>
              </w:rPr>
              <w:t>NXP SEMICONDUCTORS N V</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5726E96" w14:textId="77777777" w:rsidR="006E3C5E" w:rsidRPr="006E3C5E" w:rsidRDefault="006E3C5E" w:rsidP="006E3C5E">
            <w:pPr>
              <w:rPr>
                <w:b/>
              </w:rPr>
            </w:pPr>
            <w:r w:rsidRPr="006E3C5E">
              <w:rPr>
                <w:b/>
              </w:rPr>
              <w:t>0.081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209721E" w14:textId="77777777" w:rsidR="006E3C5E" w:rsidRPr="006E3C5E" w:rsidRDefault="006E3C5E" w:rsidP="006E3C5E">
            <w:pPr>
              <w:rPr>
                <w:b/>
              </w:rPr>
            </w:pPr>
            <w:r w:rsidRPr="006E3C5E">
              <w:rPr>
                <w:b/>
              </w:rPr>
              <w:t>1.04</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F6BCC06" w14:textId="77777777" w:rsidR="006E3C5E" w:rsidRPr="006E3C5E" w:rsidRDefault="006E3C5E" w:rsidP="006E3C5E">
            <w:pPr>
              <w:rPr>
                <w:b/>
              </w:rPr>
            </w:pPr>
            <w:r w:rsidRPr="006E3C5E">
              <w:rPr>
                <w:b/>
              </w:rPr>
              <w:t>5.27</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57F0E4B" w14:textId="77777777" w:rsidR="006E3C5E" w:rsidRPr="006E3C5E" w:rsidRDefault="006E3C5E" w:rsidP="006E3C5E">
            <w:pPr>
              <w:rPr>
                <w:b/>
              </w:rPr>
            </w:pPr>
            <w:r w:rsidRPr="006E3C5E">
              <w:rPr>
                <w:b/>
              </w:rPr>
              <w:t>Information Technology</w:t>
            </w:r>
          </w:p>
        </w:tc>
      </w:tr>
      <w:tr w:rsidR="006E3C5E" w:rsidRPr="006E3C5E" w14:paraId="1BE3DB90"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A2F4A2C" w14:textId="77777777" w:rsidR="006E3C5E" w:rsidRPr="006E3C5E" w:rsidRDefault="006E3C5E" w:rsidP="006E3C5E">
            <w:pPr>
              <w:rPr>
                <w:b/>
              </w:rPr>
            </w:pPr>
            <w:r w:rsidRPr="006E3C5E">
              <w:rPr>
                <w:b/>
              </w:rPr>
              <w:t xml:space="preserve">KMI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33D7B8A" w14:textId="77777777" w:rsidR="006E3C5E" w:rsidRPr="006E3C5E" w:rsidRDefault="006E3C5E" w:rsidP="006E3C5E">
            <w:pPr>
              <w:rPr>
                <w:b/>
              </w:rPr>
            </w:pPr>
            <w:r w:rsidRPr="006E3C5E">
              <w:rPr>
                <w:b/>
              </w:rPr>
              <w:t xml:space="preserve">KINDER MORGAN INC DEL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8B912DB" w14:textId="77777777" w:rsidR="006E3C5E" w:rsidRPr="006E3C5E" w:rsidRDefault="006E3C5E" w:rsidP="006E3C5E">
            <w:pPr>
              <w:rPr>
                <w:b/>
              </w:rPr>
            </w:pPr>
            <w:r w:rsidRPr="006E3C5E">
              <w:rPr>
                <w:b/>
              </w:rPr>
              <w:t>0.078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F153E78" w14:textId="77777777" w:rsidR="006E3C5E" w:rsidRPr="006E3C5E" w:rsidRDefault="006E3C5E" w:rsidP="006E3C5E">
            <w:pPr>
              <w:rPr>
                <w:b/>
              </w:rPr>
            </w:pPr>
            <w:r w:rsidRPr="006E3C5E">
              <w:rPr>
                <w:b/>
              </w:rPr>
              <w:t>0.73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D0A4316" w14:textId="77777777" w:rsidR="006E3C5E" w:rsidRPr="006E3C5E" w:rsidRDefault="006E3C5E" w:rsidP="006E3C5E">
            <w:pPr>
              <w:rPr>
                <w:b/>
              </w:rPr>
            </w:pPr>
            <w:r w:rsidRPr="006E3C5E">
              <w:rPr>
                <w:b/>
              </w:rPr>
              <w:t>6.53</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DBC4D07" w14:textId="77777777" w:rsidR="006E3C5E" w:rsidRPr="006E3C5E" w:rsidRDefault="006E3C5E" w:rsidP="006E3C5E">
            <w:pPr>
              <w:rPr>
                <w:b/>
              </w:rPr>
            </w:pPr>
            <w:r w:rsidRPr="006E3C5E">
              <w:rPr>
                <w:b/>
              </w:rPr>
              <w:t>Energy</w:t>
            </w:r>
          </w:p>
        </w:tc>
      </w:tr>
      <w:tr w:rsidR="006E3C5E" w:rsidRPr="006E3C5E" w14:paraId="64714B5D"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F6AEADF" w14:textId="77777777" w:rsidR="006E3C5E" w:rsidRPr="006E3C5E" w:rsidRDefault="006E3C5E" w:rsidP="006E3C5E">
            <w:pPr>
              <w:rPr>
                <w:b/>
              </w:rPr>
            </w:pPr>
            <w:r w:rsidRPr="006E3C5E">
              <w:rPr>
                <w:b/>
              </w:rPr>
              <w:t xml:space="preserve">MU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3C13266" w14:textId="77777777" w:rsidR="006E3C5E" w:rsidRPr="006E3C5E" w:rsidRDefault="006E3C5E" w:rsidP="006E3C5E">
            <w:pPr>
              <w:rPr>
                <w:b/>
              </w:rPr>
            </w:pPr>
            <w:r w:rsidRPr="006E3C5E">
              <w:rPr>
                <w:b/>
              </w:rPr>
              <w:t xml:space="preserve">MICRON TECHNOLOGY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5B72E2C" w14:textId="77777777" w:rsidR="006E3C5E" w:rsidRPr="006E3C5E" w:rsidRDefault="006E3C5E" w:rsidP="006E3C5E">
            <w:pPr>
              <w:rPr>
                <w:b/>
              </w:rPr>
            </w:pPr>
            <w:r w:rsidRPr="006E3C5E">
              <w:rPr>
                <w:b/>
              </w:rPr>
              <w:t>0.067</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F7333E4" w14:textId="77777777" w:rsidR="006E3C5E" w:rsidRPr="006E3C5E" w:rsidRDefault="006E3C5E" w:rsidP="006E3C5E">
            <w:pPr>
              <w:rPr>
                <w:b/>
              </w:rPr>
            </w:pPr>
            <w:r w:rsidRPr="006E3C5E">
              <w:rPr>
                <w:b/>
              </w:rPr>
              <w:t>0.41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19A6681" w14:textId="77777777" w:rsidR="006E3C5E" w:rsidRPr="006E3C5E" w:rsidRDefault="006E3C5E" w:rsidP="006E3C5E">
            <w:pPr>
              <w:rPr>
                <w:b/>
              </w:rPr>
            </w:pPr>
            <w:r w:rsidRPr="006E3C5E">
              <w:rPr>
                <w:b/>
              </w:rPr>
              <w:t>5.44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B5B30F1" w14:textId="77777777" w:rsidR="006E3C5E" w:rsidRPr="006E3C5E" w:rsidRDefault="006E3C5E" w:rsidP="006E3C5E">
            <w:pPr>
              <w:rPr>
                <w:b/>
              </w:rPr>
            </w:pPr>
            <w:r w:rsidRPr="006E3C5E">
              <w:rPr>
                <w:b/>
              </w:rPr>
              <w:t>Information Technology</w:t>
            </w:r>
          </w:p>
        </w:tc>
      </w:tr>
      <w:tr w:rsidR="006E3C5E" w:rsidRPr="006E3C5E" w14:paraId="11854D43"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965295E" w14:textId="77777777" w:rsidR="006E3C5E" w:rsidRPr="006E3C5E" w:rsidRDefault="006E3C5E" w:rsidP="006E3C5E">
            <w:pPr>
              <w:rPr>
                <w:b/>
              </w:rPr>
            </w:pPr>
            <w:r w:rsidRPr="006E3C5E">
              <w:rPr>
                <w:b/>
              </w:rPr>
              <w:t xml:space="preserve">SGY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8F0DB47" w14:textId="77777777" w:rsidR="006E3C5E" w:rsidRPr="006E3C5E" w:rsidRDefault="006E3C5E" w:rsidP="006E3C5E">
            <w:pPr>
              <w:rPr>
                <w:b/>
              </w:rPr>
            </w:pPr>
            <w:r w:rsidRPr="006E3C5E">
              <w:rPr>
                <w:b/>
              </w:rPr>
              <w:t xml:space="preserve">STONE ENERGY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B1934B7" w14:textId="77777777" w:rsidR="006E3C5E" w:rsidRPr="006E3C5E" w:rsidRDefault="006E3C5E" w:rsidP="006E3C5E">
            <w:pPr>
              <w:rPr>
                <w:b/>
              </w:rPr>
            </w:pPr>
            <w:r w:rsidRPr="006E3C5E">
              <w:rPr>
                <w:b/>
              </w:rPr>
              <w:t>0.066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1084F56" w14:textId="77777777" w:rsidR="006E3C5E" w:rsidRPr="006E3C5E" w:rsidRDefault="006E3C5E" w:rsidP="006E3C5E">
            <w:pPr>
              <w:rPr>
                <w:b/>
              </w:rPr>
            </w:pPr>
            <w:r w:rsidRPr="006E3C5E">
              <w:rPr>
                <w:b/>
              </w:rPr>
              <w:t>0.01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6D85DA7" w14:textId="77777777" w:rsidR="006E3C5E" w:rsidRPr="006E3C5E" w:rsidRDefault="006E3C5E" w:rsidP="006E3C5E">
            <w:pPr>
              <w:rPr>
                <w:b/>
              </w:rPr>
            </w:pPr>
            <w:r w:rsidRPr="006E3C5E">
              <w:rPr>
                <w:b/>
              </w:rPr>
              <w:t>NA</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58D871E" w14:textId="77777777" w:rsidR="006E3C5E" w:rsidRPr="006E3C5E" w:rsidRDefault="006E3C5E" w:rsidP="006E3C5E">
            <w:pPr>
              <w:rPr>
                <w:b/>
              </w:rPr>
            </w:pPr>
            <w:r w:rsidRPr="006E3C5E">
              <w:rPr>
                <w:b/>
              </w:rPr>
              <w:t>Energy</w:t>
            </w:r>
          </w:p>
        </w:tc>
      </w:tr>
      <w:tr w:rsidR="006E3C5E" w:rsidRPr="006E3C5E" w14:paraId="20CA0A0E"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1F1C221" w14:textId="77777777" w:rsidR="006E3C5E" w:rsidRPr="006E3C5E" w:rsidRDefault="006E3C5E" w:rsidP="006E3C5E">
            <w:pPr>
              <w:rPr>
                <w:b/>
              </w:rPr>
            </w:pPr>
            <w:r w:rsidRPr="006E3C5E">
              <w:rPr>
                <w:b/>
              </w:rPr>
              <w:t xml:space="preserve">WDC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2B14E11" w14:textId="77777777" w:rsidR="006E3C5E" w:rsidRPr="006E3C5E" w:rsidRDefault="006E3C5E" w:rsidP="006E3C5E">
            <w:pPr>
              <w:rPr>
                <w:b/>
              </w:rPr>
            </w:pPr>
            <w:r w:rsidRPr="006E3C5E">
              <w:rPr>
                <w:b/>
              </w:rPr>
              <w:t xml:space="preserve">WESTERN DIGITAL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70CD977" w14:textId="77777777" w:rsidR="006E3C5E" w:rsidRPr="006E3C5E" w:rsidRDefault="006E3C5E" w:rsidP="006E3C5E">
            <w:pPr>
              <w:rPr>
                <w:b/>
              </w:rPr>
            </w:pPr>
            <w:r w:rsidRPr="006E3C5E">
              <w:rPr>
                <w:b/>
              </w:rPr>
              <w:t>0.062</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2FF644C" w14:textId="77777777" w:rsidR="006E3C5E" w:rsidRPr="006E3C5E" w:rsidRDefault="006E3C5E" w:rsidP="006E3C5E">
            <w:pPr>
              <w:rPr>
                <w:b/>
              </w:rPr>
            </w:pPr>
            <w:r w:rsidRPr="006E3C5E">
              <w:rPr>
                <w:b/>
              </w:rPr>
              <w:t>0.61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AB7AF0B" w14:textId="77777777" w:rsidR="006E3C5E" w:rsidRPr="006E3C5E" w:rsidRDefault="006E3C5E" w:rsidP="006E3C5E">
            <w:pPr>
              <w:rPr>
                <w:b/>
              </w:rPr>
            </w:pPr>
            <w:r w:rsidRPr="006E3C5E">
              <w:rPr>
                <w:b/>
              </w:rPr>
              <w:t>5.22</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3C3275D" w14:textId="77777777" w:rsidR="006E3C5E" w:rsidRPr="006E3C5E" w:rsidRDefault="006E3C5E" w:rsidP="006E3C5E">
            <w:pPr>
              <w:rPr>
                <w:b/>
              </w:rPr>
            </w:pPr>
            <w:r w:rsidRPr="006E3C5E">
              <w:rPr>
                <w:b/>
              </w:rPr>
              <w:t>Information Technology</w:t>
            </w:r>
          </w:p>
        </w:tc>
      </w:tr>
      <w:tr w:rsidR="006E3C5E" w:rsidRPr="006E3C5E" w14:paraId="0CA014F9"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1F08AE4" w14:textId="77777777" w:rsidR="006E3C5E" w:rsidRPr="006E3C5E" w:rsidRDefault="006E3C5E" w:rsidP="006E3C5E">
            <w:pPr>
              <w:rPr>
                <w:b/>
              </w:rPr>
            </w:pPr>
            <w:r w:rsidRPr="006E3C5E">
              <w:rPr>
                <w:b/>
              </w:rPr>
              <w:t xml:space="preserve">QCOM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40CEB1A" w14:textId="77777777" w:rsidR="006E3C5E" w:rsidRPr="006E3C5E" w:rsidRDefault="006E3C5E" w:rsidP="006E3C5E">
            <w:pPr>
              <w:rPr>
                <w:b/>
              </w:rPr>
            </w:pPr>
            <w:r w:rsidRPr="006E3C5E">
              <w:rPr>
                <w:b/>
              </w:rPr>
              <w:t xml:space="preserve">QUALCOMM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EA4069B" w14:textId="77777777" w:rsidR="006E3C5E" w:rsidRPr="006E3C5E" w:rsidRDefault="006E3C5E" w:rsidP="006E3C5E">
            <w:pPr>
              <w:rPr>
                <w:b/>
              </w:rPr>
            </w:pPr>
            <w:r w:rsidRPr="006E3C5E">
              <w:rPr>
                <w:b/>
              </w:rPr>
              <w:t>0.06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59E680D" w14:textId="77777777" w:rsidR="006E3C5E" w:rsidRPr="006E3C5E" w:rsidRDefault="006E3C5E" w:rsidP="006E3C5E">
            <w:pPr>
              <w:rPr>
                <w:b/>
              </w:rPr>
            </w:pPr>
            <w:r w:rsidRPr="006E3C5E">
              <w:rPr>
                <w:b/>
              </w:rPr>
              <w:t>2.17</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90AA019" w14:textId="77777777" w:rsidR="006E3C5E" w:rsidRPr="006E3C5E" w:rsidRDefault="006E3C5E" w:rsidP="006E3C5E">
            <w:pPr>
              <w:rPr>
                <w:b/>
              </w:rPr>
            </w:pPr>
            <w:r w:rsidRPr="006E3C5E">
              <w:rPr>
                <w:b/>
              </w:rPr>
              <w:t>5.14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7ACD626" w14:textId="77777777" w:rsidR="006E3C5E" w:rsidRPr="006E3C5E" w:rsidRDefault="006E3C5E" w:rsidP="006E3C5E">
            <w:pPr>
              <w:rPr>
                <w:b/>
              </w:rPr>
            </w:pPr>
            <w:r w:rsidRPr="006E3C5E">
              <w:rPr>
                <w:b/>
              </w:rPr>
              <w:t>Information Technology</w:t>
            </w:r>
          </w:p>
        </w:tc>
      </w:tr>
      <w:tr w:rsidR="006E3C5E" w:rsidRPr="006E3C5E" w14:paraId="09D244F2"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4514B87" w14:textId="77777777" w:rsidR="006E3C5E" w:rsidRPr="006E3C5E" w:rsidRDefault="006E3C5E" w:rsidP="006E3C5E">
            <w:pPr>
              <w:rPr>
                <w:b/>
              </w:rPr>
            </w:pPr>
            <w:r w:rsidRPr="006E3C5E">
              <w:rPr>
                <w:b/>
              </w:rPr>
              <w:t xml:space="preserve">CVX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DCB6749" w14:textId="77777777" w:rsidR="006E3C5E" w:rsidRPr="006E3C5E" w:rsidRDefault="006E3C5E" w:rsidP="006E3C5E">
            <w:pPr>
              <w:rPr>
                <w:b/>
              </w:rPr>
            </w:pPr>
            <w:r w:rsidRPr="006E3C5E">
              <w:rPr>
                <w:b/>
              </w:rPr>
              <w:t xml:space="preserve">CHEVRON CORP NEW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F46556E" w14:textId="77777777" w:rsidR="006E3C5E" w:rsidRPr="006E3C5E" w:rsidRDefault="006E3C5E" w:rsidP="006E3C5E">
            <w:pPr>
              <w:rPr>
                <w:b/>
              </w:rPr>
            </w:pPr>
            <w:r w:rsidRPr="006E3C5E">
              <w:rPr>
                <w:b/>
              </w:rPr>
              <w:t>0.058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84824D1" w14:textId="77777777" w:rsidR="006E3C5E" w:rsidRPr="006E3C5E" w:rsidRDefault="006E3C5E" w:rsidP="006E3C5E">
            <w:pPr>
              <w:rPr>
                <w:b/>
              </w:rPr>
            </w:pPr>
            <w:r w:rsidRPr="006E3C5E">
              <w:rPr>
                <w:b/>
              </w:rPr>
              <w:t>5.15</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2B9472F" w14:textId="77777777" w:rsidR="006E3C5E" w:rsidRPr="006E3C5E" w:rsidRDefault="006E3C5E" w:rsidP="006E3C5E">
            <w:pPr>
              <w:rPr>
                <w:b/>
              </w:rPr>
            </w:pPr>
            <w:r w:rsidRPr="006E3C5E">
              <w:rPr>
                <w:b/>
              </w:rPr>
              <w:t>6.19</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8ECA712" w14:textId="77777777" w:rsidR="006E3C5E" w:rsidRPr="006E3C5E" w:rsidRDefault="006E3C5E" w:rsidP="006E3C5E">
            <w:pPr>
              <w:rPr>
                <w:b/>
              </w:rPr>
            </w:pPr>
            <w:r w:rsidRPr="006E3C5E">
              <w:rPr>
                <w:b/>
              </w:rPr>
              <w:t>Energy</w:t>
            </w:r>
          </w:p>
        </w:tc>
      </w:tr>
      <w:tr w:rsidR="006E3C5E" w:rsidRPr="006E3C5E" w14:paraId="56273AA5"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2AB9E80" w14:textId="77777777" w:rsidR="006E3C5E" w:rsidRPr="006E3C5E" w:rsidRDefault="006E3C5E" w:rsidP="006E3C5E">
            <w:pPr>
              <w:rPr>
                <w:b/>
              </w:rPr>
            </w:pPr>
            <w:r w:rsidRPr="006E3C5E">
              <w:rPr>
                <w:b/>
              </w:rPr>
              <w:t xml:space="preserve">APC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CEC833E" w14:textId="77777777" w:rsidR="006E3C5E" w:rsidRPr="006E3C5E" w:rsidRDefault="006E3C5E" w:rsidP="006E3C5E">
            <w:pPr>
              <w:rPr>
                <w:b/>
              </w:rPr>
            </w:pPr>
            <w:r w:rsidRPr="006E3C5E">
              <w:rPr>
                <w:b/>
              </w:rPr>
              <w:t xml:space="preserve">ANADARKO PETE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873CD32" w14:textId="77777777" w:rsidR="006E3C5E" w:rsidRPr="006E3C5E" w:rsidRDefault="006E3C5E" w:rsidP="006E3C5E">
            <w:pPr>
              <w:rPr>
                <w:b/>
              </w:rPr>
            </w:pPr>
            <w:r w:rsidRPr="006E3C5E">
              <w:rPr>
                <w:b/>
              </w:rPr>
              <w:t>0.054</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D93D1C1" w14:textId="77777777" w:rsidR="006E3C5E" w:rsidRPr="006E3C5E" w:rsidRDefault="006E3C5E" w:rsidP="006E3C5E">
            <w:pPr>
              <w:rPr>
                <w:b/>
              </w:rPr>
            </w:pPr>
            <w:r w:rsidRPr="006E3C5E">
              <w:rPr>
                <w:b/>
              </w:rPr>
              <w:t>0.98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AE2A3BE" w14:textId="77777777" w:rsidR="006E3C5E" w:rsidRPr="006E3C5E" w:rsidRDefault="006E3C5E" w:rsidP="006E3C5E">
            <w:pPr>
              <w:rPr>
                <w:b/>
              </w:rPr>
            </w:pPr>
            <w:r w:rsidRPr="006E3C5E">
              <w:rPr>
                <w:b/>
              </w:rPr>
              <w:t>6.72</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3B08690" w14:textId="77777777" w:rsidR="006E3C5E" w:rsidRPr="006E3C5E" w:rsidRDefault="006E3C5E" w:rsidP="006E3C5E">
            <w:pPr>
              <w:rPr>
                <w:b/>
              </w:rPr>
            </w:pPr>
            <w:r w:rsidRPr="006E3C5E">
              <w:rPr>
                <w:b/>
              </w:rPr>
              <w:t>Energy</w:t>
            </w:r>
          </w:p>
        </w:tc>
      </w:tr>
      <w:tr w:rsidR="006E3C5E" w:rsidRPr="006E3C5E" w14:paraId="1EB758D1" w14:textId="77777777" w:rsidTr="006E3C5E">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A01C15B" w14:textId="77777777" w:rsidR="006E3C5E" w:rsidRPr="006E3C5E" w:rsidRDefault="006E3C5E" w:rsidP="006E3C5E">
            <w:pPr>
              <w:rPr>
                <w:b/>
              </w:rPr>
            </w:pPr>
            <w:r w:rsidRPr="006E3C5E">
              <w:rPr>
                <w:b/>
              </w:rPr>
              <w:t xml:space="preserve">CIT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0638BBC" w14:textId="77777777" w:rsidR="006E3C5E" w:rsidRPr="006E3C5E" w:rsidRDefault="006E3C5E" w:rsidP="006E3C5E">
            <w:pPr>
              <w:rPr>
                <w:b/>
              </w:rPr>
            </w:pPr>
            <w:r w:rsidRPr="006E3C5E">
              <w:rPr>
                <w:b/>
              </w:rPr>
              <w:t xml:space="preserve">CIT GROUP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5F496AC" w14:textId="77777777" w:rsidR="006E3C5E" w:rsidRPr="006E3C5E" w:rsidRDefault="006E3C5E" w:rsidP="006E3C5E">
            <w:pPr>
              <w:rPr>
                <w:b/>
              </w:rPr>
            </w:pPr>
            <w:r w:rsidRPr="006E3C5E">
              <w:rPr>
                <w:b/>
              </w:rPr>
              <w:t>0.053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3450334" w14:textId="77777777" w:rsidR="006E3C5E" w:rsidRPr="006E3C5E" w:rsidRDefault="006E3C5E" w:rsidP="006E3C5E">
            <w:pPr>
              <w:rPr>
                <w:b/>
              </w:rPr>
            </w:pPr>
            <w:r w:rsidRPr="006E3C5E">
              <w:rPr>
                <w:b/>
              </w:rPr>
              <w:t>0.73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99896A5" w14:textId="77777777" w:rsidR="006E3C5E" w:rsidRPr="006E3C5E" w:rsidRDefault="006E3C5E" w:rsidP="006E3C5E">
            <w:pPr>
              <w:rPr>
                <w:b/>
              </w:rPr>
            </w:pPr>
            <w:r w:rsidRPr="006E3C5E">
              <w:rPr>
                <w:b/>
              </w:rPr>
              <w:t>4.05</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DD7E6A0" w14:textId="77777777" w:rsidR="006E3C5E" w:rsidRPr="006E3C5E" w:rsidRDefault="006E3C5E" w:rsidP="006E3C5E">
            <w:pPr>
              <w:rPr>
                <w:b/>
              </w:rPr>
            </w:pPr>
            <w:r w:rsidRPr="006E3C5E">
              <w:rPr>
                <w:b/>
              </w:rPr>
              <w:t>Financials</w:t>
            </w:r>
          </w:p>
        </w:tc>
      </w:tr>
    </w:tbl>
    <w:p w14:paraId="6EA5A92D" w14:textId="77777777" w:rsidR="0054090D" w:rsidRDefault="0054090D">
      <w:pPr>
        <w:rPr>
          <w:b/>
        </w:rPr>
      </w:pPr>
    </w:p>
    <w:p w14:paraId="7BE19635" w14:textId="40C55DA0" w:rsidR="00BA0CEA" w:rsidRDefault="0054090D">
      <w:pPr>
        <w:rPr>
          <w:b/>
        </w:rPr>
      </w:pPr>
      <w:r>
        <w:rPr>
          <w:b/>
        </w:rPr>
        <w:t>Q</w:t>
      </w:r>
      <w:r w:rsidR="00795B16" w:rsidRPr="00576BD8">
        <w:rPr>
          <w:b/>
        </w:rPr>
        <w:t>15. What stocks add the most style risk?</w:t>
      </w:r>
    </w:p>
    <w:p w14:paraId="143DA689" w14:textId="64580C52" w:rsidR="001B28DE" w:rsidRDefault="001B28DE"/>
    <w:tbl>
      <w:tblPr>
        <w:tblW w:w="11880" w:type="dxa"/>
        <w:tblCellMar>
          <w:left w:w="0" w:type="dxa"/>
          <w:right w:w="0" w:type="dxa"/>
        </w:tblCellMar>
        <w:tblLook w:val="0600" w:firstRow="0" w:lastRow="0" w:firstColumn="0" w:lastColumn="0" w:noHBand="1" w:noVBand="1"/>
      </w:tblPr>
      <w:tblGrid>
        <w:gridCol w:w="1258"/>
        <w:gridCol w:w="3117"/>
        <w:gridCol w:w="1277"/>
        <w:gridCol w:w="1279"/>
        <w:gridCol w:w="1278"/>
        <w:gridCol w:w="3671"/>
      </w:tblGrid>
      <w:tr w:rsidR="0054090D" w:rsidRPr="0054090D" w14:paraId="3AC86F40" w14:textId="77777777" w:rsidTr="0054090D">
        <w:trPr>
          <w:trHeight w:val="237"/>
        </w:trPr>
        <w:tc>
          <w:tcPr>
            <w:tcW w:w="4380" w:type="dxa"/>
            <w:gridSpan w:val="2"/>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FCD8CD2" w14:textId="77777777" w:rsidR="0054090D" w:rsidRPr="0054090D" w:rsidRDefault="0054090D" w:rsidP="0054090D">
            <w:r w:rsidRPr="0054090D">
              <w:t>Least Diversifying</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BA02B35" w14:textId="77777777" w:rsidR="0054090D" w:rsidRPr="0054090D" w:rsidRDefault="0054090D" w:rsidP="0054090D">
            <w:r w:rsidRPr="0054090D">
              <w:t>MC to risk</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AA65EB4" w14:textId="77777777" w:rsidR="0054090D" w:rsidRPr="0054090D" w:rsidRDefault="0054090D" w:rsidP="0054090D">
            <w:r w:rsidRPr="0054090D">
              <w:t>%weight</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B8C000C" w14:textId="77777777" w:rsidR="0054090D" w:rsidRPr="0054090D" w:rsidRDefault="0054090D" w:rsidP="0054090D">
            <w:r w:rsidRPr="0054090D">
              <w:t>Q SCORE</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4EAB257" w14:textId="77777777" w:rsidR="0054090D" w:rsidRPr="0054090D" w:rsidRDefault="0054090D" w:rsidP="0054090D">
            <w:r w:rsidRPr="0054090D">
              <w:t>Sector</w:t>
            </w:r>
          </w:p>
        </w:tc>
      </w:tr>
      <w:tr w:rsidR="0054090D" w:rsidRPr="0054090D" w14:paraId="615F9D9E"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660B435" w14:textId="77777777" w:rsidR="0054090D" w:rsidRPr="0054090D" w:rsidRDefault="0054090D" w:rsidP="0054090D">
            <w:r w:rsidRPr="0054090D">
              <w:t xml:space="preserve">CRC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6EE1372" w14:textId="77777777" w:rsidR="0054090D" w:rsidRPr="0054090D" w:rsidRDefault="0054090D" w:rsidP="0054090D">
            <w:r w:rsidRPr="0054090D">
              <w:t xml:space="preserve">CALIFORNIA RES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66CCD1C" w14:textId="77777777" w:rsidR="0054090D" w:rsidRPr="0054090D" w:rsidRDefault="0054090D" w:rsidP="0054090D">
            <w:r w:rsidRPr="0054090D">
              <w:t>0.086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7059D0F" w14:textId="77777777" w:rsidR="0054090D" w:rsidRPr="0054090D" w:rsidRDefault="0054090D" w:rsidP="0054090D">
            <w:r w:rsidRPr="0054090D">
              <w:t>0.13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D674C40" w14:textId="77777777" w:rsidR="0054090D" w:rsidRPr="0054090D" w:rsidRDefault="0054090D" w:rsidP="0054090D">
            <w:r w:rsidRPr="0054090D">
              <w:t>6.94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EE4FA34" w14:textId="77777777" w:rsidR="0054090D" w:rsidRPr="0054090D" w:rsidRDefault="0054090D" w:rsidP="0054090D">
            <w:r w:rsidRPr="0054090D">
              <w:t>Energy</w:t>
            </w:r>
          </w:p>
        </w:tc>
      </w:tr>
      <w:tr w:rsidR="0054090D" w:rsidRPr="0054090D" w14:paraId="3FD9B325"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C2E92A3" w14:textId="77777777" w:rsidR="0054090D" w:rsidRPr="0054090D" w:rsidRDefault="0054090D" w:rsidP="0054090D">
            <w:r w:rsidRPr="0054090D">
              <w:t xml:space="preserve">NXPI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1BC41B2" w14:textId="77777777" w:rsidR="0054090D" w:rsidRPr="0054090D" w:rsidRDefault="0054090D" w:rsidP="0054090D">
            <w:r w:rsidRPr="0054090D">
              <w:t>NXP SEMICONDUCTORS N V</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E311244" w14:textId="77777777" w:rsidR="0054090D" w:rsidRPr="0054090D" w:rsidRDefault="0054090D" w:rsidP="0054090D">
            <w:r w:rsidRPr="0054090D">
              <w:t>0.081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B96BB48" w14:textId="77777777" w:rsidR="0054090D" w:rsidRPr="0054090D" w:rsidRDefault="0054090D" w:rsidP="0054090D">
            <w:r w:rsidRPr="0054090D">
              <w:t>1.04</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09B874F" w14:textId="77777777" w:rsidR="0054090D" w:rsidRPr="0054090D" w:rsidRDefault="0054090D" w:rsidP="0054090D">
            <w:r w:rsidRPr="0054090D">
              <w:t>5.27</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9A2A67D" w14:textId="77777777" w:rsidR="0054090D" w:rsidRPr="0054090D" w:rsidRDefault="0054090D" w:rsidP="0054090D">
            <w:r w:rsidRPr="0054090D">
              <w:t>Information Technology</w:t>
            </w:r>
          </w:p>
        </w:tc>
      </w:tr>
      <w:tr w:rsidR="0054090D" w:rsidRPr="0054090D" w14:paraId="76A0E905"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DBA72F4" w14:textId="77777777" w:rsidR="0054090D" w:rsidRPr="0054090D" w:rsidRDefault="0054090D" w:rsidP="0054090D">
            <w:r w:rsidRPr="0054090D">
              <w:t xml:space="preserve">KMI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4D8AC52" w14:textId="77777777" w:rsidR="0054090D" w:rsidRPr="0054090D" w:rsidRDefault="0054090D" w:rsidP="0054090D">
            <w:r w:rsidRPr="0054090D">
              <w:t xml:space="preserve">KINDER MORGAN INC DEL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75789AC" w14:textId="77777777" w:rsidR="0054090D" w:rsidRPr="0054090D" w:rsidRDefault="0054090D" w:rsidP="0054090D">
            <w:r w:rsidRPr="0054090D">
              <w:t>0.078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4497B0D" w14:textId="77777777" w:rsidR="0054090D" w:rsidRPr="0054090D" w:rsidRDefault="0054090D" w:rsidP="0054090D">
            <w:r w:rsidRPr="0054090D">
              <w:t>0.73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2028D52" w14:textId="77777777" w:rsidR="0054090D" w:rsidRPr="0054090D" w:rsidRDefault="0054090D" w:rsidP="0054090D">
            <w:r w:rsidRPr="0054090D">
              <w:t>6.53</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6F45655" w14:textId="77777777" w:rsidR="0054090D" w:rsidRPr="0054090D" w:rsidRDefault="0054090D" w:rsidP="0054090D">
            <w:r w:rsidRPr="0054090D">
              <w:t>Energy</w:t>
            </w:r>
          </w:p>
        </w:tc>
      </w:tr>
      <w:tr w:rsidR="0054090D" w:rsidRPr="0054090D" w14:paraId="48C4B991"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6186579" w14:textId="77777777" w:rsidR="0054090D" w:rsidRPr="0054090D" w:rsidRDefault="0054090D" w:rsidP="0054090D">
            <w:r w:rsidRPr="0054090D">
              <w:t xml:space="preserve">MU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0F981CA" w14:textId="77777777" w:rsidR="0054090D" w:rsidRPr="0054090D" w:rsidRDefault="0054090D" w:rsidP="0054090D">
            <w:r w:rsidRPr="0054090D">
              <w:t xml:space="preserve">MICRON TECHNOLOGY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EF4EA04" w14:textId="77777777" w:rsidR="0054090D" w:rsidRPr="0054090D" w:rsidRDefault="0054090D" w:rsidP="0054090D">
            <w:r w:rsidRPr="0054090D">
              <w:t>0.067</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4C267CE" w14:textId="77777777" w:rsidR="0054090D" w:rsidRPr="0054090D" w:rsidRDefault="0054090D" w:rsidP="0054090D">
            <w:r w:rsidRPr="0054090D">
              <w:t>0.41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1152732" w14:textId="77777777" w:rsidR="0054090D" w:rsidRPr="0054090D" w:rsidRDefault="0054090D" w:rsidP="0054090D">
            <w:r w:rsidRPr="0054090D">
              <w:t>5.44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38D8F70" w14:textId="77777777" w:rsidR="0054090D" w:rsidRPr="0054090D" w:rsidRDefault="0054090D" w:rsidP="0054090D">
            <w:r w:rsidRPr="0054090D">
              <w:t>Information Technology</w:t>
            </w:r>
          </w:p>
        </w:tc>
      </w:tr>
      <w:tr w:rsidR="0054090D" w:rsidRPr="0054090D" w14:paraId="6A7552B1"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E0FCF82" w14:textId="77777777" w:rsidR="0054090D" w:rsidRPr="0054090D" w:rsidRDefault="0054090D" w:rsidP="0054090D">
            <w:r w:rsidRPr="0054090D">
              <w:t xml:space="preserve">SGY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F989446" w14:textId="77777777" w:rsidR="0054090D" w:rsidRPr="0054090D" w:rsidRDefault="0054090D" w:rsidP="0054090D">
            <w:r w:rsidRPr="0054090D">
              <w:t xml:space="preserve">STONE ENERGY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B7D50C5" w14:textId="77777777" w:rsidR="0054090D" w:rsidRPr="0054090D" w:rsidRDefault="0054090D" w:rsidP="0054090D">
            <w:r w:rsidRPr="0054090D">
              <w:t>0.066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1905B7A" w14:textId="77777777" w:rsidR="0054090D" w:rsidRPr="0054090D" w:rsidRDefault="0054090D" w:rsidP="0054090D">
            <w:r w:rsidRPr="0054090D">
              <w:t>0.01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A121CDB" w14:textId="77777777" w:rsidR="0054090D" w:rsidRPr="0054090D" w:rsidRDefault="0054090D" w:rsidP="0054090D">
            <w:r w:rsidRPr="0054090D">
              <w:t>NA</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3E9C69C" w14:textId="77777777" w:rsidR="0054090D" w:rsidRPr="0054090D" w:rsidRDefault="0054090D" w:rsidP="0054090D">
            <w:r w:rsidRPr="0054090D">
              <w:t>Energy</w:t>
            </w:r>
          </w:p>
        </w:tc>
      </w:tr>
      <w:tr w:rsidR="0054090D" w:rsidRPr="0054090D" w14:paraId="032FB92C"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1F2529A" w14:textId="77777777" w:rsidR="0054090D" w:rsidRPr="0054090D" w:rsidRDefault="0054090D" w:rsidP="0054090D">
            <w:r w:rsidRPr="0054090D">
              <w:t xml:space="preserve">WDC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857B2EA" w14:textId="77777777" w:rsidR="0054090D" w:rsidRPr="0054090D" w:rsidRDefault="0054090D" w:rsidP="0054090D">
            <w:r w:rsidRPr="0054090D">
              <w:t xml:space="preserve">WESTERN DIGITAL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777941A" w14:textId="77777777" w:rsidR="0054090D" w:rsidRPr="0054090D" w:rsidRDefault="0054090D" w:rsidP="0054090D">
            <w:r w:rsidRPr="0054090D">
              <w:t>0.062</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1795BCC" w14:textId="77777777" w:rsidR="0054090D" w:rsidRPr="0054090D" w:rsidRDefault="0054090D" w:rsidP="0054090D">
            <w:r w:rsidRPr="0054090D">
              <w:t>0.61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7C37D5A" w14:textId="77777777" w:rsidR="0054090D" w:rsidRPr="0054090D" w:rsidRDefault="0054090D" w:rsidP="0054090D">
            <w:r w:rsidRPr="0054090D">
              <w:t>5.22</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1AC89CF" w14:textId="77777777" w:rsidR="0054090D" w:rsidRPr="0054090D" w:rsidRDefault="0054090D" w:rsidP="0054090D">
            <w:r w:rsidRPr="0054090D">
              <w:t>Information Technology</w:t>
            </w:r>
          </w:p>
        </w:tc>
      </w:tr>
      <w:tr w:rsidR="0054090D" w:rsidRPr="0054090D" w14:paraId="0CB33AFB"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8DF80E9" w14:textId="77777777" w:rsidR="0054090D" w:rsidRPr="0054090D" w:rsidRDefault="0054090D" w:rsidP="0054090D">
            <w:r w:rsidRPr="0054090D">
              <w:t xml:space="preserve">QCOM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1613FC5" w14:textId="77777777" w:rsidR="0054090D" w:rsidRPr="0054090D" w:rsidRDefault="0054090D" w:rsidP="0054090D">
            <w:r w:rsidRPr="0054090D">
              <w:t xml:space="preserve">QUALCOMM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AD819DE" w14:textId="77777777" w:rsidR="0054090D" w:rsidRPr="0054090D" w:rsidRDefault="0054090D" w:rsidP="0054090D">
            <w:r w:rsidRPr="0054090D">
              <w:t>0.06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F65476B" w14:textId="77777777" w:rsidR="0054090D" w:rsidRPr="0054090D" w:rsidRDefault="0054090D" w:rsidP="0054090D">
            <w:r w:rsidRPr="0054090D">
              <w:t>2.17</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B71B1AE" w14:textId="77777777" w:rsidR="0054090D" w:rsidRPr="0054090D" w:rsidRDefault="0054090D" w:rsidP="0054090D">
            <w:r w:rsidRPr="0054090D">
              <w:t>5.14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3BA49F0" w14:textId="77777777" w:rsidR="0054090D" w:rsidRPr="0054090D" w:rsidRDefault="0054090D" w:rsidP="0054090D">
            <w:r w:rsidRPr="0054090D">
              <w:t>Information Technology</w:t>
            </w:r>
          </w:p>
        </w:tc>
      </w:tr>
      <w:tr w:rsidR="0054090D" w:rsidRPr="0054090D" w14:paraId="05978BBE"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2EA6AE7" w14:textId="77777777" w:rsidR="0054090D" w:rsidRPr="0054090D" w:rsidRDefault="0054090D" w:rsidP="0054090D">
            <w:r w:rsidRPr="0054090D">
              <w:t xml:space="preserve">CVX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613F0D8" w14:textId="77777777" w:rsidR="0054090D" w:rsidRPr="0054090D" w:rsidRDefault="0054090D" w:rsidP="0054090D">
            <w:r w:rsidRPr="0054090D">
              <w:t xml:space="preserve">CHEVRON CORP NEW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60B488A" w14:textId="77777777" w:rsidR="0054090D" w:rsidRPr="0054090D" w:rsidRDefault="0054090D" w:rsidP="0054090D">
            <w:r w:rsidRPr="0054090D">
              <w:t>0.058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9EAA735" w14:textId="77777777" w:rsidR="0054090D" w:rsidRPr="0054090D" w:rsidRDefault="0054090D" w:rsidP="0054090D">
            <w:r w:rsidRPr="0054090D">
              <w:t>5.15</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A1D6442" w14:textId="77777777" w:rsidR="0054090D" w:rsidRPr="0054090D" w:rsidRDefault="0054090D" w:rsidP="0054090D">
            <w:r w:rsidRPr="0054090D">
              <w:t>6.19</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49C272B" w14:textId="77777777" w:rsidR="0054090D" w:rsidRPr="0054090D" w:rsidRDefault="0054090D" w:rsidP="0054090D">
            <w:r w:rsidRPr="0054090D">
              <w:t>Energy</w:t>
            </w:r>
          </w:p>
        </w:tc>
      </w:tr>
      <w:tr w:rsidR="0054090D" w:rsidRPr="0054090D" w14:paraId="734F253E"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1D8B9D0" w14:textId="77777777" w:rsidR="0054090D" w:rsidRPr="0054090D" w:rsidRDefault="0054090D" w:rsidP="0054090D">
            <w:r w:rsidRPr="0054090D">
              <w:t xml:space="preserve">APC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25D2679" w14:textId="77777777" w:rsidR="0054090D" w:rsidRPr="0054090D" w:rsidRDefault="0054090D" w:rsidP="0054090D">
            <w:r w:rsidRPr="0054090D">
              <w:t xml:space="preserve">ANADARKO PETE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A99B57E" w14:textId="77777777" w:rsidR="0054090D" w:rsidRPr="0054090D" w:rsidRDefault="0054090D" w:rsidP="0054090D">
            <w:r w:rsidRPr="0054090D">
              <w:t>0.054</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5D46BD5" w14:textId="77777777" w:rsidR="0054090D" w:rsidRPr="0054090D" w:rsidRDefault="0054090D" w:rsidP="0054090D">
            <w:r w:rsidRPr="0054090D">
              <w:t>0.98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13981AE" w14:textId="77777777" w:rsidR="0054090D" w:rsidRPr="0054090D" w:rsidRDefault="0054090D" w:rsidP="0054090D">
            <w:r w:rsidRPr="0054090D">
              <w:t>6.72</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630A5A2" w14:textId="77777777" w:rsidR="0054090D" w:rsidRPr="0054090D" w:rsidRDefault="0054090D" w:rsidP="0054090D">
            <w:r w:rsidRPr="0054090D">
              <w:t>Energy</w:t>
            </w:r>
          </w:p>
        </w:tc>
      </w:tr>
      <w:tr w:rsidR="0054090D" w:rsidRPr="0054090D" w14:paraId="36C3CFD6"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E54C338" w14:textId="77777777" w:rsidR="0054090D" w:rsidRPr="0054090D" w:rsidRDefault="0054090D" w:rsidP="0054090D">
            <w:r w:rsidRPr="0054090D">
              <w:t xml:space="preserve">CIT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4D21362" w14:textId="77777777" w:rsidR="0054090D" w:rsidRPr="0054090D" w:rsidRDefault="0054090D" w:rsidP="0054090D">
            <w:r w:rsidRPr="0054090D">
              <w:t xml:space="preserve">CIT GROUP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A3E80DA" w14:textId="77777777" w:rsidR="0054090D" w:rsidRPr="0054090D" w:rsidRDefault="0054090D" w:rsidP="0054090D">
            <w:r w:rsidRPr="0054090D">
              <w:t>0.053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AE1F466" w14:textId="77777777" w:rsidR="0054090D" w:rsidRPr="0054090D" w:rsidRDefault="0054090D" w:rsidP="0054090D">
            <w:r w:rsidRPr="0054090D">
              <w:t>0.73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969D8A6" w14:textId="77777777" w:rsidR="0054090D" w:rsidRPr="0054090D" w:rsidRDefault="0054090D" w:rsidP="0054090D">
            <w:r w:rsidRPr="0054090D">
              <w:t>4.05</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CA95236" w14:textId="77777777" w:rsidR="0054090D" w:rsidRPr="0054090D" w:rsidRDefault="0054090D" w:rsidP="0054090D">
            <w:r w:rsidRPr="0054090D">
              <w:t>Financials</w:t>
            </w:r>
          </w:p>
        </w:tc>
      </w:tr>
    </w:tbl>
    <w:p w14:paraId="53B9B81C" w14:textId="77777777" w:rsidR="0054090D" w:rsidRPr="00576BD8" w:rsidRDefault="0054090D"/>
    <w:p w14:paraId="0828B6EC" w14:textId="00C06064" w:rsidR="001B28DE" w:rsidRPr="0054090D" w:rsidRDefault="0054090D">
      <w:pPr>
        <w:rPr>
          <w:b/>
        </w:rPr>
      </w:pPr>
      <w:r>
        <w:rPr>
          <w:b/>
        </w:rPr>
        <w:t>Q</w:t>
      </w:r>
      <w:r w:rsidR="00795B16" w:rsidRPr="00576BD8">
        <w:rPr>
          <w:b/>
        </w:rPr>
        <w:t>16. What stocks add the most sector risk?</w:t>
      </w:r>
    </w:p>
    <w:tbl>
      <w:tblPr>
        <w:tblW w:w="11880" w:type="dxa"/>
        <w:tblCellMar>
          <w:left w:w="0" w:type="dxa"/>
          <w:right w:w="0" w:type="dxa"/>
        </w:tblCellMar>
        <w:tblLook w:val="0600" w:firstRow="0" w:lastRow="0" w:firstColumn="0" w:lastColumn="0" w:noHBand="1" w:noVBand="1"/>
      </w:tblPr>
      <w:tblGrid>
        <w:gridCol w:w="1258"/>
        <w:gridCol w:w="3117"/>
        <w:gridCol w:w="1277"/>
        <w:gridCol w:w="1279"/>
        <w:gridCol w:w="1278"/>
        <w:gridCol w:w="3671"/>
      </w:tblGrid>
      <w:tr w:rsidR="0054090D" w:rsidRPr="0054090D" w14:paraId="7CB5F06F" w14:textId="77777777" w:rsidTr="0054090D">
        <w:trPr>
          <w:trHeight w:val="237"/>
        </w:trPr>
        <w:tc>
          <w:tcPr>
            <w:tcW w:w="4380" w:type="dxa"/>
            <w:gridSpan w:val="2"/>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BB55A5A" w14:textId="77777777" w:rsidR="0054090D" w:rsidRPr="0054090D" w:rsidRDefault="0054090D" w:rsidP="0054090D">
            <w:r w:rsidRPr="0054090D">
              <w:t>Least Diversifying</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7583ACF" w14:textId="77777777" w:rsidR="0054090D" w:rsidRPr="0054090D" w:rsidRDefault="0054090D" w:rsidP="0054090D">
            <w:r w:rsidRPr="0054090D">
              <w:t>MC to risk</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ED50AD1" w14:textId="77777777" w:rsidR="0054090D" w:rsidRPr="0054090D" w:rsidRDefault="0054090D" w:rsidP="0054090D">
            <w:r w:rsidRPr="0054090D">
              <w:t>%weight</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E0CB1E5" w14:textId="77777777" w:rsidR="0054090D" w:rsidRPr="0054090D" w:rsidRDefault="0054090D" w:rsidP="0054090D">
            <w:r w:rsidRPr="0054090D">
              <w:t>Q SCORE</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81159FB" w14:textId="77777777" w:rsidR="0054090D" w:rsidRPr="0054090D" w:rsidRDefault="0054090D" w:rsidP="0054090D">
            <w:r w:rsidRPr="0054090D">
              <w:t>Sector</w:t>
            </w:r>
          </w:p>
        </w:tc>
      </w:tr>
      <w:tr w:rsidR="0054090D" w:rsidRPr="0054090D" w14:paraId="2FEAB01C"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AD5D4FF" w14:textId="77777777" w:rsidR="0054090D" w:rsidRPr="0054090D" w:rsidRDefault="0054090D" w:rsidP="0054090D">
            <w:r w:rsidRPr="0054090D">
              <w:t xml:space="preserve">CRC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8593273" w14:textId="77777777" w:rsidR="0054090D" w:rsidRPr="0054090D" w:rsidRDefault="0054090D" w:rsidP="0054090D">
            <w:r w:rsidRPr="0054090D">
              <w:t xml:space="preserve">CALIFORNIA RES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0F12A57" w14:textId="77777777" w:rsidR="0054090D" w:rsidRPr="0054090D" w:rsidRDefault="0054090D" w:rsidP="0054090D">
            <w:r w:rsidRPr="0054090D">
              <w:t>0.086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EF206CD" w14:textId="77777777" w:rsidR="0054090D" w:rsidRPr="0054090D" w:rsidRDefault="0054090D" w:rsidP="0054090D">
            <w:r w:rsidRPr="0054090D">
              <w:t>0.13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5FBACFB" w14:textId="77777777" w:rsidR="0054090D" w:rsidRPr="0054090D" w:rsidRDefault="0054090D" w:rsidP="0054090D">
            <w:r w:rsidRPr="0054090D">
              <w:t>6.94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327FB92" w14:textId="77777777" w:rsidR="0054090D" w:rsidRPr="0054090D" w:rsidRDefault="0054090D" w:rsidP="0054090D">
            <w:r w:rsidRPr="0054090D">
              <w:t>Energy</w:t>
            </w:r>
          </w:p>
        </w:tc>
      </w:tr>
      <w:tr w:rsidR="0054090D" w:rsidRPr="0054090D" w14:paraId="024E3C6E"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972F21F" w14:textId="77777777" w:rsidR="0054090D" w:rsidRPr="0054090D" w:rsidRDefault="0054090D" w:rsidP="0054090D">
            <w:r w:rsidRPr="0054090D">
              <w:t xml:space="preserve">NXPI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9BF78D6" w14:textId="77777777" w:rsidR="0054090D" w:rsidRPr="0054090D" w:rsidRDefault="0054090D" w:rsidP="0054090D">
            <w:r w:rsidRPr="0054090D">
              <w:t>NXP SEMICONDUCTORS N V</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18B80F6" w14:textId="77777777" w:rsidR="0054090D" w:rsidRPr="0054090D" w:rsidRDefault="0054090D" w:rsidP="0054090D">
            <w:r w:rsidRPr="0054090D">
              <w:t>0.081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FDF2154" w14:textId="77777777" w:rsidR="0054090D" w:rsidRPr="0054090D" w:rsidRDefault="0054090D" w:rsidP="0054090D">
            <w:r w:rsidRPr="0054090D">
              <w:t>1.04</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E0E63B0" w14:textId="77777777" w:rsidR="0054090D" w:rsidRPr="0054090D" w:rsidRDefault="0054090D" w:rsidP="0054090D">
            <w:r w:rsidRPr="0054090D">
              <w:t>5.27</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9133E6A" w14:textId="77777777" w:rsidR="0054090D" w:rsidRPr="0054090D" w:rsidRDefault="0054090D" w:rsidP="0054090D">
            <w:r w:rsidRPr="0054090D">
              <w:t>Information Technology</w:t>
            </w:r>
          </w:p>
        </w:tc>
      </w:tr>
      <w:tr w:rsidR="0054090D" w:rsidRPr="0054090D" w14:paraId="6760FF10"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E710C39" w14:textId="77777777" w:rsidR="0054090D" w:rsidRPr="0054090D" w:rsidRDefault="0054090D" w:rsidP="0054090D">
            <w:r w:rsidRPr="0054090D">
              <w:lastRenderedPageBreak/>
              <w:t xml:space="preserve">KMI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1EEAC65" w14:textId="77777777" w:rsidR="0054090D" w:rsidRPr="0054090D" w:rsidRDefault="0054090D" w:rsidP="0054090D">
            <w:r w:rsidRPr="0054090D">
              <w:t xml:space="preserve">KINDER MORGAN INC DEL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C586652" w14:textId="77777777" w:rsidR="0054090D" w:rsidRPr="0054090D" w:rsidRDefault="0054090D" w:rsidP="0054090D">
            <w:r w:rsidRPr="0054090D">
              <w:t>0.078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65A4A81" w14:textId="77777777" w:rsidR="0054090D" w:rsidRPr="0054090D" w:rsidRDefault="0054090D" w:rsidP="0054090D">
            <w:r w:rsidRPr="0054090D">
              <w:t>0.73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0E9143A" w14:textId="77777777" w:rsidR="0054090D" w:rsidRPr="0054090D" w:rsidRDefault="0054090D" w:rsidP="0054090D">
            <w:r w:rsidRPr="0054090D">
              <w:t>6.53</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8B9B4FC" w14:textId="77777777" w:rsidR="0054090D" w:rsidRPr="0054090D" w:rsidRDefault="0054090D" w:rsidP="0054090D">
            <w:r w:rsidRPr="0054090D">
              <w:t>Energy</w:t>
            </w:r>
          </w:p>
        </w:tc>
      </w:tr>
      <w:tr w:rsidR="0054090D" w:rsidRPr="0054090D" w14:paraId="39ECE6E9"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F25E8A6" w14:textId="77777777" w:rsidR="0054090D" w:rsidRPr="0054090D" w:rsidRDefault="0054090D" w:rsidP="0054090D">
            <w:r w:rsidRPr="0054090D">
              <w:t xml:space="preserve">MU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C5AE7FF" w14:textId="77777777" w:rsidR="0054090D" w:rsidRPr="0054090D" w:rsidRDefault="0054090D" w:rsidP="0054090D">
            <w:r w:rsidRPr="0054090D">
              <w:t xml:space="preserve">MICRON TECHNOLOGY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682E440" w14:textId="77777777" w:rsidR="0054090D" w:rsidRPr="0054090D" w:rsidRDefault="0054090D" w:rsidP="0054090D">
            <w:r w:rsidRPr="0054090D">
              <w:t>0.067</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67B3115" w14:textId="77777777" w:rsidR="0054090D" w:rsidRPr="0054090D" w:rsidRDefault="0054090D" w:rsidP="0054090D">
            <w:r w:rsidRPr="0054090D">
              <w:t>0.41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F16D78F" w14:textId="77777777" w:rsidR="0054090D" w:rsidRPr="0054090D" w:rsidRDefault="0054090D" w:rsidP="0054090D">
            <w:r w:rsidRPr="0054090D">
              <w:t>5.44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A585620" w14:textId="77777777" w:rsidR="0054090D" w:rsidRPr="0054090D" w:rsidRDefault="0054090D" w:rsidP="0054090D">
            <w:r w:rsidRPr="0054090D">
              <w:t>Information Technology</w:t>
            </w:r>
          </w:p>
        </w:tc>
      </w:tr>
      <w:tr w:rsidR="0054090D" w:rsidRPr="0054090D" w14:paraId="7BE1A1A1"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06357F4" w14:textId="77777777" w:rsidR="0054090D" w:rsidRPr="0054090D" w:rsidRDefault="0054090D" w:rsidP="0054090D">
            <w:r w:rsidRPr="0054090D">
              <w:t xml:space="preserve">SGY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E320748" w14:textId="77777777" w:rsidR="0054090D" w:rsidRPr="0054090D" w:rsidRDefault="0054090D" w:rsidP="0054090D">
            <w:r w:rsidRPr="0054090D">
              <w:t xml:space="preserve">STONE ENERGY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04E0E41" w14:textId="77777777" w:rsidR="0054090D" w:rsidRPr="0054090D" w:rsidRDefault="0054090D" w:rsidP="0054090D">
            <w:r w:rsidRPr="0054090D">
              <w:t>0.066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D8596D3" w14:textId="77777777" w:rsidR="0054090D" w:rsidRPr="0054090D" w:rsidRDefault="0054090D" w:rsidP="0054090D">
            <w:r w:rsidRPr="0054090D">
              <w:t>0.01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8F7F3DE" w14:textId="77777777" w:rsidR="0054090D" w:rsidRPr="0054090D" w:rsidRDefault="0054090D" w:rsidP="0054090D">
            <w:r w:rsidRPr="0054090D">
              <w:t>NA</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B5375F8" w14:textId="77777777" w:rsidR="0054090D" w:rsidRPr="0054090D" w:rsidRDefault="0054090D" w:rsidP="0054090D">
            <w:r w:rsidRPr="0054090D">
              <w:t>Energy</w:t>
            </w:r>
          </w:p>
        </w:tc>
      </w:tr>
      <w:tr w:rsidR="0054090D" w:rsidRPr="0054090D" w14:paraId="6F04677A"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A02851E" w14:textId="77777777" w:rsidR="0054090D" w:rsidRPr="0054090D" w:rsidRDefault="0054090D" w:rsidP="0054090D">
            <w:r w:rsidRPr="0054090D">
              <w:t xml:space="preserve">WDC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DB98B77" w14:textId="77777777" w:rsidR="0054090D" w:rsidRPr="0054090D" w:rsidRDefault="0054090D" w:rsidP="0054090D">
            <w:r w:rsidRPr="0054090D">
              <w:t xml:space="preserve">WESTERN DIGITAL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2283D95" w14:textId="77777777" w:rsidR="0054090D" w:rsidRPr="0054090D" w:rsidRDefault="0054090D" w:rsidP="0054090D">
            <w:r w:rsidRPr="0054090D">
              <w:t>0.062</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CCF3F97" w14:textId="77777777" w:rsidR="0054090D" w:rsidRPr="0054090D" w:rsidRDefault="0054090D" w:rsidP="0054090D">
            <w:r w:rsidRPr="0054090D">
              <w:t>0.61</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5C7621F" w14:textId="77777777" w:rsidR="0054090D" w:rsidRPr="0054090D" w:rsidRDefault="0054090D" w:rsidP="0054090D">
            <w:r w:rsidRPr="0054090D">
              <w:t>5.22</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D0BF6B6" w14:textId="77777777" w:rsidR="0054090D" w:rsidRPr="0054090D" w:rsidRDefault="0054090D" w:rsidP="0054090D">
            <w:r w:rsidRPr="0054090D">
              <w:t>Information Technology</w:t>
            </w:r>
          </w:p>
        </w:tc>
      </w:tr>
      <w:tr w:rsidR="0054090D" w:rsidRPr="0054090D" w14:paraId="18616847"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702987A" w14:textId="77777777" w:rsidR="0054090D" w:rsidRPr="0054090D" w:rsidRDefault="0054090D" w:rsidP="0054090D">
            <w:r w:rsidRPr="0054090D">
              <w:t xml:space="preserve">QCOM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9A03C30" w14:textId="77777777" w:rsidR="0054090D" w:rsidRPr="0054090D" w:rsidRDefault="0054090D" w:rsidP="0054090D">
            <w:r w:rsidRPr="0054090D">
              <w:t xml:space="preserve">QUALCOMM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331DC4B" w14:textId="77777777" w:rsidR="0054090D" w:rsidRPr="0054090D" w:rsidRDefault="0054090D" w:rsidP="0054090D">
            <w:r w:rsidRPr="0054090D">
              <w:t>0.06</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ADD27CC" w14:textId="77777777" w:rsidR="0054090D" w:rsidRPr="0054090D" w:rsidRDefault="0054090D" w:rsidP="0054090D">
            <w:r w:rsidRPr="0054090D">
              <w:t>2.17</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714CB55E" w14:textId="77777777" w:rsidR="0054090D" w:rsidRPr="0054090D" w:rsidRDefault="0054090D" w:rsidP="0054090D">
            <w:r w:rsidRPr="0054090D">
              <w:t>5.14</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6D6C572" w14:textId="77777777" w:rsidR="0054090D" w:rsidRPr="0054090D" w:rsidRDefault="0054090D" w:rsidP="0054090D">
            <w:r w:rsidRPr="0054090D">
              <w:t>Information Technology</w:t>
            </w:r>
          </w:p>
        </w:tc>
      </w:tr>
      <w:tr w:rsidR="0054090D" w:rsidRPr="0054090D" w14:paraId="2D0C71B7"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6BEA38AB" w14:textId="77777777" w:rsidR="0054090D" w:rsidRPr="0054090D" w:rsidRDefault="0054090D" w:rsidP="0054090D">
            <w:r w:rsidRPr="0054090D">
              <w:t xml:space="preserve">CVX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38CDFE6" w14:textId="77777777" w:rsidR="0054090D" w:rsidRPr="0054090D" w:rsidRDefault="0054090D" w:rsidP="0054090D">
            <w:r w:rsidRPr="0054090D">
              <w:t xml:space="preserve">CHEVRON CORP NEW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E764410" w14:textId="77777777" w:rsidR="0054090D" w:rsidRPr="0054090D" w:rsidRDefault="0054090D" w:rsidP="0054090D">
            <w:r w:rsidRPr="0054090D">
              <w:t>0.058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3A1DD48F" w14:textId="77777777" w:rsidR="0054090D" w:rsidRPr="0054090D" w:rsidRDefault="0054090D" w:rsidP="0054090D">
            <w:r w:rsidRPr="0054090D">
              <w:t>5.15</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5703503" w14:textId="77777777" w:rsidR="0054090D" w:rsidRPr="0054090D" w:rsidRDefault="0054090D" w:rsidP="0054090D">
            <w:r w:rsidRPr="0054090D">
              <w:t>6.19</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CAE7D5E" w14:textId="77777777" w:rsidR="0054090D" w:rsidRPr="0054090D" w:rsidRDefault="0054090D" w:rsidP="0054090D">
            <w:r w:rsidRPr="0054090D">
              <w:t>Energy</w:t>
            </w:r>
          </w:p>
        </w:tc>
      </w:tr>
      <w:tr w:rsidR="0054090D" w:rsidRPr="0054090D" w14:paraId="211E75C9"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17348E7" w14:textId="77777777" w:rsidR="0054090D" w:rsidRPr="0054090D" w:rsidRDefault="0054090D" w:rsidP="0054090D">
            <w:r w:rsidRPr="0054090D">
              <w:t xml:space="preserve">APC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EC0B470" w14:textId="77777777" w:rsidR="0054090D" w:rsidRPr="0054090D" w:rsidRDefault="0054090D" w:rsidP="0054090D">
            <w:r w:rsidRPr="0054090D">
              <w:t xml:space="preserve">ANADARKO PETE CORP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51D70374" w14:textId="77777777" w:rsidR="0054090D" w:rsidRPr="0054090D" w:rsidRDefault="0054090D" w:rsidP="0054090D">
            <w:r w:rsidRPr="0054090D">
              <w:t>0.054</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0AC6004" w14:textId="77777777" w:rsidR="0054090D" w:rsidRPr="0054090D" w:rsidRDefault="0054090D" w:rsidP="0054090D">
            <w:r w:rsidRPr="0054090D">
              <w:t>0.98</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FEC625B" w14:textId="77777777" w:rsidR="0054090D" w:rsidRPr="0054090D" w:rsidRDefault="0054090D" w:rsidP="0054090D">
            <w:r w:rsidRPr="0054090D">
              <w:t>6.72</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1A85FBED" w14:textId="77777777" w:rsidR="0054090D" w:rsidRPr="0054090D" w:rsidRDefault="0054090D" w:rsidP="0054090D">
            <w:r w:rsidRPr="0054090D">
              <w:t>Energy</w:t>
            </w:r>
          </w:p>
        </w:tc>
      </w:tr>
      <w:tr w:rsidR="0054090D" w:rsidRPr="0054090D" w14:paraId="4D0413DB" w14:textId="77777777" w:rsidTr="0054090D">
        <w:trPr>
          <w:trHeight w:val="255"/>
        </w:trPr>
        <w:tc>
          <w:tcPr>
            <w:tcW w:w="126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8996CD3" w14:textId="77777777" w:rsidR="0054090D" w:rsidRPr="0054090D" w:rsidRDefault="0054090D" w:rsidP="0054090D">
            <w:r w:rsidRPr="0054090D">
              <w:t xml:space="preserve">CIT     </w:t>
            </w:r>
          </w:p>
        </w:tc>
        <w:tc>
          <w:tcPr>
            <w:tcW w:w="310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0F09519" w14:textId="77777777" w:rsidR="0054090D" w:rsidRPr="0054090D" w:rsidRDefault="0054090D" w:rsidP="0054090D">
            <w:r w:rsidRPr="0054090D">
              <w:t xml:space="preserve">CIT GROUP INC         </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894ADA2" w14:textId="77777777" w:rsidR="0054090D" w:rsidRPr="0054090D" w:rsidRDefault="0054090D" w:rsidP="0054090D">
            <w:r w:rsidRPr="0054090D">
              <w:t>0.053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0AD5F99F" w14:textId="77777777" w:rsidR="0054090D" w:rsidRPr="0054090D" w:rsidRDefault="0054090D" w:rsidP="0054090D">
            <w:r w:rsidRPr="0054090D">
              <w:t>0.73</w:t>
            </w:r>
          </w:p>
        </w:tc>
        <w:tc>
          <w:tcPr>
            <w:tcW w:w="12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4DD5ED1A" w14:textId="77777777" w:rsidR="0054090D" w:rsidRPr="0054090D" w:rsidRDefault="0054090D" w:rsidP="0054090D">
            <w:r w:rsidRPr="0054090D">
              <w:t>4.05</w:t>
            </w:r>
          </w:p>
        </w:tc>
        <w:tc>
          <w:tcPr>
            <w:tcW w:w="3680" w:type="dxa"/>
            <w:tcBorders>
              <w:top w:val="single" w:sz="6" w:space="0" w:color="5C72B2"/>
              <w:left w:val="single" w:sz="6" w:space="0" w:color="5C72B2"/>
              <w:bottom w:val="single" w:sz="6" w:space="0" w:color="5C72B2"/>
              <w:right w:val="single" w:sz="6" w:space="0" w:color="5C72B2"/>
            </w:tcBorders>
            <w:shd w:val="clear" w:color="auto" w:fill="auto"/>
            <w:tcMar>
              <w:top w:w="15" w:type="dxa"/>
              <w:left w:w="15" w:type="dxa"/>
              <w:bottom w:w="0" w:type="dxa"/>
              <w:right w:w="15" w:type="dxa"/>
            </w:tcMar>
            <w:vAlign w:val="bottom"/>
            <w:hideMark/>
          </w:tcPr>
          <w:p w14:paraId="22F5DBF5" w14:textId="77777777" w:rsidR="0054090D" w:rsidRPr="0054090D" w:rsidRDefault="0054090D" w:rsidP="0054090D">
            <w:r w:rsidRPr="0054090D">
              <w:t>Financials</w:t>
            </w:r>
          </w:p>
        </w:tc>
      </w:tr>
    </w:tbl>
    <w:p w14:paraId="00507A5D" w14:textId="77777777" w:rsidR="0054090D" w:rsidRPr="00576BD8" w:rsidRDefault="0054090D"/>
    <w:p w14:paraId="7EA62093" w14:textId="45E8A3AD" w:rsidR="001B28DE" w:rsidRDefault="00461964">
      <w:pPr>
        <w:rPr>
          <w:b/>
          <w:highlight w:val="white"/>
        </w:rPr>
      </w:pPr>
      <w:r>
        <w:rPr>
          <w:b/>
          <w:highlight w:val="white"/>
        </w:rPr>
        <w:t>Q</w:t>
      </w:r>
      <w:r w:rsidR="00795B16" w:rsidRPr="00576BD8">
        <w:rPr>
          <w:b/>
          <w:highlight w:val="white"/>
        </w:rPr>
        <w:t xml:space="preserve">17. Sell one stock that has a lot of sector risk.  Replace the stock with a new appropriate </w:t>
      </w:r>
    </w:p>
    <w:p w14:paraId="1DA0D1F5" w14:textId="77777777" w:rsidR="001B28DE" w:rsidRDefault="00795B16">
      <w:pPr>
        <w:rPr>
          <w:b/>
          <w:highlight w:val="white"/>
        </w:rPr>
      </w:pPr>
      <w:r w:rsidRPr="00576BD8">
        <w:rPr>
          <w:b/>
          <w:highlight w:val="white"/>
        </w:rPr>
        <w:t xml:space="preserve">stock.  Explain why you sold the stock and why you added the other stock. </w:t>
      </w:r>
    </w:p>
    <w:p w14:paraId="389834B4" w14:textId="77777777" w:rsidR="003957AC" w:rsidRDefault="003957AC">
      <w:pPr>
        <w:rPr>
          <w:b/>
          <w:highlight w:val="white"/>
        </w:rPr>
      </w:pPr>
    </w:p>
    <w:p w14:paraId="422AB462" w14:textId="08DC0CCA" w:rsidR="003957AC" w:rsidRDefault="0054090D">
      <w:pPr>
        <w:rPr>
          <w:highlight w:val="white"/>
        </w:rPr>
      </w:pPr>
      <w:r>
        <w:rPr>
          <w:highlight w:val="white"/>
        </w:rPr>
        <w:t>Sell</w:t>
      </w:r>
      <w:r w:rsidR="00461964">
        <w:rPr>
          <w:highlight w:val="white"/>
        </w:rPr>
        <w:t>:</w:t>
      </w:r>
      <w:r>
        <w:rPr>
          <w:highlight w:val="white"/>
        </w:rPr>
        <w:t xml:space="preserve"> </w:t>
      </w:r>
      <w:r w:rsidR="001D3EC3">
        <w:rPr>
          <w:highlight w:val="white"/>
        </w:rPr>
        <w:t xml:space="preserve"> MXIM (Maxim Integrated products)</w:t>
      </w:r>
      <w:r w:rsidR="003957AC">
        <w:rPr>
          <w:highlight w:val="white"/>
        </w:rPr>
        <w:t xml:space="preserve"> </w:t>
      </w:r>
    </w:p>
    <w:p w14:paraId="18A0EF1F" w14:textId="77777777" w:rsidR="003957AC" w:rsidRDefault="003957AC">
      <w:pPr>
        <w:rPr>
          <w:highlight w:val="white"/>
        </w:rPr>
      </w:pPr>
    </w:p>
    <w:p w14:paraId="38C50A38" w14:textId="77777777" w:rsidR="001D3EC3" w:rsidRDefault="003957AC">
      <w:pPr>
        <w:rPr>
          <w:highlight w:val="white"/>
        </w:rPr>
      </w:pPr>
      <w:r>
        <w:rPr>
          <w:highlight w:val="white"/>
        </w:rPr>
        <w:t>Reasons:</w:t>
      </w:r>
    </w:p>
    <w:p w14:paraId="7D8DE9B9" w14:textId="628245A7" w:rsidR="003957AC" w:rsidRPr="001D3EC3" w:rsidRDefault="001D3EC3" w:rsidP="001D3EC3">
      <w:pPr>
        <w:rPr>
          <w:highlight w:val="white"/>
        </w:rPr>
      </w:pPr>
      <w:r>
        <w:rPr>
          <w:highlight w:val="white"/>
        </w:rPr>
        <w:t xml:space="preserve">For starters, MXIM simply isn’t a value stock, with </w:t>
      </w:r>
      <w:r w:rsidR="003957AC" w:rsidRPr="001D3EC3">
        <w:rPr>
          <w:highlight w:val="white"/>
        </w:rPr>
        <w:t xml:space="preserve">60.62 PE, </w:t>
      </w:r>
      <w:r>
        <w:rPr>
          <w:highlight w:val="white"/>
        </w:rPr>
        <w:t xml:space="preserve">and long term book to price ratio of </w:t>
      </w:r>
      <w:r w:rsidR="003957AC" w:rsidRPr="001D3EC3">
        <w:rPr>
          <w:highlight w:val="white"/>
        </w:rPr>
        <w:t>10.9</w:t>
      </w:r>
      <w:r>
        <w:rPr>
          <w:highlight w:val="white"/>
        </w:rPr>
        <w:t>. In addition, of the contributors to sector risk, it had the most negative quant alpha as predicted by the US master quant screen.</w:t>
      </w:r>
      <w:r w:rsidR="003957AC" w:rsidRPr="001D3EC3">
        <w:rPr>
          <w:highlight w:val="white"/>
        </w:rPr>
        <w:t xml:space="preserve"> </w:t>
      </w:r>
    </w:p>
    <w:p w14:paraId="001D483C" w14:textId="77777777" w:rsidR="003957AC" w:rsidRDefault="003957AC">
      <w:pPr>
        <w:rPr>
          <w:highlight w:val="white"/>
        </w:rPr>
      </w:pPr>
    </w:p>
    <w:p w14:paraId="3AB6F6E7" w14:textId="3D90EE13" w:rsidR="001D3EC3" w:rsidRDefault="003957AC">
      <w:pPr>
        <w:rPr>
          <w:highlight w:val="white"/>
        </w:rPr>
      </w:pPr>
      <w:r>
        <w:rPr>
          <w:highlight w:val="white"/>
        </w:rPr>
        <w:t xml:space="preserve">Buy: </w:t>
      </w:r>
      <w:r w:rsidR="001D3EC3">
        <w:rPr>
          <w:highlight w:val="white"/>
        </w:rPr>
        <w:t>AVT (Avnet)</w:t>
      </w:r>
    </w:p>
    <w:p w14:paraId="16E2C9ED" w14:textId="199E1D6D" w:rsidR="003957AC" w:rsidRDefault="003957AC">
      <w:pPr>
        <w:rPr>
          <w:highlight w:val="white"/>
        </w:rPr>
      </w:pPr>
      <w:r>
        <w:rPr>
          <w:highlight w:val="white"/>
        </w:rPr>
        <w:t xml:space="preserve">To keep our sector </w:t>
      </w:r>
      <w:r w:rsidR="001D3EC3">
        <w:rPr>
          <w:highlight w:val="white"/>
        </w:rPr>
        <w:t>risk exposure the same</w:t>
      </w:r>
      <w:r>
        <w:rPr>
          <w:highlight w:val="white"/>
        </w:rPr>
        <w:t>, we want to swap the sto</w:t>
      </w:r>
      <w:r w:rsidR="001D3EC3">
        <w:rPr>
          <w:highlight w:val="white"/>
        </w:rPr>
        <w:t>ck with another IT stock. From the US Master quant screen</w:t>
      </w:r>
      <w:r>
        <w:rPr>
          <w:highlight w:val="white"/>
        </w:rPr>
        <w:t xml:space="preserve"> we see that </w:t>
      </w:r>
      <w:r w:rsidR="001D3EC3">
        <w:rPr>
          <w:highlight w:val="white"/>
        </w:rPr>
        <w:t>AVT is also an IT stock and has a good quant score of 4. Furthermore, the stock is a better value pick, with a lower PE for an IT stock of 10.62. Finally, the stock has a good dividend yield and only a moderate level of debt, which gives us confidence that it isn’t a value trap.</w:t>
      </w:r>
    </w:p>
    <w:p w14:paraId="47EC66C9" w14:textId="0FEFDAE5" w:rsidR="00BA0CEA" w:rsidRPr="00576BD8" w:rsidRDefault="00795B16">
      <w:r w:rsidRPr="00576BD8">
        <w:rPr>
          <w:b/>
          <w:highlight w:val="white"/>
        </w:rPr>
        <w:t xml:space="preserve"> </w:t>
      </w:r>
    </w:p>
    <w:p w14:paraId="532FFF24" w14:textId="7CE35096" w:rsidR="00BA0CEA" w:rsidRDefault="00461964">
      <w:pPr>
        <w:rPr>
          <w:b/>
        </w:rPr>
      </w:pPr>
      <w:r>
        <w:rPr>
          <w:b/>
        </w:rPr>
        <w:t>Q</w:t>
      </w:r>
      <w:r w:rsidR="00795B16" w:rsidRPr="00576BD8">
        <w:rPr>
          <w:b/>
        </w:rPr>
        <w:t xml:space="preserve">18. Sell one stock that has a lot of style risk. Replace the stock with a new appropriate stock. Explain why you sold the stock and why you added the other stock. </w:t>
      </w:r>
    </w:p>
    <w:p w14:paraId="7FAD4400" w14:textId="77777777" w:rsidR="00B96499" w:rsidRDefault="00B96499"/>
    <w:p w14:paraId="271A6EED" w14:textId="306AAABF" w:rsidR="00476095" w:rsidRDefault="00B96499">
      <w:r>
        <w:t>Sell: CRC</w:t>
      </w:r>
      <w:r w:rsidR="00476095">
        <w:t xml:space="preserve"> </w:t>
      </w:r>
      <w:r>
        <w:t>(</w:t>
      </w:r>
      <w:r w:rsidR="00476095">
        <w:t>California Res</w:t>
      </w:r>
      <w:r>
        <w:t>ource Group)</w:t>
      </w:r>
    </w:p>
    <w:p w14:paraId="072535FC" w14:textId="551CD2FA" w:rsidR="00B96499" w:rsidRDefault="00B96499">
      <w:r>
        <w:t>CRC is not large cap stock with a market cap of $504 million, in addition to it having the second largest contribution to style risk and a high quant score of 6.94 on the US Master screen. Further research showed that the company has a dangerously high debt to equity ratio of 272.4, in addition to an incredibly large short interest as a percent of float.</w:t>
      </w:r>
    </w:p>
    <w:p w14:paraId="14D31B39" w14:textId="77777777" w:rsidR="00B96499" w:rsidRDefault="00B96499"/>
    <w:p w14:paraId="6230AB3E" w14:textId="68DE0B07" w:rsidR="00476095" w:rsidRDefault="00476095">
      <w:r>
        <w:t>BUY:  TSO</w:t>
      </w:r>
      <w:r w:rsidR="00B96499">
        <w:t xml:space="preserve"> (Tesoro Corporation)</w:t>
      </w:r>
    </w:p>
    <w:p w14:paraId="04821237" w14:textId="77777777" w:rsidR="00476095" w:rsidRDefault="00476095"/>
    <w:p w14:paraId="0A8E6456" w14:textId="77A67108" w:rsidR="00476095" w:rsidRDefault="00B96499">
      <w:r>
        <w:t>TSO is a much better pick for FRGEX for several reasons: while still being in the same sector, it has a better quant s</w:t>
      </w:r>
      <w:r w:rsidR="00476095">
        <w:t xml:space="preserve">core of </w:t>
      </w:r>
      <w:r w:rsidR="00070E0A">
        <w:t>4.92</w:t>
      </w:r>
      <w:r>
        <w:t>, and a moderate PE of 12. In addition, it is actually a large cap stock, which is more consistent with the fund’s proclaimed investment strategy.</w:t>
      </w:r>
    </w:p>
    <w:p w14:paraId="3C1E4BFF" w14:textId="77777777" w:rsidR="00476095" w:rsidRPr="00576BD8" w:rsidRDefault="00476095"/>
    <w:p w14:paraId="735BE4E9" w14:textId="379774F7" w:rsidR="00BA0CEA" w:rsidRDefault="00461964">
      <w:pPr>
        <w:rPr>
          <w:b/>
        </w:rPr>
      </w:pPr>
      <w:r>
        <w:rPr>
          <w:b/>
        </w:rPr>
        <w:t>Q</w:t>
      </w:r>
      <w:r w:rsidR="00795B16" w:rsidRPr="00576BD8">
        <w:rPr>
          <w:b/>
        </w:rPr>
        <w:t xml:space="preserve">19. Sell one stock that is inappropriate/”out of place”/”does not belong” in the fund. Replace the stock with a new stock. Explain why you sold the stock and why you added the other stock. </w:t>
      </w:r>
    </w:p>
    <w:p w14:paraId="098724F0" w14:textId="77777777" w:rsidR="00070E0A" w:rsidRDefault="00070E0A">
      <w:pPr>
        <w:rPr>
          <w:b/>
        </w:rPr>
      </w:pPr>
    </w:p>
    <w:p w14:paraId="2915EFE4" w14:textId="35A61960" w:rsidR="00B96499" w:rsidRDefault="00B96499">
      <w:r>
        <w:lastRenderedPageBreak/>
        <w:t xml:space="preserve">Sell: </w:t>
      </w:r>
      <w:r w:rsidR="00070E0A">
        <w:t xml:space="preserve">SGY – </w:t>
      </w:r>
      <w:r>
        <w:t>Stone Energy Corp.</w:t>
      </w:r>
    </w:p>
    <w:p w14:paraId="40284101" w14:textId="77777777" w:rsidR="00B96499" w:rsidRDefault="00B96499"/>
    <w:p w14:paraId="20A0AFFB" w14:textId="32DB22B7" w:rsidR="00070E0A" w:rsidRDefault="00B96499">
      <w:r>
        <w:t xml:space="preserve">Why FRGEX holds SGY is a complete mystery – it isn’t really a value stock with a </w:t>
      </w:r>
      <w:r w:rsidR="00070E0A">
        <w:t>value score of -2.84 in Barra</w:t>
      </w:r>
      <w:r>
        <w:t>, and it isn’t a large cap stock either with a $39.23 million market capitalization.</w:t>
      </w:r>
    </w:p>
    <w:p w14:paraId="2088957A" w14:textId="78EF5B64" w:rsidR="00B96499" w:rsidRDefault="00B96499">
      <w:r>
        <w:t>The icing on the cake is that it doesn’t have an available number for its PE ratio because the company has been logging losses for so long.</w:t>
      </w:r>
    </w:p>
    <w:p w14:paraId="1BBAB64D" w14:textId="77777777" w:rsidR="00070E0A" w:rsidRDefault="00070E0A"/>
    <w:p w14:paraId="0BCC842E" w14:textId="7218EE0B" w:rsidR="008043CB" w:rsidRDefault="00B96499">
      <w:r>
        <w:t xml:space="preserve">Buy: </w:t>
      </w:r>
      <w:r w:rsidR="00070E0A">
        <w:t xml:space="preserve">VLO – </w:t>
      </w:r>
      <w:r>
        <w:t>Valero Energy Corp.</w:t>
      </w:r>
    </w:p>
    <w:p w14:paraId="41710D83" w14:textId="77777777" w:rsidR="00B96499" w:rsidRDefault="00B96499"/>
    <w:p w14:paraId="29203BA0" w14:textId="4E8D608E" w:rsidR="00B96499" w:rsidRDefault="00B96499">
      <w:r>
        <w:t>Valero is a better fit because it’s market capitalization of $29.62 billion fits the fund’s investment style, and it doesn’t affect sector allocations because it is also an energy stock. VLO is a good value play because of its good quant score of 4.55, and a lower PE ratio of 7.90 trailing, 8.56 forward</w:t>
      </w:r>
    </w:p>
    <w:p w14:paraId="40DEA8B9" w14:textId="77777777" w:rsidR="00070E0A" w:rsidRPr="00070E0A" w:rsidRDefault="00070E0A"/>
    <w:p w14:paraId="59C4EE03" w14:textId="486F05EA" w:rsidR="003538F7" w:rsidRDefault="00461964">
      <w:pPr>
        <w:rPr>
          <w:b/>
        </w:rPr>
      </w:pPr>
      <w:r>
        <w:rPr>
          <w:b/>
        </w:rPr>
        <w:t>Q</w:t>
      </w:r>
      <w:r w:rsidR="00795B16" w:rsidRPr="00576BD8">
        <w:rPr>
          <w:b/>
        </w:rPr>
        <w:t xml:space="preserve">20. Does the fund manager hold the stock that “seems out of place”, in their other funds? </w:t>
      </w:r>
    </w:p>
    <w:p w14:paraId="5C25D92A" w14:textId="108D6A2C" w:rsidR="003538F7" w:rsidRPr="00461964" w:rsidRDefault="00461964">
      <w:r>
        <w:t>Yes, John Mirshekari’s Fidelity Value Fund, Fidelity Low Priced Stock Fund, and others all hold SGY, but Factset and LinkedIn provide no further insight into any possible connections he may have to the company</w:t>
      </w:r>
    </w:p>
    <w:p w14:paraId="2769C0DF" w14:textId="72EBD3B6" w:rsidR="00BA0CEA" w:rsidRDefault="00795B16">
      <w:pPr>
        <w:rPr>
          <w:b/>
        </w:rPr>
      </w:pPr>
      <w:r w:rsidRPr="00576BD8">
        <w:rPr>
          <w:b/>
        </w:rPr>
        <w:t xml:space="preserve">21. What is the information ratio for the fund? </w:t>
      </w:r>
    </w:p>
    <w:p w14:paraId="1C2ED76E" w14:textId="3696CE70" w:rsidR="00461964" w:rsidRPr="00576BD8" w:rsidRDefault="00461964">
      <w:r>
        <w:t>The information ratio for FRGEX is -1.35, which is terrible. Much of this poor performance is due to unusually poor returns in the past year, but the fund’s low level of active risk allows for little negative deviation from the fund’s benchmark performance before the information ratio plummets.</w:t>
      </w:r>
    </w:p>
    <w:p w14:paraId="1F18F92A" w14:textId="77777777" w:rsidR="00BA0CEA" w:rsidRPr="00576BD8" w:rsidRDefault="00795B16">
      <w:r w:rsidRPr="00576BD8">
        <w:rPr>
          <w:b/>
        </w:rPr>
        <w:t>22. Would you provide a salary increase for the fund manager? Why or why not?</w:t>
      </w:r>
    </w:p>
    <w:p w14:paraId="1C1B850B" w14:textId="79C310B0" w:rsidR="00BA0CEA" w:rsidRPr="00576BD8" w:rsidRDefault="00461964">
      <w:r>
        <w:t>I would not provide a salary increase for the fund manager, because although they didn’t do anything grossly irresponsible, they didn’t do much at all in terms of providing value for their clients. Because the majority of the fund’s active risk comes from stock selection, it reflects only the work of the individual fund managers who picked the stock, making it difficult for one to pin the fund’s poor performance on anyone but the managers. Because the fund underperformed as well as misrepresented itself as a value fund when it is really a value tilted index, a salary increase for the fund manager would be entirely unwarranted.</w:t>
      </w:r>
    </w:p>
    <w:p w14:paraId="66CBC718" w14:textId="77777777" w:rsidR="00BA0CEA" w:rsidRPr="00576BD8" w:rsidRDefault="00BA0CEA"/>
    <w:p w14:paraId="32A1C43A" w14:textId="77777777" w:rsidR="00BA0CEA" w:rsidRPr="00576BD8" w:rsidRDefault="00BA0CEA"/>
    <w:p w14:paraId="02F1BD1D" w14:textId="77777777" w:rsidR="00BA0CEA" w:rsidRPr="00576BD8" w:rsidRDefault="00795B16">
      <w:r w:rsidRPr="00576BD8">
        <w:t xml:space="preserve"> </w:t>
      </w:r>
    </w:p>
    <w:p w14:paraId="0EF0C56C" w14:textId="77777777" w:rsidR="00BA0CEA" w:rsidRPr="00576BD8" w:rsidRDefault="00BA0CEA"/>
    <w:sectPr w:rsidR="00BA0CEA" w:rsidRPr="00576B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D55D1"/>
    <w:multiLevelType w:val="multilevel"/>
    <w:tmpl w:val="F2A2F3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4437B39"/>
    <w:multiLevelType w:val="multilevel"/>
    <w:tmpl w:val="0B841A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C8E3326"/>
    <w:multiLevelType w:val="multilevel"/>
    <w:tmpl w:val="C9C63C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7EF43365"/>
    <w:multiLevelType w:val="multilevel"/>
    <w:tmpl w:val="E174D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isplayBackgroundShape/>
  <w:defaultTabStop w:val="720"/>
  <w:characterSpacingControl w:val="doNotCompress"/>
  <w:compat>
    <w:compatSetting w:name="compatibilityMode" w:uri="http://schemas.microsoft.com/office/word" w:val="14"/>
  </w:compat>
  <w:docVars>
    <w:docVar w:name="APWAFVersion" w:val="5.0"/>
  </w:docVars>
  <w:rsids>
    <w:rsidRoot w:val="00BA0CEA"/>
    <w:rsid w:val="000043EB"/>
    <w:rsid w:val="00017DB8"/>
    <w:rsid w:val="000244C4"/>
    <w:rsid w:val="00070E0A"/>
    <w:rsid w:val="001630DC"/>
    <w:rsid w:val="0017059D"/>
    <w:rsid w:val="001B28DE"/>
    <w:rsid w:val="001C28B1"/>
    <w:rsid w:val="001D3EC3"/>
    <w:rsid w:val="001E56AE"/>
    <w:rsid w:val="00233574"/>
    <w:rsid w:val="00337B36"/>
    <w:rsid w:val="003538F7"/>
    <w:rsid w:val="003957AC"/>
    <w:rsid w:val="003C7998"/>
    <w:rsid w:val="00461964"/>
    <w:rsid w:val="00476095"/>
    <w:rsid w:val="00531BB0"/>
    <w:rsid w:val="0054090D"/>
    <w:rsid w:val="00576BD8"/>
    <w:rsid w:val="006B0C48"/>
    <w:rsid w:val="006E3C5E"/>
    <w:rsid w:val="007211D7"/>
    <w:rsid w:val="00795B16"/>
    <w:rsid w:val="007C2EFE"/>
    <w:rsid w:val="007E2A5E"/>
    <w:rsid w:val="008043CB"/>
    <w:rsid w:val="00847E8E"/>
    <w:rsid w:val="00922E67"/>
    <w:rsid w:val="00A14C32"/>
    <w:rsid w:val="00A37D93"/>
    <w:rsid w:val="00AB4B46"/>
    <w:rsid w:val="00AC10CB"/>
    <w:rsid w:val="00B96499"/>
    <w:rsid w:val="00BA0CEA"/>
    <w:rsid w:val="00C44929"/>
    <w:rsid w:val="00CD37B3"/>
    <w:rsid w:val="00CD721C"/>
    <w:rsid w:val="00D76B37"/>
    <w:rsid w:val="00EB07AE"/>
    <w:rsid w:val="00EE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8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C5E"/>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contextualSpacing/>
    </w:pPr>
    <w:rPr>
      <w:rFonts w:ascii="Arial" w:hAnsi="Arial" w:cs="Arial"/>
      <w:color w:val="000000"/>
      <w:sz w:val="52"/>
      <w:szCs w:val="52"/>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AC10C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3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498846">
      <w:bodyDiv w:val="1"/>
      <w:marLeft w:val="0"/>
      <w:marRight w:val="0"/>
      <w:marTop w:val="0"/>
      <w:marBottom w:val="0"/>
      <w:divBdr>
        <w:top w:val="none" w:sz="0" w:space="0" w:color="auto"/>
        <w:left w:val="none" w:sz="0" w:space="0" w:color="auto"/>
        <w:bottom w:val="none" w:sz="0" w:space="0" w:color="auto"/>
        <w:right w:val="none" w:sz="0" w:space="0" w:color="auto"/>
      </w:divBdr>
    </w:div>
    <w:div w:id="1044258739">
      <w:bodyDiv w:val="1"/>
      <w:marLeft w:val="0"/>
      <w:marRight w:val="0"/>
      <w:marTop w:val="0"/>
      <w:marBottom w:val="0"/>
      <w:divBdr>
        <w:top w:val="none" w:sz="0" w:space="0" w:color="auto"/>
        <w:left w:val="none" w:sz="0" w:space="0" w:color="auto"/>
        <w:bottom w:val="none" w:sz="0" w:space="0" w:color="auto"/>
        <w:right w:val="none" w:sz="0" w:space="0" w:color="auto"/>
      </w:divBdr>
    </w:div>
    <w:div w:id="1210532731">
      <w:bodyDiv w:val="1"/>
      <w:marLeft w:val="0"/>
      <w:marRight w:val="0"/>
      <w:marTop w:val="0"/>
      <w:marBottom w:val="0"/>
      <w:divBdr>
        <w:top w:val="none" w:sz="0" w:space="0" w:color="auto"/>
        <w:left w:val="none" w:sz="0" w:space="0" w:color="auto"/>
        <w:bottom w:val="none" w:sz="0" w:space="0" w:color="auto"/>
        <w:right w:val="none" w:sz="0" w:space="0" w:color="auto"/>
      </w:divBdr>
    </w:div>
    <w:div w:id="1211380920">
      <w:bodyDiv w:val="1"/>
      <w:marLeft w:val="0"/>
      <w:marRight w:val="0"/>
      <w:marTop w:val="0"/>
      <w:marBottom w:val="0"/>
      <w:divBdr>
        <w:top w:val="none" w:sz="0" w:space="0" w:color="auto"/>
        <w:left w:val="none" w:sz="0" w:space="0" w:color="auto"/>
        <w:bottom w:val="none" w:sz="0" w:space="0" w:color="auto"/>
        <w:right w:val="none" w:sz="0" w:space="0" w:color="auto"/>
      </w:divBdr>
    </w:div>
    <w:div w:id="1344474968">
      <w:bodyDiv w:val="1"/>
      <w:marLeft w:val="0"/>
      <w:marRight w:val="0"/>
      <w:marTop w:val="0"/>
      <w:marBottom w:val="0"/>
      <w:divBdr>
        <w:top w:val="none" w:sz="0" w:space="0" w:color="auto"/>
        <w:left w:val="none" w:sz="0" w:space="0" w:color="auto"/>
        <w:bottom w:val="none" w:sz="0" w:space="0" w:color="auto"/>
        <w:right w:val="none" w:sz="0" w:space="0" w:color="auto"/>
      </w:divBdr>
    </w:div>
    <w:div w:id="1348940927">
      <w:bodyDiv w:val="1"/>
      <w:marLeft w:val="0"/>
      <w:marRight w:val="0"/>
      <w:marTop w:val="0"/>
      <w:marBottom w:val="0"/>
      <w:divBdr>
        <w:top w:val="none" w:sz="0" w:space="0" w:color="auto"/>
        <w:left w:val="none" w:sz="0" w:space="0" w:color="auto"/>
        <w:bottom w:val="none" w:sz="0" w:space="0" w:color="auto"/>
        <w:right w:val="none" w:sz="0" w:space="0" w:color="auto"/>
      </w:divBdr>
    </w:div>
    <w:div w:id="1410031923">
      <w:bodyDiv w:val="1"/>
      <w:marLeft w:val="0"/>
      <w:marRight w:val="0"/>
      <w:marTop w:val="0"/>
      <w:marBottom w:val="0"/>
      <w:divBdr>
        <w:top w:val="none" w:sz="0" w:space="0" w:color="auto"/>
        <w:left w:val="none" w:sz="0" w:space="0" w:color="auto"/>
        <w:bottom w:val="none" w:sz="0" w:space="0" w:color="auto"/>
        <w:right w:val="none" w:sz="0" w:space="0" w:color="auto"/>
      </w:divBdr>
    </w:div>
    <w:div w:id="1443107849">
      <w:bodyDiv w:val="1"/>
      <w:marLeft w:val="0"/>
      <w:marRight w:val="0"/>
      <w:marTop w:val="0"/>
      <w:marBottom w:val="0"/>
      <w:divBdr>
        <w:top w:val="none" w:sz="0" w:space="0" w:color="auto"/>
        <w:left w:val="none" w:sz="0" w:space="0" w:color="auto"/>
        <w:bottom w:val="none" w:sz="0" w:space="0" w:color="auto"/>
        <w:right w:val="none" w:sz="0" w:space="0" w:color="auto"/>
      </w:divBdr>
    </w:div>
    <w:div w:id="1669946175">
      <w:bodyDiv w:val="1"/>
      <w:marLeft w:val="0"/>
      <w:marRight w:val="0"/>
      <w:marTop w:val="0"/>
      <w:marBottom w:val="0"/>
      <w:divBdr>
        <w:top w:val="none" w:sz="0" w:space="0" w:color="auto"/>
        <w:left w:val="none" w:sz="0" w:space="0" w:color="auto"/>
        <w:bottom w:val="none" w:sz="0" w:space="0" w:color="auto"/>
        <w:right w:val="none" w:sz="0" w:space="0" w:color="auto"/>
      </w:divBdr>
    </w:div>
    <w:div w:id="1684434113">
      <w:bodyDiv w:val="1"/>
      <w:marLeft w:val="0"/>
      <w:marRight w:val="0"/>
      <w:marTop w:val="0"/>
      <w:marBottom w:val="0"/>
      <w:divBdr>
        <w:top w:val="none" w:sz="0" w:space="0" w:color="auto"/>
        <w:left w:val="none" w:sz="0" w:space="0" w:color="auto"/>
        <w:bottom w:val="none" w:sz="0" w:space="0" w:color="auto"/>
        <w:right w:val="none" w:sz="0" w:space="0" w:color="auto"/>
      </w:divBdr>
    </w:div>
    <w:div w:id="1904174463">
      <w:bodyDiv w:val="1"/>
      <w:marLeft w:val="0"/>
      <w:marRight w:val="0"/>
      <w:marTop w:val="0"/>
      <w:marBottom w:val="0"/>
      <w:divBdr>
        <w:top w:val="none" w:sz="0" w:space="0" w:color="auto"/>
        <w:left w:val="none" w:sz="0" w:space="0" w:color="auto"/>
        <w:bottom w:val="none" w:sz="0" w:space="0" w:color="auto"/>
        <w:right w:val="none" w:sz="0" w:space="0" w:color="auto"/>
      </w:divBdr>
    </w:div>
    <w:div w:id="1919317062">
      <w:bodyDiv w:val="1"/>
      <w:marLeft w:val="0"/>
      <w:marRight w:val="0"/>
      <w:marTop w:val="0"/>
      <w:marBottom w:val="0"/>
      <w:divBdr>
        <w:top w:val="none" w:sz="0" w:space="0" w:color="auto"/>
        <w:left w:val="none" w:sz="0" w:space="0" w:color="auto"/>
        <w:bottom w:val="none" w:sz="0" w:space="0" w:color="auto"/>
        <w:right w:val="none" w:sz="0" w:space="0" w:color="auto"/>
      </w:divBdr>
    </w:div>
    <w:div w:id="20553459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2203</Words>
  <Characters>12563</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14737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Pit Kauffmann</cp:lastModifiedBy>
  <cp:revision>2</cp:revision>
  <dcterms:created xsi:type="dcterms:W3CDTF">2016-04-18T22:04:00Z</dcterms:created>
  <dcterms:modified xsi:type="dcterms:W3CDTF">2016-04-18T22:04:00Z</dcterms:modified>
</cp:coreProperties>
</file>