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C320C" w14:textId="77777777" w:rsidR="00D108CF" w:rsidRDefault="002E7499" w:rsidP="002E7499">
      <w:pPr>
        <w:jc w:val="center"/>
        <w:rPr>
          <w:b/>
        </w:rPr>
      </w:pPr>
      <w:r w:rsidRPr="002E7499">
        <w:rPr>
          <w:b/>
        </w:rPr>
        <w:t xml:space="preserve">FIN 334 – Fund Analysis: </w:t>
      </w:r>
      <w:r w:rsidR="00404D7E">
        <w:rPr>
          <w:b/>
        </w:rPr>
        <w:t>Delafield Fund</w:t>
      </w:r>
    </w:p>
    <w:p w14:paraId="6FB8EDCB" w14:textId="77777777" w:rsidR="002E7499" w:rsidRDefault="002E7499" w:rsidP="002E7499">
      <w:pPr>
        <w:rPr>
          <w:b/>
        </w:rPr>
      </w:pPr>
      <w:r>
        <w:rPr>
          <w:b/>
        </w:rPr>
        <w:t>Question 1</w:t>
      </w:r>
    </w:p>
    <w:p w14:paraId="2487731E" w14:textId="77777777" w:rsidR="002E7499" w:rsidRDefault="00404D7E" w:rsidP="002E7499">
      <w:pPr>
        <w:rPr>
          <w:b/>
        </w:rPr>
      </w:pPr>
      <w:r>
        <w:rPr>
          <w:noProof/>
        </w:rPr>
        <w:drawing>
          <wp:inline distT="0" distB="0" distL="0" distR="0" wp14:anchorId="286398B1" wp14:editId="0FE573E1">
            <wp:extent cx="210502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714375"/>
                    </a:xfrm>
                    <a:prstGeom prst="rect">
                      <a:avLst/>
                    </a:prstGeom>
                  </pic:spPr>
                </pic:pic>
              </a:graphicData>
            </a:graphic>
          </wp:inline>
        </w:drawing>
      </w:r>
    </w:p>
    <w:p w14:paraId="7B580ECD" w14:textId="293056F0" w:rsidR="002E7499" w:rsidRDefault="002E7499" w:rsidP="002E7499">
      <w:pPr>
        <w:jc w:val="both"/>
      </w:pPr>
      <w:r>
        <w:t xml:space="preserve">As the name does not specify any specific market cap restraints, this distribution </w:t>
      </w:r>
      <w:r w:rsidR="00404D7E">
        <w:t>seems fine. The fund is mostly invested in mid and small</w:t>
      </w:r>
      <w:r>
        <w:t xml:space="preserve"> cap stocks. </w:t>
      </w:r>
      <w:r w:rsidR="00404D7E">
        <w:t xml:space="preserve">The fund is officially characterized as a mid-cap, making the small investments in micro and mega-cap appropriate. The almost 46% distribution into mid-cap stocks also reinforces this classification. Overall, none of the investments </w:t>
      </w:r>
      <w:r w:rsidR="009B6673">
        <w:t xml:space="preserve">(apart from mega and micro-cap) </w:t>
      </w:r>
      <w:r w:rsidR="00404D7E">
        <w:t>seem out of line with the description of the fund.</w:t>
      </w:r>
      <w:r w:rsidR="000D4A7B">
        <w:t xml:space="preserve"> Interestingly, the fund itself does not define a market capitalization breakdown for the Delafield fund, whereas the Tocqueville fund, which is the other fund managed by Delafield’s two managers</w:t>
      </w:r>
      <w:r w:rsidR="007E1A50">
        <w:t xml:space="preserve">, </w:t>
      </w:r>
      <w:r w:rsidR="009021F6">
        <w:t>has the sa</w:t>
      </w:r>
      <w:r w:rsidR="00870BC9">
        <w:t>me market cap breakdown as we used</w:t>
      </w:r>
      <w:r w:rsidR="009021F6">
        <w:t xml:space="preserve"> in this class.</w:t>
      </w:r>
    </w:p>
    <w:p w14:paraId="7C3CC48E" w14:textId="77777777" w:rsidR="002E7499" w:rsidRDefault="002E7499" w:rsidP="002E7499">
      <w:pPr>
        <w:jc w:val="both"/>
        <w:rPr>
          <w:b/>
        </w:rPr>
      </w:pPr>
      <w:r w:rsidRPr="002E7499">
        <w:rPr>
          <w:b/>
        </w:rPr>
        <w:t>Question 2</w:t>
      </w:r>
    </w:p>
    <w:p w14:paraId="424D85FB" w14:textId="77777777" w:rsidR="00BB672A" w:rsidRDefault="00F04B7A" w:rsidP="00404D7E">
      <w:pPr>
        <w:jc w:val="both"/>
      </w:pPr>
      <w:r w:rsidRPr="00C35E44">
        <w:t xml:space="preserve">Fund </w:t>
      </w:r>
      <w:r w:rsidR="00404D7E">
        <w:t>Co-</w:t>
      </w:r>
      <w:r w:rsidRPr="00C35E44">
        <w:t>Manager</w:t>
      </w:r>
      <w:r w:rsidR="00404D7E">
        <w:t>s</w:t>
      </w:r>
      <w:r w:rsidRPr="00C35E44">
        <w:t xml:space="preserve">: </w:t>
      </w:r>
      <w:r w:rsidR="00404D7E">
        <w:t>John Dennis Delafield, Jr. and Vincent Sellecchia who manage a total position of</w:t>
      </w:r>
      <w:r w:rsidR="00330336">
        <w:t xml:space="preserve"> $</w:t>
      </w:r>
      <w:r w:rsidR="00404D7E">
        <w:t>570M in AUM at the Delafield fund. The following funds are also managed by either of the two names mentioned above:</w:t>
      </w:r>
    </w:p>
    <w:p w14:paraId="3319B48B" w14:textId="77777777" w:rsidR="00404D7E" w:rsidRDefault="00404D7E" w:rsidP="00404D7E">
      <w:pPr>
        <w:pStyle w:val="ListParagraph"/>
        <w:numPr>
          <w:ilvl w:val="0"/>
          <w:numId w:val="2"/>
        </w:numPr>
        <w:jc w:val="both"/>
      </w:pPr>
      <w:r>
        <w:t>The Tocqueville Select Fund ($62.2M), which is managed by both as well as Donald Wang</w:t>
      </w:r>
    </w:p>
    <w:p w14:paraId="7C300179" w14:textId="77777777" w:rsidR="00404D7E" w:rsidRDefault="00404D7E" w:rsidP="00404D7E">
      <w:pPr>
        <w:jc w:val="both"/>
      </w:pPr>
      <w:r>
        <w:t xml:space="preserve">Both funds managed by Delafield and Sellecchia are value fund, with the Tocqueville fund </w:t>
      </w:r>
      <w:r w:rsidR="008F045B">
        <w:t>classified</w:t>
      </w:r>
      <w:r>
        <w:t xml:space="preserve"> as multi-cap and the Delafield fund as mid-cap. </w:t>
      </w:r>
      <w:r w:rsidR="00330336">
        <w:t>Generally, it is good to see both managers only manage one other fund. This ensures that they have enough resources and time available to actually actively manage both and do not dilute their interest in one of them, On the flip side, experience with a total of “only” $630M AUM, both managers might lack some experience in managing larger sums of money. Additionally, it might be questioned as to why they are only managing two funds: did they have to opportunity to manage more, but decided to focus on those two, or did they never get the opportunity to manage more due to poor performance.</w:t>
      </w:r>
    </w:p>
    <w:p w14:paraId="58B57C03" w14:textId="77777777" w:rsidR="00040671" w:rsidRPr="00040671" w:rsidRDefault="00040671" w:rsidP="00BB672A">
      <w:pPr>
        <w:jc w:val="both"/>
        <w:rPr>
          <w:b/>
        </w:rPr>
      </w:pPr>
      <w:r w:rsidRPr="00040671">
        <w:rPr>
          <w:b/>
        </w:rPr>
        <w:t>Question 3</w:t>
      </w:r>
    </w:p>
    <w:p w14:paraId="45635F13" w14:textId="77777777" w:rsidR="00040671" w:rsidRDefault="00BA2806" w:rsidP="002E7499">
      <w:pPr>
        <w:jc w:val="both"/>
      </w:pPr>
      <w:r>
        <w:t>Basic Ratios:</w:t>
      </w:r>
    </w:p>
    <w:tbl>
      <w:tblPr>
        <w:tblStyle w:val="TableGrid"/>
        <w:tblW w:w="0" w:type="auto"/>
        <w:tblLook w:val="04A0" w:firstRow="1" w:lastRow="0" w:firstColumn="1" w:lastColumn="0" w:noHBand="0" w:noVBand="1"/>
      </w:tblPr>
      <w:tblGrid>
        <w:gridCol w:w="4675"/>
        <w:gridCol w:w="4675"/>
      </w:tblGrid>
      <w:tr w:rsidR="00330336" w:rsidRPr="00330336" w14:paraId="513398E0" w14:textId="77777777" w:rsidTr="00EC6D1B">
        <w:tc>
          <w:tcPr>
            <w:tcW w:w="4675" w:type="dxa"/>
            <w:vAlign w:val="bottom"/>
          </w:tcPr>
          <w:p w14:paraId="10432988" w14:textId="77777777" w:rsidR="00330336" w:rsidRPr="00330336" w:rsidRDefault="00330336" w:rsidP="00330336">
            <w:pPr>
              <w:rPr>
                <w:rFonts w:cs="Arial"/>
                <w:bCs/>
                <w:sz w:val="20"/>
                <w:szCs w:val="20"/>
              </w:rPr>
            </w:pPr>
            <w:r w:rsidRPr="00330336">
              <w:rPr>
                <w:rFonts w:cs="Arial"/>
                <w:bCs/>
                <w:sz w:val="20"/>
                <w:szCs w:val="20"/>
              </w:rPr>
              <w:t>Avg P/E Ratio</w:t>
            </w:r>
          </w:p>
        </w:tc>
        <w:tc>
          <w:tcPr>
            <w:tcW w:w="4675" w:type="dxa"/>
            <w:vAlign w:val="bottom"/>
          </w:tcPr>
          <w:p w14:paraId="7B9D00C6" w14:textId="77777777" w:rsidR="00330336" w:rsidRPr="00330336" w:rsidRDefault="00330336" w:rsidP="00330336">
            <w:pPr>
              <w:jc w:val="center"/>
              <w:rPr>
                <w:rFonts w:cs="Arial"/>
                <w:sz w:val="20"/>
                <w:szCs w:val="20"/>
              </w:rPr>
            </w:pPr>
            <w:r w:rsidRPr="00330336">
              <w:rPr>
                <w:rFonts w:cs="Arial"/>
                <w:sz w:val="20"/>
                <w:szCs w:val="20"/>
              </w:rPr>
              <w:t>18.64</w:t>
            </w:r>
          </w:p>
        </w:tc>
      </w:tr>
      <w:tr w:rsidR="00330336" w:rsidRPr="00330336" w14:paraId="4FA077EF" w14:textId="77777777" w:rsidTr="00EC6D1B">
        <w:tc>
          <w:tcPr>
            <w:tcW w:w="4675" w:type="dxa"/>
            <w:vAlign w:val="bottom"/>
          </w:tcPr>
          <w:p w14:paraId="437CA769" w14:textId="77777777" w:rsidR="00330336" w:rsidRPr="00330336" w:rsidRDefault="00330336" w:rsidP="00330336">
            <w:pPr>
              <w:rPr>
                <w:rFonts w:cs="Arial"/>
                <w:bCs/>
                <w:sz w:val="20"/>
                <w:szCs w:val="20"/>
              </w:rPr>
            </w:pPr>
            <w:r w:rsidRPr="00330336">
              <w:rPr>
                <w:rFonts w:cs="Arial"/>
                <w:bCs/>
                <w:sz w:val="20"/>
                <w:szCs w:val="20"/>
              </w:rPr>
              <w:t>Avg P/B Ratio</w:t>
            </w:r>
          </w:p>
        </w:tc>
        <w:tc>
          <w:tcPr>
            <w:tcW w:w="4675" w:type="dxa"/>
            <w:vAlign w:val="bottom"/>
          </w:tcPr>
          <w:p w14:paraId="202F3F6A" w14:textId="77777777" w:rsidR="00330336" w:rsidRPr="00330336" w:rsidRDefault="00330336" w:rsidP="00330336">
            <w:pPr>
              <w:jc w:val="center"/>
              <w:rPr>
                <w:rFonts w:cs="Arial"/>
                <w:sz w:val="20"/>
                <w:szCs w:val="20"/>
              </w:rPr>
            </w:pPr>
            <w:r w:rsidRPr="00330336">
              <w:rPr>
                <w:rFonts w:cs="Arial"/>
                <w:sz w:val="20"/>
                <w:szCs w:val="20"/>
              </w:rPr>
              <w:t>2.39</w:t>
            </w:r>
          </w:p>
        </w:tc>
      </w:tr>
      <w:tr w:rsidR="00330336" w:rsidRPr="00330336" w14:paraId="1C5C15B0" w14:textId="77777777" w:rsidTr="00EC6D1B">
        <w:tc>
          <w:tcPr>
            <w:tcW w:w="4675" w:type="dxa"/>
            <w:vAlign w:val="bottom"/>
          </w:tcPr>
          <w:p w14:paraId="5A25EF07" w14:textId="77777777" w:rsidR="00330336" w:rsidRPr="00330336" w:rsidRDefault="00330336" w:rsidP="00330336">
            <w:pPr>
              <w:rPr>
                <w:rFonts w:cs="Arial"/>
                <w:bCs/>
                <w:sz w:val="20"/>
                <w:szCs w:val="20"/>
              </w:rPr>
            </w:pPr>
            <w:r w:rsidRPr="00330336">
              <w:rPr>
                <w:rFonts w:cs="Arial"/>
                <w:bCs/>
                <w:sz w:val="20"/>
                <w:szCs w:val="20"/>
              </w:rPr>
              <w:t>Avg Div Yld (%)</w:t>
            </w:r>
          </w:p>
        </w:tc>
        <w:tc>
          <w:tcPr>
            <w:tcW w:w="4675" w:type="dxa"/>
            <w:vAlign w:val="bottom"/>
          </w:tcPr>
          <w:p w14:paraId="7C4FCC43" w14:textId="77777777" w:rsidR="00330336" w:rsidRPr="00330336" w:rsidRDefault="00330336" w:rsidP="00330336">
            <w:pPr>
              <w:jc w:val="center"/>
              <w:rPr>
                <w:rFonts w:cs="Arial"/>
                <w:sz w:val="20"/>
                <w:szCs w:val="20"/>
              </w:rPr>
            </w:pPr>
            <w:r w:rsidRPr="00330336">
              <w:rPr>
                <w:rFonts w:cs="Arial"/>
                <w:sz w:val="20"/>
                <w:szCs w:val="20"/>
              </w:rPr>
              <w:t>1.27</w:t>
            </w:r>
          </w:p>
        </w:tc>
      </w:tr>
      <w:tr w:rsidR="00330336" w:rsidRPr="00330336" w14:paraId="2121EA7A" w14:textId="77777777" w:rsidTr="00EC6D1B">
        <w:tc>
          <w:tcPr>
            <w:tcW w:w="4675" w:type="dxa"/>
            <w:vAlign w:val="bottom"/>
          </w:tcPr>
          <w:p w14:paraId="13B8B16B" w14:textId="77777777" w:rsidR="00330336" w:rsidRPr="00330336" w:rsidRDefault="00330336" w:rsidP="00330336">
            <w:pPr>
              <w:rPr>
                <w:rFonts w:cs="Arial"/>
                <w:bCs/>
                <w:sz w:val="20"/>
                <w:szCs w:val="20"/>
              </w:rPr>
            </w:pPr>
            <w:r w:rsidRPr="00330336">
              <w:rPr>
                <w:rFonts w:cs="Arial"/>
                <w:bCs/>
                <w:sz w:val="20"/>
                <w:szCs w:val="20"/>
              </w:rPr>
              <w:t>Avg Sales Growth (%)</w:t>
            </w:r>
          </w:p>
        </w:tc>
        <w:tc>
          <w:tcPr>
            <w:tcW w:w="4675" w:type="dxa"/>
            <w:vAlign w:val="bottom"/>
          </w:tcPr>
          <w:p w14:paraId="2F7B1D5B" w14:textId="77777777" w:rsidR="00330336" w:rsidRPr="00330336" w:rsidRDefault="00330336" w:rsidP="00330336">
            <w:pPr>
              <w:jc w:val="center"/>
              <w:rPr>
                <w:rFonts w:cs="Arial"/>
                <w:sz w:val="20"/>
                <w:szCs w:val="20"/>
              </w:rPr>
            </w:pPr>
            <w:r w:rsidRPr="00330336">
              <w:rPr>
                <w:rFonts w:cs="Arial"/>
                <w:sz w:val="20"/>
                <w:szCs w:val="20"/>
              </w:rPr>
              <w:t>0.43</w:t>
            </w:r>
          </w:p>
        </w:tc>
      </w:tr>
      <w:tr w:rsidR="00330336" w:rsidRPr="00330336" w14:paraId="7DEA5EE0" w14:textId="77777777" w:rsidTr="00EC6D1B">
        <w:tc>
          <w:tcPr>
            <w:tcW w:w="4675" w:type="dxa"/>
            <w:vAlign w:val="bottom"/>
          </w:tcPr>
          <w:p w14:paraId="2D2D0990" w14:textId="77777777" w:rsidR="00330336" w:rsidRPr="00330336" w:rsidRDefault="00330336" w:rsidP="00330336">
            <w:pPr>
              <w:rPr>
                <w:rFonts w:cs="Arial"/>
                <w:bCs/>
                <w:sz w:val="20"/>
                <w:szCs w:val="20"/>
              </w:rPr>
            </w:pPr>
            <w:r w:rsidRPr="00330336">
              <w:rPr>
                <w:rFonts w:cs="Arial"/>
                <w:bCs/>
                <w:sz w:val="20"/>
                <w:szCs w:val="20"/>
              </w:rPr>
              <w:t>Price Momentum</w:t>
            </w:r>
          </w:p>
        </w:tc>
        <w:tc>
          <w:tcPr>
            <w:tcW w:w="4675" w:type="dxa"/>
            <w:vAlign w:val="bottom"/>
          </w:tcPr>
          <w:p w14:paraId="33D4987A" w14:textId="77777777" w:rsidR="00330336" w:rsidRPr="00330336" w:rsidRDefault="00330336" w:rsidP="00330336">
            <w:pPr>
              <w:jc w:val="center"/>
              <w:rPr>
                <w:rFonts w:cs="Arial"/>
                <w:sz w:val="20"/>
                <w:szCs w:val="20"/>
              </w:rPr>
            </w:pPr>
            <w:r w:rsidRPr="00330336">
              <w:rPr>
                <w:rFonts w:cs="Arial"/>
                <w:sz w:val="20"/>
                <w:szCs w:val="20"/>
              </w:rPr>
              <w:t>1.08</w:t>
            </w:r>
          </w:p>
        </w:tc>
      </w:tr>
      <w:tr w:rsidR="00330336" w:rsidRPr="00330336" w14:paraId="6DC6A30B" w14:textId="77777777" w:rsidTr="00EC6D1B">
        <w:tc>
          <w:tcPr>
            <w:tcW w:w="4675" w:type="dxa"/>
            <w:vAlign w:val="bottom"/>
          </w:tcPr>
          <w:p w14:paraId="2346C06C" w14:textId="77777777" w:rsidR="00330336" w:rsidRPr="00330336" w:rsidRDefault="00330336" w:rsidP="00330336">
            <w:pPr>
              <w:rPr>
                <w:rFonts w:cs="Arial"/>
                <w:bCs/>
                <w:sz w:val="20"/>
                <w:szCs w:val="20"/>
              </w:rPr>
            </w:pPr>
            <w:r w:rsidRPr="00330336">
              <w:rPr>
                <w:rFonts w:cs="Arial"/>
                <w:bCs/>
                <w:sz w:val="20"/>
                <w:szCs w:val="20"/>
              </w:rPr>
              <w:t>Relative Strength</w:t>
            </w:r>
          </w:p>
        </w:tc>
        <w:tc>
          <w:tcPr>
            <w:tcW w:w="4675" w:type="dxa"/>
            <w:vAlign w:val="bottom"/>
          </w:tcPr>
          <w:p w14:paraId="6C50AB40" w14:textId="77777777" w:rsidR="00330336" w:rsidRPr="00330336" w:rsidRDefault="00330336" w:rsidP="00330336">
            <w:pPr>
              <w:jc w:val="center"/>
              <w:rPr>
                <w:rFonts w:cs="Arial"/>
                <w:sz w:val="20"/>
                <w:szCs w:val="20"/>
              </w:rPr>
            </w:pPr>
            <w:r w:rsidRPr="00330336">
              <w:rPr>
                <w:rFonts w:cs="Arial"/>
                <w:sz w:val="20"/>
                <w:szCs w:val="20"/>
              </w:rPr>
              <w:t>13.00</w:t>
            </w:r>
          </w:p>
        </w:tc>
      </w:tr>
      <w:tr w:rsidR="00330336" w:rsidRPr="00330336" w14:paraId="3503274C" w14:textId="77777777" w:rsidTr="00EC6D1B">
        <w:tc>
          <w:tcPr>
            <w:tcW w:w="4675" w:type="dxa"/>
            <w:vAlign w:val="bottom"/>
          </w:tcPr>
          <w:p w14:paraId="7869D34E" w14:textId="77777777" w:rsidR="00330336" w:rsidRPr="00330336" w:rsidRDefault="00330336" w:rsidP="00330336">
            <w:pPr>
              <w:rPr>
                <w:rFonts w:cs="Arial"/>
                <w:bCs/>
                <w:sz w:val="20"/>
                <w:szCs w:val="20"/>
              </w:rPr>
            </w:pPr>
            <w:r w:rsidRPr="00330336">
              <w:rPr>
                <w:rFonts w:cs="Arial"/>
                <w:bCs/>
                <w:sz w:val="20"/>
                <w:szCs w:val="20"/>
              </w:rPr>
              <w:t>Beta</w:t>
            </w:r>
          </w:p>
        </w:tc>
        <w:tc>
          <w:tcPr>
            <w:tcW w:w="4675" w:type="dxa"/>
            <w:vAlign w:val="bottom"/>
          </w:tcPr>
          <w:p w14:paraId="0EDC5059" w14:textId="77777777" w:rsidR="00330336" w:rsidRPr="00330336" w:rsidRDefault="00330336" w:rsidP="00330336">
            <w:pPr>
              <w:jc w:val="center"/>
              <w:rPr>
                <w:rFonts w:cs="Arial"/>
                <w:sz w:val="20"/>
                <w:szCs w:val="20"/>
              </w:rPr>
            </w:pPr>
            <w:r w:rsidRPr="00330336">
              <w:rPr>
                <w:rFonts w:cs="Arial"/>
                <w:sz w:val="20"/>
                <w:szCs w:val="20"/>
              </w:rPr>
              <w:t>1.11</w:t>
            </w:r>
          </w:p>
        </w:tc>
      </w:tr>
    </w:tbl>
    <w:p w14:paraId="55075497" w14:textId="77777777" w:rsidR="00BA2806" w:rsidRPr="00330336" w:rsidRDefault="00BA2806" w:rsidP="002E7499">
      <w:pPr>
        <w:jc w:val="both"/>
        <w:rPr>
          <w:sz w:val="20"/>
          <w:szCs w:val="20"/>
        </w:rPr>
      </w:pPr>
    </w:p>
    <w:p w14:paraId="698E6570" w14:textId="48C89DD0" w:rsidR="002528AC" w:rsidRDefault="002236BB" w:rsidP="002E7499">
      <w:pPr>
        <w:jc w:val="both"/>
      </w:pPr>
      <w:r>
        <w:t xml:space="preserve">The fund appears to have a moderately high P/E ratio, which may be expected </w:t>
      </w:r>
      <w:r w:rsidR="0054202E">
        <w:t>considering its</w:t>
      </w:r>
      <w:r w:rsidR="002528AC">
        <w:t xml:space="preserve"> </w:t>
      </w:r>
      <w:r w:rsidR="0054202E">
        <w:t>17.81% stake in electronic technology</w:t>
      </w:r>
      <w:r w:rsidR="00516742">
        <w:t>, but which seems somewhat too high for an alleged value fund</w:t>
      </w:r>
      <w:r>
        <w:t>. Additionally, it shows a ve</w:t>
      </w:r>
      <w:r w:rsidR="0054202E">
        <w:t xml:space="preserve">ry low P/B ratio and a decent </w:t>
      </w:r>
      <w:r>
        <w:t>dividend yield</w:t>
      </w:r>
      <w:r w:rsidR="00280D9F">
        <w:t xml:space="preserve"> (good for a value fund)</w:t>
      </w:r>
      <w:r>
        <w:t xml:space="preserve">, </w:t>
      </w:r>
      <w:r w:rsidR="008E4BD5">
        <w:t xml:space="preserve">but a very </w:t>
      </w:r>
      <w:r w:rsidR="008E4BD5">
        <w:lastRenderedPageBreak/>
        <w:t>low average sales growth,</w:t>
      </w:r>
      <w:r w:rsidR="006D69D7">
        <w:t xml:space="preserve"> which </w:t>
      </w:r>
      <w:r>
        <w:t xml:space="preserve">can be expected from </w:t>
      </w:r>
      <w:r w:rsidR="008E4BD5">
        <w:t xml:space="preserve">its significant value investments in more stable, blue chip industries, like industrial services or producer manufacturing. </w:t>
      </w:r>
    </w:p>
    <w:p w14:paraId="16ABD925" w14:textId="77777777" w:rsidR="00504179" w:rsidRPr="00504179" w:rsidRDefault="00504179" w:rsidP="002E7499">
      <w:pPr>
        <w:jc w:val="both"/>
        <w:rPr>
          <w:b/>
        </w:rPr>
      </w:pPr>
      <w:r w:rsidRPr="00504179">
        <w:rPr>
          <w:b/>
        </w:rPr>
        <w:t>Question 4</w:t>
      </w:r>
    </w:p>
    <w:p w14:paraId="59B6181D" w14:textId="77777777" w:rsidR="00BA2806" w:rsidRDefault="008A2A21" w:rsidP="002E7499">
      <w:pPr>
        <w:jc w:val="both"/>
      </w:pPr>
      <w:r>
        <w:rPr>
          <w:noProof/>
        </w:rPr>
        <w:drawing>
          <wp:inline distT="0" distB="0" distL="0" distR="0" wp14:anchorId="709B2D57" wp14:editId="0C276210">
            <wp:extent cx="213360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695325"/>
                    </a:xfrm>
                    <a:prstGeom prst="rect">
                      <a:avLst/>
                    </a:prstGeom>
                  </pic:spPr>
                </pic:pic>
              </a:graphicData>
            </a:graphic>
          </wp:inline>
        </w:drawing>
      </w:r>
    </w:p>
    <w:p w14:paraId="39C7E8CD" w14:textId="77777777" w:rsidR="00504179" w:rsidRDefault="008A2A21" w:rsidP="002E7499">
      <w:pPr>
        <w:jc w:val="both"/>
      </w:pPr>
      <w:r>
        <w:t>The fund is mostly invested in the North American market, with only a small stake in Europe and the emerging market of Asia (which could explain at least some of the contribution to its high relative strength score)</w:t>
      </w:r>
      <w:r w:rsidR="00916489">
        <w:t>. Interestingly, factset shows the geographic breakdown of only about 90% of the fund’s investment</w:t>
      </w:r>
      <w:r w:rsidR="001062B1">
        <w:t>, whereas Morningstar classified 89.5% of the fund’s holdings in North America, about 5% in non-US stocks and another 5.5% in cash. Hence, it is somewhat unclear where the remaining 10% of the fund are invested in.</w:t>
      </w:r>
    </w:p>
    <w:p w14:paraId="453AD943" w14:textId="77777777" w:rsidR="00514D84" w:rsidRDefault="00987D22" w:rsidP="002E7499">
      <w:pPr>
        <w:jc w:val="both"/>
        <w:rPr>
          <w:b/>
        </w:rPr>
      </w:pPr>
      <w:r w:rsidRPr="00987D22">
        <w:rPr>
          <w:b/>
        </w:rPr>
        <w:t>Question 5</w:t>
      </w:r>
    </w:p>
    <w:p w14:paraId="7DADC28B" w14:textId="77777777" w:rsidR="00987D22" w:rsidRDefault="0007127A" w:rsidP="002E7499">
      <w:pPr>
        <w:jc w:val="both"/>
      </w:pPr>
      <w:r>
        <w:t>Mornin</w:t>
      </w:r>
      <w:r w:rsidR="001062B1">
        <w:t>gstar rating: 2</w:t>
      </w:r>
      <w:r>
        <w:t xml:space="preserve"> stars</w:t>
      </w:r>
    </w:p>
    <w:p w14:paraId="0E0D3B38" w14:textId="77777777" w:rsidR="0007127A" w:rsidRDefault="0021740E" w:rsidP="002E7499">
      <w:pPr>
        <w:jc w:val="both"/>
        <w:rPr>
          <w:b/>
        </w:rPr>
      </w:pPr>
      <w:r>
        <w:rPr>
          <w:b/>
        </w:rPr>
        <w:t>Question 6</w:t>
      </w:r>
    </w:p>
    <w:p w14:paraId="2CA59C66" w14:textId="77777777" w:rsidR="00090EA3" w:rsidRDefault="001A52CF" w:rsidP="002E7499">
      <w:pPr>
        <w:jc w:val="both"/>
      </w:pPr>
      <w:r>
        <w:t>Best Benchmark: i</w:t>
      </w:r>
      <w:r w:rsidR="005D00A1">
        <w:t xml:space="preserve">Shares </w:t>
      </w:r>
      <w:r>
        <w:t>S&amp;P Midcap 400 Value</w:t>
      </w:r>
    </w:p>
    <w:p w14:paraId="686DD2B7" w14:textId="3311C59C" w:rsidR="00E835DD" w:rsidRDefault="00E835DD" w:rsidP="002E7499">
      <w:pPr>
        <w:jc w:val="both"/>
      </w:pPr>
      <w:r w:rsidRPr="00E835DD">
        <w:rPr>
          <w:i/>
        </w:rPr>
        <w:t>Note:</w:t>
      </w:r>
      <w:r>
        <w:t xml:space="preserve"> </w:t>
      </w:r>
      <w:r w:rsidR="001A52CF">
        <w:t>The fund has a bigger than 10% stake in non-equity products (mainly short-term treasuries)</w:t>
      </w:r>
      <w:r w:rsidR="0095165B">
        <w:t xml:space="preserve"> as well as a 10% stake in cash</w:t>
      </w:r>
      <w:r w:rsidR="001A52CF">
        <w:t>, which can dilute the following risk ass</w:t>
      </w:r>
      <w:r w:rsidR="00AB1F71">
        <w:t>essment and benchmark selection, as the benchmark is 99.5% invested in US equities only.</w:t>
      </w:r>
      <w:r w:rsidR="00B26F80">
        <w:t xml:space="preserve"> Additionally, Barra leaves out non-equi</w:t>
      </w:r>
      <w:r w:rsidR="00A8330B">
        <w:t xml:space="preserve">ty investments for its analysis. Additionally, </w:t>
      </w:r>
      <w:r w:rsidR="00F12532">
        <w:t xml:space="preserve">the fund itself is very ambiguous about defining its own benchmark in its prospectus, making it hard to find an accurate index to compare the fund to. </w:t>
      </w:r>
    </w:p>
    <w:tbl>
      <w:tblPr>
        <w:tblStyle w:val="TableGrid"/>
        <w:tblW w:w="0" w:type="auto"/>
        <w:tblLook w:val="04A0" w:firstRow="1" w:lastRow="0" w:firstColumn="1" w:lastColumn="0" w:noHBand="0" w:noVBand="1"/>
      </w:tblPr>
      <w:tblGrid>
        <w:gridCol w:w="4675"/>
        <w:gridCol w:w="4675"/>
      </w:tblGrid>
      <w:tr w:rsidR="005D00A1" w14:paraId="14E8286B" w14:textId="77777777" w:rsidTr="005D00A1">
        <w:tc>
          <w:tcPr>
            <w:tcW w:w="4675" w:type="dxa"/>
          </w:tcPr>
          <w:p w14:paraId="58399244" w14:textId="77777777" w:rsidR="005D00A1" w:rsidRPr="005D00A1" w:rsidRDefault="005D00A1" w:rsidP="005D00A1">
            <w:pPr>
              <w:jc w:val="center"/>
              <w:rPr>
                <w:b/>
                <w:sz w:val="20"/>
                <w:szCs w:val="20"/>
              </w:rPr>
            </w:pPr>
            <w:r w:rsidRPr="005D00A1">
              <w:rPr>
                <w:b/>
                <w:sz w:val="20"/>
                <w:szCs w:val="20"/>
              </w:rPr>
              <w:t>Benchmark</w:t>
            </w:r>
          </w:p>
        </w:tc>
        <w:tc>
          <w:tcPr>
            <w:tcW w:w="4675" w:type="dxa"/>
          </w:tcPr>
          <w:p w14:paraId="33AD2819" w14:textId="77777777" w:rsidR="005D00A1" w:rsidRPr="005D00A1" w:rsidRDefault="005D00A1" w:rsidP="005D00A1">
            <w:pPr>
              <w:jc w:val="center"/>
              <w:rPr>
                <w:b/>
                <w:sz w:val="20"/>
                <w:szCs w:val="20"/>
              </w:rPr>
            </w:pPr>
            <w:r w:rsidRPr="005D00A1">
              <w:rPr>
                <w:b/>
                <w:sz w:val="20"/>
                <w:szCs w:val="20"/>
              </w:rPr>
              <w:t>Active Risk</w:t>
            </w:r>
          </w:p>
        </w:tc>
      </w:tr>
      <w:tr w:rsidR="005D00A1" w:rsidRPr="006C6066" w14:paraId="14C1947D" w14:textId="77777777" w:rsidTr="005D00A1">
        <w:tc>
          <w:tcPr>
            <w:tcW w:w="4675" w:type="dxa"/>
          </w:tcPr>
          <w:p w14:paraId="2963427A" w14:textId="77777777" w:rsidR="005D00A1" w:rsidRPr="006C6066" w:rsidRDefault="00CD1E41" w:rsidP="005D00A1">
            <w:pPr>
              <w:tabs>
                <w:tab w:val="left" w:pos="1390"/>
              </w:tabs>
              <w:jc w:val="both"/>
            </w:pPr>
            <w:r w:rsidRPr="006C6066">
              <w:t>Smallcap 600</w:t>
            </w:r>
          </w:p>
        </w:tc>
        <w:tc>
          <w:tcPr>
            <w:tcW w:w="4675" w:type="dxa"/>
          </w:tcPr>
          <w:p w14:paraId="5FF9FF3C" w14:textId="34132E09" w:rsidR="005D00A1" w:rsidRPr="006C6066" w:rsidRDefault="00B0413D" w:rsidP="00A26B05">
            <w:pPr>
              <w:jc w:val="center"/>
            </w:pPr>
            <w:r w:rsidRPr="006C6066">
              <w:t>7.39</w:t>
            </w:r>
          </w:p>
        </w:tc>
      </w:tr>
      <w:tr w:rsidR="005D00A1" w:rsidRPr="006C6066" w14:paraId="0FF50EBE" w14:textId="77777777" w:rsidTr="005D00A1">
        <w:tc>
          <w:tcPr>
            <w:tcW w:w="4675" w:type="dxa"/>
          </w:tcPr>
          <w:p w14:paraId="616A4444" w14:textId="77777777" w:rsidR="005D00A1" w:rsidRPr="006C6066" w:rsidRDefault="00CD1E41" w:rsidP="002E7499">
            <w:pPr>
              <w:jc w:val="both"/>
            </w:pPr>
            <w:r w:rsidRPr="006C6066">
              <w:t>Russell 1000</w:t>
            </w:r>
          </w:p>
        </w:tc>
        <w:tc>
          <w:tcPr>
            <w:tcW w:w="4675" w:type="dxa"/>
          </w:tcPr>
          <w:p w14:paraId="44C9E222" w14:textId="66F09E70" w:rsidR="005D00A1" w:rsidRPr="006C6066" w:rsidRDefault="00B0413D" w:rsidP="00A26B05">
            <w:pPr>
              <w:jc w:val="center"/>
            </w:pPr>
            <w:r w:rsidRPr="006C6066">
              <w:t>9.77</w:t>
            </w:r>
          </w:p>
        </w:tc>
      </w:tr>
      <w:tr w:rsidR="005D00A1" w:rsidRPr="006C6066" w14:paraId="60026773" w14:textId="77777777" w:rsidTr="005D00A1">
        <w:tc>
          <w:tcPr>
            <w:tcW w:w="4675" w:type="dxa"/>
          </w:tcPr>
          <w:p w14:paraId="47434113" w14:textId="77777777" w:rsidR="005D00A1" w:rsidRPr="006C6066" w:rsidRDefault="00CD1E41" w:rsidP="002E7499">
            <w:pPr>
              <w:jc w:val="both"/>
              <w:rPr>
                <w:color w:val="FF0000"/>
              </w:rPr>
            </w:pPr>
            <w:r w:rsidRPr="006C6066">
              <w:t>Russell 2000</w:t>
            </w:r>
          </w:p>
        </w:tc>
        <w:tc>
          <w:tcPr>
            <w:tcW w:w="4675" w:type="dxa"/>
          </w:tcPr>
          <w:p w14:paraId="7A245CA0" w14:textId="39D85749" w:rsidR="005D00A1" w:rsidRPr="006C6066" w:rsidRDefault="00B0413D" w:rsidP="00A26B05">
            <w:pPr>
              <w:jc w:val="center"/>
              <w:rPr>
                <w:color w:val="FF0000"/>
              </w:rPr>
            </w:pPr>
            <w:r w:rsidRPr="006C6066">
              <w:t>7.40</w:t>
            </w:r>
          </w:p>
        </w:tc>
      </w:tr>
      <w:tr w:rsidR="005D00A1" w:rsidRPr="006C6066" w14:paraId="6B6C6210" w14:textId="77777777" w:rsidTr="005D00A1">
        <w:tc>
          <w:tcPr>
            <w:tcW w:w="4675" w:type="dxa"/>
          </w:tcPr>
          <w:p w14:paraId="57479465" w14:textId="77777777" w:rsidR="005D00A1" w:rsidRPr="006C6066" w:rsidRDefault="00CD1E41" w:rsidP="002E7499">
            <w:pPr>
              <w:jc w:val="both"/>
            </w:pPr>
            <w:r w:rsidRPr="006C6066">
              <w:t>Midcap 400</w:t>
            </w:r>
          </w:p>
        </w:tc>
        <w:tc>
          <w:tcPr>
            <w:tcW w:w="4675" w:type="dxa"/>
          </w:tcPr>
          <w:p w14:paraId="7014DCED" w14:textId="069BAE8E" w:rsidR="005D00A1" w:rsidRPr="006C6066" w:rsidRDefault="00B0413D" w:rsidP="00A26B05">
            <w:pPr>
              <w:jc w:val="center"/>
            </w:pPr>
            <w:r w:rsidRPr="006C6066">
              <w:t>7.43</w:t>
            </w:r>
          </w:p>
        </w:tc>
      </w:tr>
      <w:tr w:rsidR="005D00A1" w:rsidRPr="006C6066" w14:paraId="4E245857" w14:textId="77777777" w:rsidTr="005D00A1">
        <w:tc>
          <w:tcPr>
            <w:tcW w:w="4675" w:type="dxa"/>
          </w:tcPr>
          <w:p w14:paraId="37FAE44B" w14:textId="77777777" w:rsidR="005D00A1" w:rsidRPr="006C6066" w:rsidRDefault="00CD1E41" w:rsidP="002E7499">
            <w:pPr>
              <w:jc w:val="both"/>
            </w:pPr>
            <w:r w:rsidRPr="006C6066">
              <w:t>Largecap 500</w:t>
            </w:r>
          </w:p>
        </w:tc>
        <w:tc>
          <w:tcPr>
            <w:tcW w:w="4675" w:type="dxa"/>
          </w:tcPr>
          <w:p w14:paraId="2F14DB0D" w14:textId="7386228B" w:rsidR="005D00A1" w:rsidRPr="006C6066" w:rsidRDefault="00B0413D" w:rsidP="00A26B05">
            <w:pPr>
              <w:jc w:val="center"/>
            </w:pPr>
            <w:r w:rsidRPr="006C6066">
              <w:t>10.24</w:t>
            </w:r>
          </w:p>
        </w:tc>
      </w:tr>
      <w:tr w:rsidR="005D00A1" w:rsidRPr="006C6066" w14:paraId="6E4A0CB1" w14:textId="77777777" w:rsidTr="005D00A1">
        <w:tc>
          <w:tcPr>
            <w:tcW w:w="4675" w:type="dxa"/>
          </w:tcPr>
          <w:p w14:paraId="635DDA8B" w14:textId="77777777" w:rsidR="005D00A1" w:rsidRPr="006C6066" w:rsidRDefault="00CD1E41" w:rsidP="002E7499">
            <w:pPr>
              <w:jc w:val="both"/>
            </w:pPr>
            <w:r w:rsidRPr="006C6066">
              <w:t>S&amp;P 1500</w:t>
            </w:r>
          </w:p>
        </w:tc>
        <w:tc>
          <w:tcPr>
            <w:tcW w:w="4675" w:type="dxa"/>
          </w:tcPr>
          <w:p w14:paraId="2295F7A4" w14:textId="11BF63F5" w:rsidR="005D00A1" w:rsidRPr="006C6066" w:rsidRDefault="00B0413D" w:rsidP="00A26B05">
            <w:pPr>
              <w:jc w:val="center"/>
            </w:pPr>
            <w:r w:rsidRPr="006C6066">
              <w:t>9.44</w:t>
            </w:r>
          </w:p>
        </w:tc>
      </w:tr>
      <w:tr w:rsidR="00A437BB" w:rsidRPr="006C6066" w14:paraId="7D18B2AA" w14:textId="77777777" w:rsidTr="005D00A1">
        <w:tc>
          <w:tcPr>
            <w:tcW w:w="4675" w:type="dxa"/>
          </w:tcPr>
          <w:p w14:paraId="29D5D265" w14:textId="77777777" w:rsidR="00A437BB" w:rsidRPr="006C6066" w:rsidRDefault="00A437BB" w:rsidP="002E7499">
            <w:pPr>
              <w:jc w:val="both"/>
              <w:rPr>
                <w:color w:val="FF0000"/>
              </w:rPr>
            </w:pPr>
            <w:r w:rsidRPr="006C6066">
              <w:rPr>
                <w:color w:val="FF0000"/>
              </w:rPr>
              <w:t>iShares S&amp;P Midcap 400 Value</w:t>
            </w:r>
          </w:p>
        </w:tc>
        <w:tc>
          <w:tcPr>
            <w:tcW w:w="4675" w:type="dxa"/>
          </w:tcPr>
          <w:p w14:paraId="0AF53C58" w14:textId="60AB56D6" w:rsidR="00A437BB" w:rsidRPr="006C6066" w:rsidRDefault="00B0413D" w:rsidP="00A26B05">
            <w:pPr>
              <w:jc w:val="center"/>
              <w:rPr>
                <w:color w:val="FF0000"/>
              </w:rPr>
            </w:pPr>
            <w:r w:rsidRPr="006C6066">
              <w:rPr>
                <w:color w:val="FF0000"/>
              </w:rPr>
              <w:t>6.29</w:t>
            </w:r>
          </w:p>
        </w:tc>
      </w:tr>
    </w:tbl>
    <w:p w14:paraId="378B1487" w14:textId="77777777" w:rsidR="00E835DD" w:rsidRPr="006C6066" w:rsidRDefault="00E835DD" w:rsidP="002E7499">
      <w:pPr>
        <w:jc w:val="both"/>
      </w:pPr>
    </w:p>
    <w:p w14:paraId="6D9F40C1" w14:textId="77777777" w:rsidR="00D24032" w:rsidRDefault="00D24032" w:rsidP="002E7499">
      <w:pPr>
        <w:jc w:val="both"/>
        <w:rPr>
          <w:b/>
        </w:rPr>
      </w:pPr>
      <w:r w:rsidRPr="00D24032">
        <w:rPr>
          <w:b/>
        </w:rPr>
        <w:t>Question 7</w:t>
      </w:r>
    </w:p>
    <w:p w14:paraId="1184116B" w14:textId="77777777" w:rsidR="004845EF" w:rsidRDefault="004845EF" w:rsidP="002E7499">
      <w:pPr>
        <w:jc w:val="both"/>
        <w:rPr>
          <w:b/>
        </w:rPr>
      </w:pPr>
      <w:r>
        <w:rPr>
          <w:noProof/>
        </w:rPr>
        <w:drawing>
          <wp:inline distT="0" distB="0" distL="0" distR="0" wp14:anchorId="5DE9B23D" wp14:editId="6967B15D">
            <wp:extent cx="59436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7200"/>
                    </a:xfrm>
                    <a:prstGeom prst="rect">
                      <a:avLst/>
                    </a:prstGeom>
                  </pic:spPr>
                </pic:pic>
              </a:graphicData>
            </a:graphic>
          </wp:inline>
        </w:drawing>
      </w:r>
    </w:p>
    <w:p w14:paraId="129CFF87" w14:textId="77777777" w:rsidR="00D24032" w:rsidRDefault="00D24032" w:rsidP="00D24032">
      <w:pPr>
        <w:jc w:val="both"/>
      </w:pPr>
      <w:r>
        <w:t xml:space="preserve">1-yr </w:t>
      </w:r>
      <w:r w:rsidR="009C671E">
        <w:t>benchmark</w:t>
      </w:r>
      <w:r>
        <w:t xml:space="preserve"> return</w:t>
      </w:r>
      <w:r w:rsidR="00E61DBF">
        <w:t xml:space="preserve"> (price)</w:t>
      </w:r>
      <w:r>
        <w:t xml:space="preserve">: </w:t>
      </w:r>
      <w:r w:rsidR="00AB1F71">
        <w:t>-3.16</w:t>
      </w:r>
      <w:r w:rsidR="00E24040">
        <w:t>%</w:t>
      </w:r>
    </w:p>
    <w:p w14:paraId="2C03A6BA" w14:textId="77777777" w:rsidR="00D24032" w:rsidRDefault="00D24032" w:rsidP="00D24032">
      <w:pPr>
        <w:jc w:val="both"/>
      </w:pPr>
      <w:r>
        <w:t xml:space="preserve">3-yr </w:t>
      </w:r>
      <w:r w:rsidR="009C671E">
        <w:t xml:space="preserve">benchmark </w:t>
      </w:r>
      <w:r>
        <w:t>return</w:t>
      </w:r>
      <w:r w:rsidR="00E61DBF">
        <w:t xml:space="preserve"> (price)</w:t>
      </w:r>
      <w:r>
        <w:t xml:space="preserve">: </w:t>
      </w:r>
      <w:r w:rsidR="00AB1F71">
        <w:t>9.40</w:t>
      </w:r>
      <w:r w:rsidR="00E24040">
        <w:t>%</w:t>
      </w:r>
    </w:p>
    <w:p w14:paraId="4601158C" w14:textId="2D7E85BE" w:rsidR="007310E1" w:rsidRPr="005D3ACE" w:rsidRDefault="00D24032" w:rsidP="002E7499">
      <w:pPr>
        <w:jc w:val="both"/>
      </w:pPr>
      <w:r>
        <w:lastRenderedPageBreak/>
        <w:t xml:space="preserve">5-yr </w:t>
      </w:r>
      <w:r w:rsidR="009C671E">
        <w:t xml:space="preserve">benchmark </w:t>
      </w:r>
      <w:r>
        <w:t>return</w:t>
      </w:r>
      <w:r w:rsidR="00E61DBF">
        <w:t xml:space="preserve"> (price)</w:t>
      </w:r>
      <w:r>
        <w:t xml:space="preserve">: </w:t>
      </w:r>
      <w:r w:rsidR="00AB1F71">
        <w:t>9.33</w:t>
      </w:r>
      <w:r w:rsidR="00E24040">
        <w:t>%</w:t>
      </w:r>
    </w:p>
    <w:p w14:paraId="4DEAA495" w14:textId="77777777" w:rsidR="004845EF" w:rsidRDefault="00D24032" w:rsidP="002E7499">
      <w:pPr>
        <w:jc w:val="both"/>
        <w:rPr>
          <w:b/>
        </w:rPr>
      </w:pPr>
      <w:r w:rsidRPr="00D24032">
        <w:rPr>
          <w:b/>
        </w:rPr>
        <w:t>Question 8</w:t>
      </w:r>
    </w:p>
    <w:p w14:paraId="3DB8B4B5" w14:textId="77777777" w:rsidR="004845EF" w:rsidRDefault="004845EF" w:rsidP="002E7499">
      <w:pPr>
        <w:jc w:val="both"/>
        <w:rPr>
          <w:b/>
        </w:rPr>
      </w:pPr>
      <w:r>
        <w:rPr>
          <w:noProof/>
        </w:rPr>
        <w:drawing>
          <wp:inline distT="0" distB="0" distL="0" distR="0" wp14:anchorId="4A0C2981" wp14:editId="4FA12935">
            <wp:extent cx="542925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933450"/>
                    </a:xfrm>
                    <a:prstGeom prst="rect">
                      <a:avLst/>
                    </a:prstGeom>
                  </pic:spPr>
                </pic:pic>
              </a:graphicData>
            </a:graphic>
          </wp:inline>
        </w:drawing>
      </w:r>
    </w:p>
    <w:p w14:paraId="71F94FA7" w14:textId="77777777" w:rsidR="00D24032" w:rsidRDefault="00D24032" w:rsidP="002E7499">
      <w:pPr>
        <w:jc w:val="both"/>
      </w:pPr>
      <w:r>
        <w:t xml:space="preserve">1-yr </w:t>
      </w:r>
      <w:r w:rsidR="00F61337">
        <w:t>fund return: -11.2</w:t>
      </w:r>
      <w:r>
        <w:t>%</w:t>
      </w:r>
    </w:p>
    <w:p w14:paraId="0471B9F3" w14:textId="77777777" w:rsidR="00D24032" w:rsidRDefault="00F61337" w:rsidP="002E7499">
      <w:pPr>
        <w:jc w:val="both"/>
      </w:pPr>
      <w:r>
        <w:t>3-yr fund return: 0.1</w:t>
      </w:r>
      <w:r w:rsidR="00D24032">
        <w:t>%</w:t>
      </w:r>
    </w:p>
    <w:p w14:paraId="19F7518F" w14:textId="77777777" w:rsidR="00D24032" w:rsidRPr="00D24032" w:rsidRDefault="00F61337" w:rsidP="002E7499">
      <w:pPr>
        <w:jc w:val="both"/>
      </w:pPr>
      <w:r>
        <w:t>5-yr fund return: 2.1</w:t>
      </w:r>
      <w:r w:rsidR="00D24032">
        <w:t>%</w:t>
      </w:r>
    </w:p>
    <w:p w14:paraId="400089DB" w14:textId="77777777" w:rsidR="00D24032" w:rsidRDefault="00D24032" w:rsidP="002E7499">
      <w:pPr>
        <w:jc w:val="both"/>
        <w:rPr>
          <w:b/>
        </w:rPr>
      </w:pPr>
      <w:r w:rsidRPr="00D24032">
        <w:rPr>
          <w:b/>
        </w:rPr>
        <w:t>Question 9</w:t>
      </w:r>
    </w:p>
    <w:p w14:paraId="6FB56528" w14:textId="6F63016F" w:rsidR="003B41E0" w:rsidRDefault="003B41E0" w:rsidP="002E7499">
      <w:pPr>
        <w:jc w:val="both"/>
      </w:pPr>
      <w:r w:rsidRPr="003B41E0">
        <w:t>Active risk</w:t>
      </w:r>
      <w:r>
        <w:t>: 16.89%</w:t>
      </w:r>
    </w:p>
    <w:p w14:paraId="1CF69E21" w14:textId="443B02E6" w:rsidR="003B41E0" w:rsidRPr="003B41E0" w:rsidRDefault="00B0413D" w:rsidP="002E7499">
      <w:pPr>
        <w:jc w:val="both"/>
      </w:pPr>
      <w:r>
        <w:rPr>
          <w:noProof/>
        </w:rPr>
        <w:drawing>
          <wp:anchor distT="0" distB="0" distL="114300" distR="114300" simplePos="0" relativeHeight="251675648" behindDoc="0" locked="0" layoutInCell="1" allowOverlap="1" wp14:anchorId="3D31EB10" wp14:editId="6C29AE93">
            <wp:simplePos x="0" y="0"/>
            <wp:positionH relativeFrom="margin">
              <wp:align>left</wp:align>
            </wp:positionH>
            <wp:positionV relativeFrom="paragraph">
              <wp:posOffset>4445</wp:posOffset>
            </wp:positionV>
            <wp:extent cx="4211320" cy="2901950"/>
            <wp:effectExtent l="0" t="0" r="0" b="0"/>
            <wp:wrapTight wrapText="bothSides">
              <wp:wrapPolygon edited="0">
                <wp:start x="0" y="0"/>
                <wp:lineTo x="0" y="21411"/>
                <wp:lineTo x="21496" y="21411"/>
                <wp:lineTo x="2149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1320" cy="2901950"/>
                    </a:xfrm>
                    <a:prstGeom prst="rect">
                      <a:avLst/>
                    </a:prstGeom>
                  </pic:spPr>
                </pic:pic>
              </a:graphicData>
            </a:graphic>
            <wp14:sizeRelH relativeFrom="margin">
              <wp14:pctWidth>0</wp14:pctWidth>
            </wp14:sizeRelH>
            <wp14:sizeRelV relativeFrom="margin">
              <wp14:pctHeight>0</wp14:pctHeight>
            </wp14:sizeRelV>
          </wp:anchor>
        </w:drawing>
      </w:r>
    </w:p>
    <w:p w14:paraId="6280BE51" w14:textId="77777777" w:rsidR="00B0413D" w:rsidRDefault="00B0413D" w:rsidP="002E7499">
      <w:pPr>
        <w:jc w:val="both"/>
        <w:rPr>
          <w:b/>
        </w:rPr>
      </w:pPr>
    </w:p>
    <w:p w14:paraId="00122031" w14:textId="77777777" w:rsidR="00B0413D" w:rsidRDefault="00B0413D" w:rsidP="002E7499">
      <w:pPr>
        <w:jc w:val="both"/>
        <w:rPr>
          <w:b/>
        </w:rPr>
      </w:pPr>
    </w:p>
    <w:p w14:paraId="5269A774" w14:textId="77777777" w:rsidR="00B0413D" w:rsidRDefault="00B0413D" w:rsidP="002E7499">
      <w:pPr>
        <w:jc w:val="both"/>
        <w:rPr>
          <w:b/>
        </w:rPr>
      </w:pPr>
    </w:p>
    <w:p w14:paraId="3A49FB10" w14:textId="77777777" w:rsidR="00B0413D" w:rsidRDefault="00B0413D" w:rsidP="002E7499">
      <w:pPr>
        <w:jc w:val="both"/>
        <w:rPr>
          <w:b/>
        </w:rPr>
      </w:pPr>
    </w:p>
    <w:p w14:paraId="433167D5" w14:textId="77777777" w:rsidR="00B0413D" w:rsidRDefault="00B0413D" w:rsidP="002E7499">
      <w:pPr>
        <w:jc w:val="both"/>
        <w:rPr>
          <w:b/>
        </w:rPr>
      </w:pPr>
    </w:p>
    <w:p w14:paraId="59693A1B" w14:textId="77777777" w:rsidR="00B0413D" w:rsidRDefault="00B0413D" w:rsidP="002E7499">
      <w:pPr>
        <w:jc w:val="both"/>
        <w:rPr>
          <w:b/>
        </w:rPr>
      </w:pPr>
    </w:p>
    <w:p w14:paraId="34E714F2" w14:textId="77777777" w:rsidR="00B0413D" w:rsidRDefault="00B0413D" w:rsidP="002E7499">
      <w:pPr>
        <w:jc w:val="both"/>
        <w:rPr>
          <w:b/>
        </w:rPr>
      </w:pPr>
    </w:p>
    <w:p w14:paraId="201B5A6A" w14:textId="77777777" w:rsidR="00B0413D" w:rsidRDefault="00B0413D" w:rsidP="002E7499">
      <w:pPr>
        <w:jc w:val="both"/>
        <w:rPr>
          <w:b/>
        </w:rPr>
      </w:pPr>
    </w:p>
    <w:p w14:paraId="54684775" w14:textId="77777777" w:rsidR="00B0413D" w:rsidRDefault="00B0413D" w:rsidP="002E7499">
      <w:pPr>
        <w:jc w:val="both"/>
        <w:rPr>
          <w:b/>
        </w:rPr>
      </w:pPr>
    </w:p>
    <w:p w14:paraId="35F13880" w14:textId="77777777" w:rsidR="00B0413D" w:rsidRDefault="00B0413D" w:rsidP="002E7499">
      <w:pPr>
        <w:jc w:val="both"/>
        <w:rPr>
          <w:b/>
        </w:rPr>
      </w:pPr>
    </w:p>
    <w:p w14:paraId="3C1D0F5C" w14:textId="30D0D02E" w:rsidR="00D24032" w:rsidRPr="000A1C47" w:rsidRDefault="00D24032" w:rsidP="002E7499">
      <w:pPr>
        <w:jc w:val="both"/>
      </w:pPr>
      <w:r w:rsidRPr="00D24032">
        <w:rPr>
          <w:b/>
        </w:rPr>
        <w:t>Question 10</w:t>
      </w:r>
    </w:p>
    <w:p w14:paraId="41E31F2D" w14:textId="4809E6BE" w:rsidR="00D24032" w:rsidRDefault="000A1C47" w:rsidP="002E7499">
      <w:pPr>
        <w:jc w:val="both"/>
      </w:pPr>
      <w:r w:rsidRPr="000A1C47">
        <w:t xml:space="preserve">According to the chart given in class, an active risk of </w:t>
      </w:r>
      <w:r w:rsidR="00B0413D">
        <w:t>6.29</w:t>
      </w:r>
      <w:r w:rsidRPr="000A1C47">
        <w:t>%</w:t>
      </w:r>
      <w:r>
        <w:t xml:space="preserve"> would classify it as </w:t>
      </w:r>
      <w:r w:rsidR="00D51B8F">
        <w:t xml:space="preserve">a growth fund. This is interesting, because the fund advertises itself as a value fund, and its low average sales growth would also indicate that it isn’t necessarily a growth fund. </w:t>
      </w:r>
      <w:r w:rsidR="008F6392">
        <w:t xml:space="preserve">From this perspective it appears that the fund is taking on too much risk (as the typical range for value funds ranges from 3%-6%). However, as already mentioned above, the fund’s large investments in fixed income products might distort the active risk relative to a benchmark that is almost entirely invested in US equities. </w:t>
      </w:r>
    </w:p>
    <w:p w14:paraId="333FE8CB" w14:textId="77777777" w:rsidR="00D347B5" w:rsidRDefault="00D347B5" w:rsidP="002E7499">
      <w:pPr>
        <w:jc w:val="both"/>
        <w:rPr>
          <w:b/>
        </w:rPr>
      </w:pPr>
    </w:p>
    <w:p w14:paraId="35D28A37" w14:textId="77777777" w:rsidR="00D347B5" w:rsidRDefault="00D347B5" w:rsidP="002E7499">
      <w:pPr>
        <w:jc w:val="both"/>
        <w:rPr>
          <w:b/>
        </w:rPr>
      </w:pPr>
    </w:p>
    <w:p w14:paraId="412FEA9F" w14:textId="77777777" w:rsidR="00C21C45" w:rsidRDefault="00C21C45" w:rsidP="002E7499">
      <w:pPr>
        <w:jc w:val="both"/>
        <w:rPr>
          <w:b/>
        </w:rPr>
      </w:pPr>
      <w:bookmarkStart w:id="0" w:name="_GoBack"/>
      <w:bookmarkEnd w:id="0"/>
      <w:r w:rsidRPr="00C21C45">
        <w:rPr>
          <w:b/>
        </w:rPr>
        <w:lastRenderedPageBreak/>
        <w:t>Question 11</w:t>
      </w:r>
    </w:p>
    <w:p w14:paraId="6648B777" w14:textId="5534F652" w:rsidR="00C21C45" w:rsidRDefault="00E31ADC" w:rsidP="002E7499">
      <w:pPr>
        <w:jc w:val="both"/>
      </w:pPr>
      <w:r>
        <w:t>The common factor risk is 4.38%, which contributes 48.47</w:t>
      </w:r>
      <w:r w:rsidR="009A0A8B">
        <w:t>% to the total active risk of the fund</w:t>
      </w:r>
      <w:r w:rsidR="00C15D5E">
        <w:t>, which could be due to the fund’s heavy sector bets</w:t>
      </w:r>
      <w:r w:rsidR="00A14723">
        <w:t xml:space="preserve"> in industrials, materials and financials</w:t>
      </w:r>
      <w:r w:rsidR="009A0A8B">
        <w:t xml:space="preserve">. </w:t>
      </w:r>
      <w:r w:rsidR="00FA76B1">
        <w:t xml:space="preserve">Risk indices make a </w:t>
      </w:r>
      <w:r>
        <w:t>total contribution of 21.32% (or 2.90</w:t>
      </w:r>
      <w:r w:rsidR="00FA76B1">
        <w:t>% risk) to the active risk, whereas exposure to industry</w:t>
      </w:r>
      <w:r>
        <w:t>-specific risk contributes 30.44% (or 3.47</w:t>
      </w:r>
      <w:r w:rsidR="00FA76B1">
        <w:t>% in risk) to the fund’s total active risk.</w:t>
      </w:r>
      <w:r w:rsidR="003A3DAF">
        <w:t xml:space="preserve"> A thing to note is the relatively high contribution of Asset Selection to the overall risk, with about 43%, indicating that both managers may not have the best stock-picking skills </w:t>
      </w:r>
      <w:r w:rsidR="00C15D5E">
        <w:t>as almost half of their idiosyncratic risk is due to their investment choices.</w:t>
      </w:r>
    </w:p>
    <w:p w14:paraId="0EB34B0B" w14:textId="77777777" w:rsidR="000E24ED" w:rsidRDefault="000E24ED" w:rsidP="002E7499">
      <w:pPr>
        <w:jc w:val="both"/>
        <w:rPr>
          <w:b/>
        </w:rPr>
      </w:pPr>
      <w:r w:rsidRPr="000E24ED">
        <w:rPr>
          <w:b/>
        </w:rPr>
        <w:t>Question 12</w:t>
      </w:r>
    </w:p>
    <w:p w14:paraId="0F528D50" w14:textId="77777777" w:rsidR="00AD2086" w:rsidRDefault="001359B9" w:rsidP="002E7499">
      <w:pPr>
        <w:jc w:val="both"/>
      </w:pPr>
      <w:r>
        <w:rPr>
          <w:noProof/>
        </w:rPr>
        <w:t xml:space="preserve"> </w:t>
      </w:r>
      <w:r w:rsidR="00AD2086">
        <w:rPr>
          <w:noProof/>
        </w:rPr>
        <w:drawing>
          <wp:inline distT="0" distB="0" distL="0" distR="0" wp14:anchorId="1BA12850" wp14:editId="1094438E">
            <wp:extent cx="5764696" cy="3292528"/>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852" cy="3298329"/>
                    </a:xfrm>
                    <a:prstGeom prst="rect">
                      <a:avLst/>
                    </a:prstGeom>
                  </pic:spPr>
                </pic:pic>
              </a:graphicData>
            </a:graphic>
          </wp:inline>
        </w:drawing>
      </w:r>
    </w:p>
    <w:p w14:paraId="6D03DEE5" w14:textId="77777777" w:rsidR="001359B9" w:rsidRPr="001359B9" w:rsidRDefault="001359B9" w:rsidP="002E7499">
      <w:pPr>
        <w:jc w:val="both"/>
      </w:pPr>
      <w:r>
        <w:t>As can be seen from the above chart, the Delafield Fund shows significant differences in sector exposures to the benchmark ETF. The Fund has a significant under-exposure in financials, utilities and consumer discretionary, and a significant over-exposure in materials industrials and IT. This might explain the low sales growth of the fund as well as the high relative strength.</w:t>
      </w:r>
    </w:p>
    <w:p w14:paraId="488AF72B" w14:textId="77777777" w:rsidR="00AD2086" w:rsidRDefault="00316260" w:rsidP="002E7499">
      <w:pPr>
        <w:jc w:val="both"/>
        <w:rPr>
          <w:b/>
        </w:rPr>
      </w:pPr>
      <w:r>
        <w:rPr>
          <w:noProof/>
        </w:rPr>
        <w:lastRenderedPageBreak/>
        <w:drawing>
          <wp:anchor distT="0" distB="0" distL="114300" distR="114300" simplePos="0" relativeHeight="251659264" behindDoc="0" locked="0" layoutInCell="1" allowOverlap="1" wp14:anchorId="22F064CC" wp14:editId="7B57A126">
            <wp:simplePos x="0" y="0"/>
            <wp:positionH relativeFrom="margin">
              <wp:posOffset>31805</wp:posOffset>
            </wp:positionH>
            <wp:positionV relativeFrom="paragraph">
              <wp:posOffset>285750</wp:posOffset>
            </wp:positionV>
            <wp:extent cx="5422265" cy="3138170"/>
            <wp:effectExtent l="0" t="0" r="6985"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2265" cy="3138170"/>
                    </a:xfrm>
                    <a:prstGeom prst="rect">
                      <a:avLst/>
                    </a:prstGeom>
                  </pic:spPr>
                </pic:pic>
              </a:graphicData>
            </a:graphic>
            <wp14:sizeRelH relativeFrom="margin">
              <wp14:pctWidth>0</wp14:pctWidth>
            </wp14:sizeRelH>
            <wp14:sizeRelV relativeFrom="margin">
              <wp14:pctHeight>0</wp14:pctHeight>
            </wp14:sizeRelV>
          </wp:anchor>
        </w:drawing>
      </w:r>
      <w:r w:rsidR="00AD2086" w:rsidRPr="00AD2086">
        <w:rPr>
          <w:b/>
        </w:rPr>
        <w:t>Question 13</w:t>
      </w:r>
    </w:p>
    <w:p w14:paraId="16390FC1" w14:textId="77777777" w:rsidR="00AD2086" w:rsidRDefault="00AD2086" w:rsidP="002E7499">
      <w:pPr>
        <w:jc w:val="both"/>
        <w:rPr>
          <w:b/>
        </w:rPr>
      </w:pPr>
    </w:p>
    <w:p w14:paraId="261E1E81" w14:textId="77777777" w:rsidR="00AD2086" w:rsidRDefault="00AD2086" w:rsidP="002E7499">
      <w:pPr>
        <w:jc w:val="both"/>
      </w:pPr>
    </w:p>
    <w:p w14:paraId="6C8507F6" w14:textId="77777777" w:rsidR="001359B9" w:rsidRDefault="001359B9" w:rsidP="002E7499">
      <w:pPr>
        <w:jc w:val="both"/>
      </w:pPr>
    </w:p>
    <w:p w14:paraId="468F650C" w14:textId="77777777" w:rsidR="001359B9" w:rsidRDefault="001359B9" w:rsidP="002E7499">
      <w:pPr>
        <w:jc w:val="both"/>
      </w:pPr>
    </w:p>
    <w:p w14:paraId="062460CB" w14:textId="77777777" w:rsidR="001359B9" w:rsidRDefault="001359B9" w:rsidP="002E7499">
      <w:pPr>
        <w:jc w:val="both"/>
      </w:pPr>
    </w:p>
    <w:p w14:paraId="3CA200A5" w14:textId="77777777" w:rsidR="001359B9" w:rsidRDefault="001359B9" w:rsidP="002E7499">
      <w:pPr>
        <w:jc w:val="both"/>
      </w:pPr>
    </w:p>
    <w:p w14:paraId="2DFF9CEC" w14:textId="77777777" w:rsidR="001359B9" w:rsidRDefault="001359B9" w:rsidP="002E7499">
      <w:pPr>
        <w:jc w:val="both"/>
      </w:pPr>
    </w:p>
    <w:p w14:paraId="4233E18D" w14:textId="77777777" w:rsidR="001359B9" w:rsidRDefault="001359B9" w:rsidP="002E7499">
      <w:pPr>
        <w:jc w:val="both"/>
      </w:pPr>
    </w:p>
    <w:p w14:paraId="5B60B391" w14:textId="77777777" w:rsidR="001359B9" w:rsidRDefault="001359B9" w:rsidP="002E7499">
      <w:pPr>
        <w:jc w:val="both"/>
      </w:pPr>
    </w:p>
    <w:p w14:paraId="27D5973F" w14:textId="77777777" w:rsidR="001359B9" w:rsidRDefault="001359B9" w:rsidP="002E7499">
      <w:pPr>
        <w:jc w:val="both"/>
      </w:pPr>
    </w:p>
    <w:p w14:paraId="48180FFF" w14:textId="77777777" w:rsidR="001359B9" w:rsidRDefault="001359B9" w:rsidP="002E7499">
      <w:pPr>
        <w:jc w:val="both"/>
      </w:pPr>
    </w:p>
    <w:p w14:paraId="5E2A87BF" w14:textId="77777777" w:rsidR="001359B9" w:rsidRDefault="001359B9" w:rsidP="002E7499">
      <w:pPr>
        <w:jc w:val="both"/>
      </w:pPr>
    </w:p>
    <w:p w14:paraId="20A6899F" w14:textId="77777777" w:rsidR="001359B9" w:rsidRPr="00472F29" w:rsidRDefault="001359B9" w:rsidP="002E7499">
      <w:pPr>
        <w:jc w:val="both"/>
        <w:rPr>
          <w:b/>
        </w:rPr>
      </w:pPr>
      <w:r>
        <w:t>In terms of index exposure, the Delafield fund is overweighed</w:t>
      </w:r>
      <w:r w:rsidR="00A67972">
        <w:t xml:space="preserve"> in volatility and</w:t>
      </w:r>
      <w:r>
        <w:t xml:space="preserve"> currency sensitivity (which can be due to its exposure to both European and Chinese equities) and non-est. universe. The fund tends to have a larger exposure to smaller sized companies relative to the mid-cap ETF</w:t>
      </w:r>
      <w:r w:rsidR="00A90B05">
        <w:t>, and also seems to over-invest in lower-momentum</w:t>
      </w:r>
      <w:r>
        <w:t xml:space="preserve"> </w:t>
      </w:r>
      <w:r w:rsidR="00A90B05">
        <w:t>stocks (which might explain the fund’s low price momentum</w:t>
      </w:r>
      <w:r w:rsidR="0023395D">
        <w:t>) and lower yield stocks (which is reflected in the fund’s low dividend yield). Overall none of the risk index exposures seem too surprising, apart from maybe the magnitude, which again might be diluted from the fund’s 10% stake in fixed income instruments.</w:t>
      </w:r>
    </w:p>
    <w:p w14:paraId="2FFA6D6F" w14:textId="77777777" w:rsidR="00472F29" w:rsidRDefault="00472F29" w:rsidP="002E7499">
      <w:pPr>
        <w:jc w:val="both"/>
        <w:rPr>
          <w:b/>
        </w:rPr>
      </w:pPr>
      <w:r w:rsidRPr="00472F29">
        <w:rPr>
          <w:b/>
        </w:rPr>
        <w:t>Question 14</w:t>
      </w:r>
    </w:p>
    <w:p w14:paraId="3544F88B" w14:textId="77777777" w:rsidR="00472F29" w:rsidRDefault="007638D9" w:rsidP="002E7499">
      <w:pPr>
        <w:jc w:val="both"/>
      </w:pPr>
      <w:r>
        <w:t>Stocks that provide the most risk, excluding cash (least diversified):</w:t>
      </w:r>
    </w:p>
    <w:p w14:paraId="31FFAF55" w14:textId="77777777" w:rsidR="007638D9" w:rsidRDefault="007638D9" w:rsidP="007638D9">
      <w:pPr>
        <w:pStyle w:val="ListParagraph"/>
        <w:numPr>
          <w:ilvl w:val="0"/>
          <w:numId w:val="4"/>
        </w:numPr>
        <w:jc w:val="both"/>
      </w:pPr>
      <w:r>
        <w:t>Consol Energy Inc. (CNX)</w:t>
      </w:r>
    </w:p>
    <w:p w14:paraId="38F62A9E" w14:textId="77777777" w:rsidR="007638D9" w:rsidRDefault="007638D9" w:rsidP="007638D9">
      <w:pPr>
        <w:pStyle w:val="ListParagraph"/>
        <w:numPr>
          <w:ilvl w:val="0"/>
          <w:numId w:val="4"/>
        </w:numPr>
        <w:jc w:val="both"/>
      </w:pPr>
      <w:r>
        <w:t>Ryerson Hldg. Corp. (RYI)</w:t>
      </w:r>
    </w:p>
    <w:p w14:paraId="56CDC7F6" w14:textId="77777777" w:rsidR="007638D9" w:rsidRDefault="007638D9" w:rsidP="007638D9">
      <w:pPr>
        <w:pStyle w:val="ListParagraph"/>
        <w:numPr>
          <w:ilvl w:val="0"/>
          <w:numId w:val="4"/>
        </w:numPr>
        <w:jc w:val="both"/>
      </w:pPr>
      <w:r>
        <w:t>Kemet Corp. (KEM)</w:t>
      </w:r>
    </w:p>
    <w:p w14:paraId="2F7D1D08" w14:textId="77777777" w:rsidR="00185401" w:rsidRDefault="00185401" w:rsidP="00185401">
      <w:pPr>
        <w:pStyle w:val="ListParagraph"/>
        <w:numPr>
          <w:ilvl w:val="0"/>
          <w:numId w:val="4"/>
        </w:numPr>
      </w:pPr>
      <w:r>
        <w:t>Harsco Corp. (HSC)</w:t>
      </w:r>
    </w:p>
    <w:p w14:paraId="6DCF8EA0" w14:textId="77777777" w:rsidR="00185401" w:rsidRDefault="00185401" w:rsidP="00185401">
      <w:pPr>
        <w:pStyle w:val="ListParagraph"/>
        <w:numPr>
          <w:ilvl w:val="0"/>
          <w:numId w:val="4"/>
        </w:numPr>
        <w:jc w:val="both"/>
      </w:pPr>
      <w:r>
        <w:t>Xerium Technologies In. (XRM)</w:t>
      </w:r>
    </w:p>
    <w:p w14:paraId="4E9F7E58" w14:textId="77777777" w:rsidR="00185401" w:rsidRDefault="00185401" w:rsidP="00185401">
      <w:pPr>
        <w:jc w:val="both"/>
      </w:pPr>
      <w:r>
        <w:rPr>
          <w:noProof/>
        </w:rPr>
        <w:lastRenderedPageBreak/>
        <w:drawing>
          <wp:inline distT="0" distB="0" distL="0" distR="0" wp14:anchorId="6BCE341A" wp14:editId="60B1A8AD">
            <wp:extent cx="3021496" cy="1667806"/>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913" cy="1695635"/>
                    </a:xfrm>
                    <a:prstGeom prst="rect">
                      <a:avLst/>
                    </a:prstGeom>
                  </pic:spPr>
                </pic:pic>
              </a:graphicData>
            </a:graphic>
          </wp:inline>
        </w:drawing>
      </w:r>
    </w:p>
    <w:p w14:paraId="57BED74D" w14:textId="77777777" w:rsidR="00185401" w:rsidRDefault="00185401" w:rsidP="00185401">
      <w:pPr>
        <w:jc w:val="both"/>
        <w:rPr>
          <w:b/>
        </w:rPr>
      </w:pPr>
      <w:r w:rsidRPr="00185401">
        <w:rPr>
          <w:b/>
        </w:rPr>
        <w:t>Question 15</w:t>
      </w:r>
    </w:p>
    <w:p w14:paraId="4F567CF0" w14:textId="77777777" w:rsidR="00C821BF" w:rsidRDefault="00C821BF" w:rsidP="00C821BF">
      <w:pPr>
        <w:jc w:val="both"/>
      </w:pPr>
      <w:r>
        <w:t>Stocks that add the most style risk, excluding cash (least diversified):</w:t>
      </w:r>
    </w:p>
    <w:p w14:paraId="4403E678" w14:textId="77777777" w:rsidR="00C821BF" w:rsidRDefault="00C821BF" w:rsidP="00C821BF">
      <w:pPr>
        <w:pStyle w:val="ListParagraph"/>
        <w:numPr>
          <w:ilvl w:val="0"/>
          <w:numId w:val="6"/>
        </w:numPr>
        <w:jc w:val="both"/>
      </w:pPr>
      <w:r>
        <w:t>Ryerson Hldg. Corp. (RYI)</w:t>
      </w:r>
    </w:p>
    <w:p w14:paraId="64AD56EB" w14:textId="77777777" w:rsidR="00C821BF" w:rsidRDefault="00C821BF" w:rsidP="00C821BF">
      <w:pPr>
        <w:pStyle w:val="ListParagraph"/>
        <w:numPr>
          <w:ilvl w:val="0"/>
          <w:numId w:val="6"/>
        </w:numPr>
      </w:pPr>
      <w:r>
        <w:t>Kemet Corp. (KEM)</w:t>
      </w:r>
    </w:p>
    <w:p w14:paraId="68EC6097" w14:textId="77777777" w:rsidR="00C821BF" w:rsidRDefault="00C821BF" w:rsidP="00C821BF">
      <w:pPr>
        <w:pStyle w:val="ListParagraph"/>
        <w:numPr>
          <w:ilvl w:val="0"/>
          <w:numId w:val="6"/>
        </w:numPr>
        <w:jc w:val="both"/>
      </w:pPr>
      <w:r>
        <w:t>Xerium Technologies In. (XRM)</w:t>
      </w:r>
    </w:p>
    <w:p w14:paraId="4F427E49" w14:textId="77777777" w:rsidR="00C821BF" w:rsidRDefault="00C821BF" w:rsidP="00C821BF">
      <w:pPr>
        <w:pStyle w:val="ListParagraph"/>
        <w:numPr>
          <w:ilvl w:val="0"/>
          <w:numId w:val="6"/>
        </w:numPr>
        <w:jc w:val="both"/>
      </w:pPr>
      <w:r>
        <w:t>Universal Stainless &amp; Co. (USAP)</w:t>
      </w:r>
    </w:p>
    <w:p w14:paraId="44F392E8" w14:textId="77777777" w:rsidR="00C821BF" w:rsidRDefault="00C821BF" w:rsidP="00C821BF">
      <w:pPr>
        <w:pStyle w:val="ListParagraph"/>
        <w:numPr>
          <w:ilvl w:val="0"/>
          <w:numId w:val="6"/>
        </w:numPr>
        <w:jc w:val="both"/>
      </w:pPr>
      <w:r>
        <w:t>Harsco Corp. (HSC)</w:t>
      </w:r>
    </w:p>
    <w:p w14:paraId="4F57A6B2" w14:textId="77777777" w:rsidR="00C821BF" w:rsidRDefault="00C821BF" w:rsidP="00185401">
      <w:pPr>
        <w:jc w:val="both"/>
        <w:rPr>
          <w:b/>
        </w:rPr>
      </w:pPr>
      <w:r>
        <w:rPr>
          <w:noProof/>
        </w:rPr>
        <w:drawing>
          <wp:inline distT="0" distB="0" distL="0" distR="0" wp14:anchorId="1AA0EFF5" wp14:editId="2B224E31">
            <wp:extent cx="2957885" cy="16408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5665" cy="1661775"/>
                    </a:xfrm>
                    <a:prstGeom prst="rect">
                      <a:avLst/>
                    </a:prstGeom>
                  </pic:spPr>
                </pic:pic>
              </a:graphicData>
            </a:graphic>
          </wp:inline>
        </w:drawing>
      </w:r>
    </w:p>
    <w:p w14:paraId="70A2E163" w14:textId="77777777" w:rsidR="00C821BF" w:rsidRDefault="00C821BF" w:rsidP="00185401">
      <w:pPr>
        <w:jc w:val="both"/>
        <w:rPr>
          <w:b/>
        </w:rPr>
      </w:pPr>
      <w:r>
        <w:rPr>
          <w:b/>
        </w:rPr>
        <w:t>Question 16</w:t>
      </w:r>
    </w:p>
    <w:p w14:paraId="33AD944B" w14:textId="77777777" w:rsidR="00432667" w:rsidRDefault="00432667" w:rsidP="00432667">
      <w:pPr>
        <w:jc w:val="both"/>
      </w:pPr>
      <w:r>
        <w:t>Stocks that add the most sector/industry risk, excluding cash (least diversified):</w:t>
      </w:r>
    </w:p>
    <w:p w14:paraId="251EC881" w14:textId="77777777" w:rsidR="00432667" w:rsidRDefault="00432667" w:rsidP="00432667">
      <w:pPr>
        <w:pStyle w:val="ListParagraph"/>
        <w:numPr>
          <w:ilvl w:val="0"/>
          <w:numId w:val="7"/>
        </w:numPr>
        <w:jc w:val="both"/>
      </w:pPr>
      <w:r w:rsidRPr="00432667">
        <w:t>Franks Intl. N V (FI)</w:t>
      </w:r>
    </w:p>
    <w:p w14:paraId="28FECCBD" w14:textId="77777777" w:rsidR="00432667" w:rsidRDefault="00432667" w:rsidP="00432667">
      <w:pPr>
        <w:pStyle w:val="ListParagraph"/>
        <w:numPr>
          <w:ilvl w:val="0"/>
          <w:numId w:val="7"/>
        </w:numPr>
        <w:jc w:val="both"/>
      </w:pPr>
      <w:r>
        <w:t>Aspen Aerogels Inc. (ASPN)</w:t>
      </w:r>
    </w:p>
    <w:p w14:paraId="52013A43" w14:textId="77777777" w:rsidR="00432667" w:rsidRDefault="00432667" w:rsidP="00432667">
      <w:pPr>
        <w:pStyle w:val="ListParagraph"/>
        <w:numPr>
          <w:ilvl w:val="0"/>
          <w:numId w:val="7"/>
        </w:numPr>
        <w:jc w:val="both"/>
      </w:pPr>
      <w:r>
        <w:t>Boardwalk Pipeline Par. (BWP)</w:t>
      </w:r>
    </w:p>
    <w:p w14:paraId="142500BF" w14:textId="77777777" w:rsidR="00432667" w:rsidRDefault="00432667" w:rsidP="00432667">
      <w:pPr>
        <w:pStyle w:val="ListParagraph"/>
        <w:numPr>
          <w:ilvl w:val="0"/>
          <w:numId w:val="7"/>
        </w:numPr>
        <w:jc w:val="both"/>
      </w:pPr>
      <w:r>
        <w:t>Consol Energy Inc. (CNX)</w:t>
      </w:r>
    </w:p>
    <w:p w14:paraId="6A9A6225" w14:textId="77777777" w:rsidR="00432667" w:rsidRPr="00432667" w:rsidRDefault="00432667" w:rsidP="00432667">
      <w:pPr>
        <w:pStyle w:val="ListParagraph"/>
        <w:numPr>
          <w:ilvl w:val="0"/>
          <w:numId w:val="7"/>
        </w:numPr>
        <w:jc w:val="both"/>
      </w:pPr>
      <w:r>
        <w:t>Fairchild Semiconductors (FCS)</w:t>
      </w:r>
    </w:p>
    <w:p w14:paraId="3FB41F93" w14:textId="77777777" w:rsidR="00366531" w:rsidRDefault="00432667" w:rsidP="00185401">
      <w:pPr>
        <w:jc w:val="both"/>
        <w:rPr>
          <w:b/>
        </w:rPr>
      </w:pPr>
      <w:r>
        <w:rPr>
          <w:noProof/>
        </w:rPr>
        <w:lastRenderedPageBreak/>
        <w:drawing>
          <wp:inline distT="0" distB="0" distL="0" distR="0" wp14:anchorId="5E1E6C84" wp14:editId="5035DF11">
            <wp:extent cx="3137925" cy="1757238"/>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5465" cy="1783860"/>
                    </a:xfrm>
                    <a:prstGeom prst="rect">
                      <a:avLst/>
                    </a:prstGeom>
                  </pic:spPr>
                </pic:pic>
              </a:graphicData>
            </a:graphic>
          </wp:inline>
        </w:drawing>
      </w:r>
    </w:p>
    <w:p w14:paraId="7C2C2716" w14:textId="77777777" w:rsidR="00D368A6" w:rsidRDefault="00D368A6" w:rsidP="00185401">
      <w:pPr>
        <w:jc w:val="both"/>
        <w:rPr>
          <w:b/>
        </w:rPr>
      </w:pPr>
      <w:r>
        <w:rPr>
          <w:b/>
        </w:rPr>
        <w:t>Question 17</w:t>
      </w:r>
    </w:p>
    <w:p w14:paraId="44E46B48" w14:textId="77777777" w:rsidR="00D368A6" w:rsidRPr="00D620D6" w:rsidRDefault="00D368A6" w:rsidP="00185401">
      <w:pPr>
        <w:jc w:val="both"/>
        <w:rPr>
          <w:b/>
        </w:rPr>
      </w:pPr>
      <w:r w:rsidRPr="00D620D6">
        <w:rPr>
          <w:b/>
        </w:rPr>
        <w:t xml:space="preserve">Sell: </w:t>
      </w:r>
      <w:r w:rsidR="00E83154" w:rsidRPr="00D620D6">
        <w:rPr>
          <w:b/>
        </w:rPr>
        <w:t>CNX</w:t>
      </w:r>
      <w:r w:rsidR="00E83154">
        <w:t xml:space="preserve"> (Consol Energy Inc.)</w:t>
      </w:r>
    </w:p>
    <w:p w14:paraId="09F47F67" w14:textId="77777777" w:rsidR="00E83154" w:rsidRDefault="00E83154" w:rsidP="00185401">
      <w:pPr>
        <w:jc w:val="both"/>
      </w:pPr>
      <w:r>
        <w:t>The reason we recommend selling CNX is many-fold:</w:t>
      </w:r>
    </w:p>
    <w:p w14:paraId="03C84885" w14:textId="77777777" w:rsidR="00E83154" w:rsidRDefault="00E83154" w:rsidP="00E83154">
      <w:pPr>
        <w:pStyle w:val="ListParagraph"/>
        <w:numPr>
          <w:ilvl w:val="0"/>
          <w:numId w:val="8"/>
        </w:numPr>
        <w:jc w:val="both"/>
      </w:pPr>
      <w:r>
        <w:t>It adds the 4</w:t>
      </w:r>
      <w:r w:rsidRPr="00E83154">
        <w:rPr>
          <w:vertAlign w:val="superscript"/>
        </w:rPr>
        <w:t>th</w:t>
      </w:r>
      <w:r>
        <w:t xml:space="preserve"> most sector risk (excluding cash), adds the 7</w:t>
      </w:r>
      <w:r w:rsidRPr="00E83154">
        <w:rPr>
          <w:vertAlign w:val="superscript"/>
        </w:rPr>
        <w:t>th</w:t>
      </w:r>
      <w:r>
        <w:t xml:space="preserve"> most style risk and the most overall risk</w:t>
      </w:r>
    </w:p>
    <w:p w14:paraId="3592CF56" w14:textId="77777777" w:rsidR="00E83154" w:rsidRDefault="00E83154" w:rsidP="00E83154">
      <w:pPr>
        <w:pStyle w:val="ListParagraph"/>
        <w:numPr>
          <w:ilvl w:val="0"/>
          <w:numId w:val="8"/>
        </w:numPr>
        <w:jc w:val="both"/>
      </w:pPr>
      <w:r>
        <w:t>Out of the 10 stocks that contribute the most sector risk, it scored the lowest on the US Master Quant Screen with a score of 6.41</w:t>
      </w:r>
    </w:p>
    <w:p w14:paraId="5C28F8D9" w14:textId="77777777" w:rsidR="00E83154" w:rsidRDefault="00E83154" w:rsidP="00E83154">
      <w:pPr>
        <w:pStyle w:val="ListParagraph"/>
        <w:numPr>
          <w:ilvl w:val="0"/>
          <w:numId w:val="8"/>
        </w:numPr>
        <w:jc w:val="both"/>
      </w:pPr>
      <w:r>
        <w:t>Several valuation tools show its price will decrease</w:t>
      </w:r>
      <w:r w:rsidR="00BA5C20">
        <w:t xml:space="preserve"> (current price: $10.79)</w:t>
      </w:r>
    </w:p>
    <w:tbl>
      <w:tblPr>
        <w:tblStyle w:val="TableGrid"/>
        <w:tblW w:w="0" w:type="auto"/>
        <w:tblInd w:w="720" w:type="dxa"/>
        <w:tblLook w:val="04A0" w:firstRow="1" w:lastRow="0" w:firstColumn="1" w:lastColumn="0" w:noHBand="0" w:noVBand="1"/>
      </w:tblPr>
      <w:tblGrid>
        <w:gridCol w:w="2892"/>
        <w:gridCol w:w="2867"/>
        <w:gridCol w:w="2871"/>
      </w:tblGrid>
      <w:tr w:rsidR="00C742DC" w14:paraId="62FB3103" w14:textId="77777777" w:rsidTr="00A35CB3">
        <w:tc>
          <w:tcPr>
            <w:tcW w:w="3116" w:type="dxa"/>
          </w:tcPr>
          <w:p w14:paraId="2ADF782C" w14:textId="77777777" w:rsidR="00C742DC" w:rsidRPr="000E3AD6" w:rsidRDefault="00C742DC" w:rsidP="00A35CB3">
            <w:pPr>
              <w:pStyle w:val="ListParagraph"/>
              <w:ind w:left="0"/>
              <w:jc w:val="center"/>
              <w:rPr>
                <w:b/>
                <w:sz w:val="20"/>
                <w:szCs w:val="20"/>
              </w:rPr>
            </w:pPr>
            <w:r w:rsidRPr="000E3AD6">
              <w:rPr>
                <w:b/>
                <w:sz w:val="20"/>
                <w:szCs w:val="20"/>
              </w:rPr>
              <w:t>Valuation</w:t>
            </w:r>
          </w:p>
        </w:tc>
        <w:tc>
          <w:tcPr>
            <w:tcW w:w="3117" w:type="dxa"/>
          </w:tcPr>
          <w:p w14:paraId="5A11F392" w14:textId="77777777" w:rsidR="00C742DC" w:rsidRPr="000E3AD6" w:rsidRDefault="00C742DC" w:rsidP="00A35CB3">
            <w:pPr>
              <w:pStyle w:val="ListParagraph"/>
              <w:ind w:left="0"/>
              <w:jc w:val="center"/>
              <w:rPr>
                <w:b/>
                <w:sz w:val="20"/>
                <w:szCs w:val="20"/>
              </w:rPr>
            </w:pPr>
            <w:r w:rsidRPr="000E3AD6">
              <w:rPr>
                <w:b/>
                <w:sz w:val="20"/>
                <w:szCs w:val="20"/>
              </w:rPr>
              <w:t>Target Price</w:t>
            </w:r>
          </w:p>
        </w:tc>
        <w:tc>
          <w:tcPr>
            <w:tcW w:w="3117" w:type="dxa"/>
          </w:tcPr>
          <w:p w14:paraId="7DB9FBBB" w14:textId="77777777" w:rsidR="00C742DC" w:rsidRPr="000E3AD6" w:rsidRDefault="005C3771" w:rsidP="00A35CB3">
            <w:pPr>
              <w:pStyle w:val="ListParagraph"/>
              <w:ind w:left="0"/>
              <w:jc w:val="center"/>
              <w:rPr>
                <w:b/>
                <w:sz w:val="20"/>
                <w:szCs w:val="20"/>
              </w:rPr>
            </w:pPr>
            <w:r w:rsidRPr="000E3AD6">
              <w:rPr>
                <w:b/>
                <w:sz w:val="20"/>
                <w:szCs w:val="20"/>
              </w:rPr>
              <w:t>Changes made</w:t>
            </w:r>
          </w:p>
        </w:tc>
      </w:tr>
      <w:tr w:rsidR="00C742DC" w14:paraId="131D7FFB" w14:textId="77777777" w:rsidTr="00A35CB3">
        <w:tc>
          <w:tcPr>
            <w:tcW w:w="3116" w:type="dxa"/>
          </w:tcPr>
          <w:p w14:paraId="59943880" w14:textId="77777777" w:rsidR="00C742DC" w:rsidRPr="000E3AD6" w:rsidRDefault="00C742DC" w:rsidP="00A35CB3">
            <w:pPr>
              <w:pStyle w:val="ListParagraph"/>
              <w:ind w:left="0"/>
              <w:jc w:val="center"/>
              <w:rPr>
                <w:sz w:val="20"/>
                <w:szCs w:val="20"/>
              </w:rPr>
            </w:pPr>
            <w:r w:rsidRPr="000E3AD6">
              <w:rPr>
                <w:sz w:val="20"/>
                <w:szCs w:val="20"/>
              </w:rPr>
              <w:t>Quant</w:t>
            </w:r>
          </w:p>
        </w:tc>
        <w:tc>
          <w:tcPr>
            <w:tcW w:w="3117" w:type="dxa"/>
          </w:tcPr>
          <w:p w14:paraId="26485C5F" w14:textId="77777777" w:rsidR="00C742DC" w:rsidRPr="000E3AD6" w:rsidRDefault="00C742DC" w:rsidP="00A35CB3">
            <w:pPr>
              <w:pStyle w:val="ListParagraph"/>
              <w:ind w:left="0"/>
              <w:jc w:val="center"/>
              <w:rPr>
                <w:sz w:val="20"/>
                <w:szCs w:val="20"/>
              </w:rPr>
            </w:pPr>
            <w:r w:rsidRPr="000E3AD6">
              <w:rPr>
                <w:sz w:val="20"/>
                <w:szCs w:val="20"/>
              </w:rPr>
              <w:t>$10.299 (4.55% over</w:t>
            </w:r>
            <w:r w:rsidR="00A95D38" w:rsidRPr="000E3AD6">
              <w:rPr>
                <w:sz w:val="20"/>
                <w:szCs w:val="20"/>
              </w:rPr>
              <w:t>-</w:t>
            </w:r>
            <w:r w:rsidRPr="000E3AD6">
              <w:rPr>
                <w:sz w:val="20"/>
                <w:szCs w:val="20"/>
              </w:rPr>
              <w:t>valued)</w:t>
            </w:r>
          </w:p>
        </w:tc>
        <w:tc>
          <w:tcPr>
            <w:tcW w:w="3117" w:type="dxa"/>
          </w:tcPr>
          <w:p w14:paraId="410C6222" w14:textId="77777777" w:rsidR="00C742DC" w:rsidRPr="000E3AD6" w:rsidRDefault="00C742DC" w:rsidP="00A35CB3">
            <w:pPr>
              <w:pStyle w:val="ListParagraph"/>
              <w:ind w:left="0"/>
              <w:jc w:val="center"/>
              <w:rPr>
                <w:sz w:val="20"/>
                <w:szCs w:val="20"/>
              </w:rPr>
            </w:pPr>
          </w:p>
        </w:tc>
      </w:tr>
      <w:tr w:rsidR="00C742DC" w14:paraId="1D181860" w14:textId="77777777" w:rsidTr="00A35CB3">
        <w:tc>
          <w:tcPr>
            <w:tcW w:w="3116" w:type="dxa"/>
          </w:tcPr>
          <w:p w14:paraId="6DC37A8D" w14:textId="77777777" w:rsidR="00C742DC" w:rsidRPr="000E3AD6" w:rsidRDefault="00C742DC" w:rsidP="00A35CB3">
            <w:pPr>
              <w:pStyle w:val="ListParagraph"/>
              <w:ind w:left="0"/>
              <w:jc w:val="center"/>
              <w:rPr>
                <w:sz w:val="20"/>
                <w:szCs w:val="20"/>
              </w:rPr>
            </w:pPr>
            <w:r w:rsidRPr="000E3AD6">
              <w:rPr>
                <w:sz w:val="20"/>
                <w:szCs w:val="20"/>
              </w:rPr>
              <w:t>Bloomberg DDM</w:t>
            </w:r>
          </w:p>
        </w:tc>
        <w:tc>
          <w:tcPr>
            <w:tcW w:w="3117" w:type="dxa"/>
          </w:tcPr>
          <w:p w14:paraId="7F41602A" w14:textId="77777777" w:rsidR="00C742DC" w:rsidRPr="000E3AD6" w:rsidRDefault="005C3771" w:rsidP="00A35CB3">
            <w:pPr>
              <w:pStyle w:val="ListParagraph"/>
              <w:ind w:left="0"/>
              <w:jc w:val="center"/>
              <w:rPr>
                <w:sz w:val="20"/>
                <w:szCs w:val="20"/>
              </w:rPr>
            </w:pPr>
            <w:r w:rsidRPr="000E3AD6">
              <w:rPr>
                <w:sz w:val="20"/>
                <w:szCs w:val="20"/>
              </w:rPr>
              <w:t>$</w:t>
            </w:r>
            <w:r w:rsidR="00A6113D" w:rsidRPr="000E3AD6">
              <w:rPr>
                <w:sz w:val="20"/>
                <w:szCs w:val="20"/>
              </w:rPr>
              <w:t>1.775 (83.55</w:t>
            </w:r>
            <w:r w:rsidR="00C742DC" w:rsidRPr="000E3AD6">
              <w:rPr>
                <w:sz w:val="20"/>
                <w:szCs w:val="20"/>
              </w:rPr>
              <w:t>% over</w:t>
            </w:r>
            <w:r w:rsidR="00A95D38" w:rsidRPr="000E3AD6">
              <w:rPr>
                <w:sz w:val="20"/>
                <w:szCs w:val="20"/>
              </w:rPr>
              <w:t>-</w:t>
            </w:r>
            <w:r w:rsidR="00C742DC" w:rsidRPr="000E3AD6">
              <w:rPr>
                <w:sz w:val="20"/>
                <w:szCs w:val="20"/>
              </w:rPr>
              <w:t>valued)</w:t>
            </w:r>
          </w:p>
        </w:tc>
        <w:tc>
          <w:tcPr>
            <w:tcW w:w="3117" w:type="dxa"/>
          </w:tcPr>
          <w:p w14:paraId="0A132FA9" w14:textId="77777777" w:rsidR="00C742DC" w:rsidRPr="000E3AD6" w:rsidRDefault="00A6113D" w:rsidP="00A35CB3">
            <w:pPr>
              <w:pStyle w:val="ListParagraph"/>
              <w:ind w:left="0"/>
              <w:jc w:val="center"/>
              <w:rPr>
                <w:sz w:val="20"/>
                <w:szCs w:val="20"/>
              </w:rPr>
            </w:pPr>
            <w:r w:rsidRPr="000E3AD6">
              <w:rPr>
                <w:sz w:val="20"/>
                <w:szCs w:val="20"/>
              </w:rPr>
              <w:t>LT growth rate of 20.6</w:t>
            </w:r>
            <w:r w:rsidR="00C742DC" w:rsidRPr="000E3AD6">
              <w:rPr>
                <w:sz w:val="20"/>
                <w:szCs w:val="20"/>
              </w:rPr>
              <w:t>%</w:t>
            </w:r>
          </w:p>
        </w:tc>
      </w:tr>
      <w:tr w:rsidR="00C742DC" w14:paraId="22395361" w14:textId="77777777" w:rsidTr="00A35CB3">
        <w:tc>
          <w:tcPr>
            <w:tcW w:w="3116" w:type="dxa"/>
          </w:tcPr>
          <w:p w14:paraId="406BD445" w14:textId="77777777" w:rsidR="00C742DC" w:rsidRPr="000E3AD6" w:rsidRDefault="005C3771" w:rsidP="00A35CB3">
            <w:pPr>
              <w:pStyle w:val="ListParagraph"/>
              <w:ind w:left="0"/>
              <w:jc w:val="center"/>
              <w:rPr>
                <w:sz w:val="20"/>
                <w:szCs w:val="20"/>
              </w:rPr>
            </w:pPr>
            <w:r w:rsidRPr="000E3AD6">
              <w:rPr>
                <w:sz w:val="20"/>
                <w:szCs w:val="20"/>
              </w:rPr>
              <w:t>eVal</w:t>
            </w:r>
          </w:p>
        </w:tc>
        <w:tc>
          <w:tcPr>
            <w:tcW w:w="3117" w:type="dxa"/>
          </w:tcPr>
          <w:p w14:paraId="03BB3A28" w14:textId="77777777" w:rsidR="00C742DC" w:rsidRPr="000E3AD6" w:rsidRDefault="005C3771" w:rsidP="00A35CB3">
            <w:pPr>
              <w:pStyle w:val="ListParagraph"/>
              <w:ind w:left="0"/>
              <w:jc w:val="center"/>
              <w:rPr>
                <w:sz w:val="20"/>
                <w:szCs w:val="20"/>
              </w:rPr>
            </w:pPr>
            <w:r w:rsidRPr="000E3AD6">
              <w:rPr>
                <w:sz w:val="20"/>
                <w:szCs w:val="20"/>
              </w:rPr>
              <w:t>$0 (100% over-valued)</w:t>
            </w:r>
          </w:p>
        </w:tc>
        <w:tc>
          <w:tcPr>
            <w:tcW w:w="3117" w:type="dxa"/>
          </w:tcPr>
          <w:p w14:paraId="40B2B0E7" w14:textId="77777777" w:rsidR="00C742DC" w:rsidRPr="000E3AD6" w:rsidRDefault="005C3771" w:rsidP="00A35CB3">
            <w:pPr>
              <w:pStyle w:val="ListParagraph"/>
              <w:ind w:left="0"/>
              <w:jc w:val="center"/>
              <w:rPr>
                <w:sz w:val="20"/>
                <w:szCs w:val="20"/>
              </w:rPr>
            </w:pPr>
            <w:r w:rsidRPr="000E3AD6">
              <w:rPr>
                <w:sz w:val="20"/>
                <w:szCs w:val="20"/>
              </w:rPr>
              <w:t>EPS &amp; sales growth match</w:t>
            </w:r>
          </w:p>
        </w:tc>
      </w:tr>
      <w:tr w:rsidR="00C742DC" w14:paraId="284C3DB7" w14:textId="77777777" w:rsidTr="00A35CB3">
        <w:tc>
          <w:tcPr>
            <w:tcW w:w="3116" w:type="dxa"/>
          </w:tcPr>
          <w:p w14:paraId="0C407254" w14:textId="77777777" w:rsidR="00C742DC" w:rsidRPr="000E3AD6" w:rsidRDefault="005C3771" w:rsidP="00A35CB3">
            <w:pPr>
              <w:pStyle w:val="ListParagraph"/>
              <w:ind w:left="0"/>
              <w:jc w:val="center"/>
              <w:rPr>
                <w:sz w:val="20"/>
                <w:szCs w:val="20"/>
              </w:rPr>
            </w:pPr>
            <w:r w:rsidRPr="000E3AD6">
              <w:rPr>
                <w:sz w:val="20"/>
                <w:szCs w:val="20"/>
              </w:rPr>
              <w:t>FactSet DCF</w:t>
            </w:r>
          </w:p>
        </w:tc>
        <w:tc>
          <w:tcPr>
            <w:tcW w:w="3117" w:type="dxa"/>
          </w:tcPr>
          <w:p w14:paraId="1F6EBBF0" w14:textId="77777777" w:rsidR="00C742DC" w:rsidRPr="000E3AD6" w:rsidRDefault="005C3771" w:rsidP="00A35CB3">
            <w:pPr>
              <w:pStyle w:val="ListParagraph"/>
              <w:ind w:left="0"/>
              <w:jc w:val="center"/>
              <w:rPr>
                <w:sz w:val="20"/>
                <w:szCs w:val="20"/>
              </w:rPr>
            </w:pPr>
            <w:r w:rsidRPr="000E3AD6">
              <w:rPr>
                <w:sz w:val="20"/>
                <w:szCs w:val="20"/>
              </w:rPr>
              <w:t>$0 (100% over-valued)</w:t>
            </w:r>
          </w:p>
        </w:tc>
        <w:tc>
          <w:tcPr>
            <w:tcW w:w="3117" w:type="dxa"/>
          </w:tcPr>
          <w:p w14:paraId="762C9B3C" w14:textId="77777777" w:rsidR="00C742DC" w:rsidRPr="000E3AD6" w:rsidRDefault="005C3771" w:rsidP="00A35CB3">
            <w:pPr>
              <w:pStyle w:val="ListParagraph"/>
              <w:ind w:left="0"/>
              <w:jc w:val="center"/>
              <w:rPr>
                <w:sz w:val="20"/>
                <w:szCs w:val="20"/>
              </w:rPr>
            </w:pPr>
            <w:r w:rsidRPr="000E3AD6">
              <w:rPr>
                <w:sz w:val="20"/>
                <w:szCs w:val="20"/>
              </w:rPr>
              <w:t>Sales growth match &amp; WACC</w:t>
            </w:r>
          </w:p>
        </w:tc>
      </w:tr>
      <w:tr w:rsidR="00C742DC" w14:paraId="14BADCA1" w14:textId="77777777" w:rsidTr="00A35CB3">
        <w:tc>
          <w:tcPr>
            <w:tcW w:w="3116" w:type="dxa"/>
          </w:tcPr>
          <w:p w14:paraId="0FE86522" w14:textId="77777777" w:rsidR="00C742DC" w:rsidRPr="000E3AD6" w:rsidRDefault="00050CEA" w:rsidP="00A35CB3">
            <w:pPr>
              <w:pStyle w:val="ListParagraph"/>
              <w:ind w:left="0"/>
              <w:jc w:val="center"/>
              <w:rPr>
                <w:sz w:val="20"/>
                <w:szCs w:val="20"/>
              </w:rPr>
            </w:pPr>
            <w:r w:rsidRPr="000E3AD6">
              <w:rPr>
                <w:sz w:val="20"/>
                <w:szCs w:val="20"/>
              </w:rPr>
              <w:t>Bloomberg DCF (PG)</w:t>
            </w:r>
          </w:p>
        </w:tc>
        <w:tc>
          <w:tcPr>
            <w:tcW w:w="3117" w:type="dxa"/>
          </w:tcPr>
          <w:p w14:paraId="617C800C" w14:textId="77777777" w:rsidR="00C742DC" w:rsidRPr="000E3AD6" w:rsidRDefault="005D2525" w:rsidP="005D2525">
            <w:pPr>
              <w:pStyle w:val="ListParagraph"/>
              <w:ind w:left="0"/>
              <w:jc w:val="center"/>
              <w:rPr>
                <w:sz w:val="20"/>
                <w:szCs w:val="20"/>
              </w:rPr>
            </w:pPr>
            <w:r w:rsidRPr="000E3AD6">
              <w:rPr>
                <w:sz w:val="20"/>
                <w:szCs w:val="20"/>
              </w:rPr>
              <w:t>$0 - $11.12</w:t>
            </w:r>
          </w:p>
        </w:tc>
        <w:tc>
          <w:tcPr>
            <w:tcW w:w="3117" w:type="dxa"/>
          </w:tcPr>
          <w:p w14:paraId="00493D21" w14:textId="77777777" w:rsidR="00C742DC" w:rsidRPr="000E3AD6" w:rsidRDefault="00050CEA" w:rsidP="00A35CB3">
            <w:pPr>
              <w:pStyle w:val="ListParagraph"/>
              <w:ind w:left="0"/>
              <w:jc w:val="center"/>
              <w:rPr>
                <w:sz w:val="20"/>
                <w:szCs w:val="20"/>
              </w:rPr>
            </w:pPr>
            <w:r w:rsidRPr="000E3AD6">
              <w:rPr>
                <w:sz w:val="20"/>
                <w:szCs w:val="20"/>
              </w:rPr>
              <w:t>Set WACC to 8%</w:t>
            </w:r>
          </w:p>
        </w:tc>
      </w:tr>
      <w:tr w:rsidR="00050CEA" w14:paraId="66464817" w14:textId="77777777" w:rsidTr="00A35CB3">
        <w:tc>
          <w:tcPr>
            <w:tcW w:w="3116" w:type="dxa"/>
          </w:tcPr>
          <w:p w14:paraId="5FAEC476" w14:textId="77777777" w:rsidR="00050CEA" w:rsidRPr="000E3AD6" w:rsidRDefault="00050CEA" w:rsidP="00A35CB3">
            <w:pPr>
              <w:pStyle w:val="ListParagraph"/>
              <w:ind w:left="0"/>
              <w:jc w:val="center"/>
              <w:rPr>
                <w:sz w:val="20"/>
                <w:szCs w:val="20"/>
              </w:rPr>
            </w:pPr>
            <w:r w:rsidRPr="000E3AD6">
              <w:rPr>
                <w:sz w:val="20"/>
                <w:szCs w:val="20"/>
              </w:rPr>
              <w:t>Bloomberg DCF (EBITDA M)</w:t>
            </w:r>
          </w:p>
        </w:tc>
        <w:tc>
          <w:tcPr>
            <w:tcW w:w="3117" w:type="dxa"/>
          </w:tcPr>
          <w:p w14:paraId="4EB3BF02" w14:textId="77777777" w:rsidR="00050CEA" w:rsidRPr="000E3AD6" w:rsidRDefault="00050CEA" w:rsidP="005D2525">
            <w:pPr>
              <w:pStyle w:val="ListParagraph"/>
              <w:ind w:left="0"/>
              <w:jc w:val="center"/>
              <w:rPr>
                <w:sz w:val="20"/>
                <w:szCs w:val="20"/>
              </w:rPr>
            </w:pPr>
            <w:r w:rsidRPr="000E3AD6">
              <w:rPr>
                <w:sz w:val="20"/>
                <w:szCs w:val="20"/>
              </w:rPr>
              <w:t>$</w:t>
            </w:r>
            <w:r w:rsidR="005D2525" w:rsidRPr="000E3AD6">
              <w:rPr>
                <w:sz w:val="20"/>
                <w:szCs w:val="20"/>
              </w:rPr>
              <w:t>0 – $5.44</w:t>
            </w:r>
          </w:p>
        </w:tc>
        <w:tc>
          <w:tcPr>
            <w:tcW w:w="3117" w:type="dxa"/>
          </w:tcPr>
          <w:p w14:paraId="60B3A177" w14:textId="77777777" w:rsidR="00050CEA" w:rsidRPr="000E3AD6" w:rsidRDefault="00050CEA" w:rsidP="00A35CB3">
            <w:pPr>
              <w:pStyle w:val="ListParagraph"/>
              <w:ind w:left="0"/>
              <w:jc w:val="center"/>
              <w:rPr>
                <w:sz w:val="20"/>
                <w:szCs w:val="20"/>
              </w:rPr>
            </w:pPr>
            <w:r w:rsidRPr="000E3AD6">
              <w:rPr>
                <w:sz w:val="20"/>
                <w:szCs w:val="20"/>
              </w:rPr>
              <w:t>S</w:t>
            </w:r>
            <w:r w:rsidR="00D51AEB" w:rsidRPr="000E3AD6">
              <w:rPr>
                <w:sz w:val="20"/>
                <w:szCs w:val="20"/>
              </w:rPr>
              <w:t>et exit EBITDA to 4.72</w:t>
            </w:r>
            <w:r w:rsidRPr="000E3AD6">
              <w:rPr>
                <w:sz w:val="20"/>
                <w:szCs w:val="20"/>
              </w:rPr>
              <w:t>x</w:t>
            </w:r>
          </w:p>
        </w:tc>
      </w:tr>
    </w:tbl>
    <w:p w14:paraId="31488FD8" w14:textId="77777777" w:rsidR="00C742DC" w:rsidRDefault="00C742DC" w:rsidP="00C742DC">
      <w:pPr>
        <w:jc w:val="both"/>
      </w:pPr>
    </w:p>
    <w:p w14:paraId="074FF318" w14:textId="1AD388AC" w:rsidR="007310E1" w:rsidRDefault="00437EA6" w:rsidP="008F79EC">
      <w:pPr>
        <w:pStyle w:val="ListParagraph"/>
        <w:numPr>
          <w:ilvl w:val="0"/>
          <w:numId w:val="8"/>
        </w:numPr>
        <w:jc w:val="both"/>
      </w:pPr>
      <w:r>
        <w:t>Selling CNX would reduce the fund’s slight over-exposure to the energy sector versus the mid-cap benchmark</w:t>
      </w:r>
    </w:p>
    <w:p w14:paraId="6051B8AD" w14:textId="72C4A4D7" w:rsidR="00C742DC" w:rsidRDefault="008F79EC" w:rsidP="00C742DC">
      <w:pPr>
        <w:pStyle w:val="ListParagraph"/>
        <w:numPr>
          <w:ilvl w:val="0"/>
          <w:numId w:val="8"/>
        </w:numPr>
        <w:jc w:val="both"/>
      </w:pPr>
      <w:r>
        <w:t>Negative earnings surprise of -1427.4% on average over the past 3 quarters</w:t>
      </w:r>
    </w:p>
    <w:p w14:paraId="3A26AFC5" w14:textId="77777777" w:rsidR="00C742DC" w:rsidRDefault="00C742DC" w:rsidP="00E83154">
      <w:pPr>
        <w:pStyle w:val="ListParagraph"/>
        <w:numPr>
          <w:ilvl w:val="0"/>
          <w:numId w:val="8"/>
        </w:numPr>
        <w:jc w:val="both"/>
      </w:pPr>
      <w:r>
        <w:t>But</w:t>
      </w:r>
      <w:r w:rsidR="00C726C5">
        <w:t>,</w:t>
      </w:r>
      <w:r>
        <w:t xml:space="preserve"> there has been a lot of insider buying and all types of funds (except Index and Growth) have been buying as well</w:t>
      </w:r>
    </w:p>
    <w:p w14:paraId="7931FA1F" w14:textId="77777777" w:rsidR="00C742DC" w:rsidRDefault="00C742DC" w:rsidP="00C742DC">
      <w:pPr>
        <w:pStyle w:val="ListParagraph"/>
        <w:jc w:val="both"/>
      </w:pPr>
      <w:r>
        <w:rPr>
          <w:noProof/>
        </w:rPr>
        <w:drawing>
          <wp:anchor distT="0" distB="0" distL="114300" distR="114300" simplePos="0" relativeHeight="251663360" behindDoc="0" locked="0" layoutInCell="1" allowOverlap="1" wp14:anchorId="3DBB6438" wp14:editId="59009867">
            <wp:simplePos x="0" y="0"/>
            <wp:positionH relativeFrom="column">
              <wp:posOffset>2767053</wp:posOffset>
            </wp:positionH>
            <wp:positionV relativeFrom="paragraph">
              <wp:posOffset>5411</wp:posOffset>
            </wp:positionV>
            <wp:extent cx="2186609" cy="2038084"/>
            <wp:effectExtent l="0" t="0" r="444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4593" cy="20828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6E37C04" wp14:editId="60195BB3">
            <wp:simplePos x="0" y="0"/>
            <wp:positionH relativeFrom="column">
              <wp:posOffset>477078</wp:posOffset>
            </wp:positionH>
            <wp:positionV relativeFrom="paragraph">
              <wp:posOffset>53118</wp:posOffset>
            </wp:positionV>
            <wp:extent cx="2178658" cy="1991667"/>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1996" cy="2013001"/>
                    </a:xfrm>
                    <a:prstGeom prst="rect">
                      <a:avLst/>
                    </a:prstGeom>
                  </pic:spPr>
                </pic:pic>
              </a:graphicData>
            </a:graphic>
            <wp14:sizeRelH relativeFrom="margin">
              <wp14:pctWidth>0</wp14:pctWidth>
            </wp14:sizeRelH>
            <wp14:sizeRelV relativeFrom="margin">
              <wp14:pctHeight>0</wp14:pctHeight>
            </wp14:sizeRelV>
          </wp:anchor>
        </w:drawing>
      </w:r>
    </w:p>
    <w:p w14:paraId="0D556423" w14:textId="77777777" w:rsidR="00C742DC" w:rsidRDefault="00C742DC" w:rsidP="00C742DC">
      <w:pPr>
        <w:jc w:val="both"/>
      </w:pPr>
    </w:p>
    <w:p w14:paraId="1FEF4358" w14:textId="77777777" w:rsidR="00C742DC" w:rsidRDefault="00C742DC" w:rsidP="00C742DC">
      <w:pPr>
        <w:jc w:val="both"/>
      </w:pPr>
    </w:p>
    <w:p w14:paraId="38F75C63" w14:textId="77777777" w:rsidR="00C742DC" w:rsidRDefault="00C742DC" w:rsidP="00C742DC">
      <w:pPr>
        <w:jc w:val="both"/>
      </w:pPr>
    </w:p>
    <w:p w14:paraId="04A01E81" w14:textId="77777777" w:rsidR="00C742DC" w:rsidRPr="00D368A6" w:rsidRDefault="00C742DC" w:rsidP="00C742DC">
      <w:pPr>
        <w:pStyle w:val="ListParagraph"/>
        <w:jc w:val="both"/>
      </w:pPr>
    </w:p>
    <w:p w14:paraId="0DBEFADB" w14:textId="77777777" w:rsidR="00C742DC" w:rsidRDefault="00C742DC" w:rsidP="00185401">
      <w:pPr>
        <w:jc w:val="both"/>
        <w:rPr>
          <w:b/>
        </w:rPr>
      </w:pPr>
    </w:p>
    <w:p w14:paraId="72AA5BAD" w14:textId="77777777" w:rsidR="00C742DC" w:rsidRDefault="00C742DC" w:rsidP="00185401">
      <w:pPr>
        <w:jc w:val="both"/>
        <w:rPr>
          <w:b/>
        </w:rPr>
      </w:pPr>
    </w:p>
    <w:p w14:paraId="0C8BFDED" w14:textId="77777777" w:rsidR="004772E1" w:rsidRDefault="004772E1" w:rsidP="00185401">
      <w:pPr>
        <w:jc w:val="both"/>
        <w:rPr>
          <w:b/>
        </w:rPr>
      </w:pPr>
    </w:p>
    <w:p w14:paraId="71992D29" w14:textId="77777777" w:rsidR="004772E1" w:rsidRDefault="004772E1" w:rsidP="00185401">
      <w:pPr>
        <w:jc w:val="both"/>
      </w:pPr>
      <w:r w:rsidRPr="00D620D6">
        <w:rPr>
          <w:b/>
        </w:rPr>
        <w:lastRenderedPageBreak/>
        <w:t xml:space="preserve">Buy: </w:t>
      </w:r>
      <w:r w:rsidR="00F74467" w:rsidRPr="00D620D6">
        <w:rPr>
          <w:b/>
        </w:rPr>
        <w:t>ORI</w:t>
      </w:r>
      <w:r w:rsidR="00F74467">
        <w:t xml:space="preserve"> (Old Republic International Corporation)</w:t>
      </w:r>
    </w:p>
    <w:p w14:paraId="1C66635A" w14:textId="77777777" w:rsidR="00F74467" w:rsidRDefault="00F74467" w:rsidP="00185401">
      <w:pPr>
        <w:jc w:val="both"/>
      </w:pPr>
      <w:r>
        <w:t>The reasons we recommend to buy this stock</w:t>
      </w:r>
      <w:r w:rsidR="00312902">
        <w:t>:</w:t>
      </w:r>
    </w:p>
    <w:p w14:paraId="1EFE2513" w14:textId="77777777" w:rsidR="00312902" w:rsidRDefault="00312902" w:rsidP="00312902">
      <w:pPr>
        <w:pStyle w:val="ListParagraph"/>
        <w:numPr>
          <w:ilvl w:val="0"/>
          <w:numId w:val="11"/>
        </w:numPr>
        <w:jc w:val="both"/>
      </w:pPr>
      <w:r>
        <w:t>There has been significant insider buying lately</w:t>
      </w:r>
    </w:p>
    <w:p w14:paraId="16E11848" w14:textId="77777777" w:rsidR="00312902" w:rsidRDefault="00312902" w:rsidP="00312902">
      <w:pPr>
        <w:pStyle w:val="ListParagraph"/>
        <w:jc w:val="both"/>
      </w:pPr>
      <w:r>
        <w:rPr>
          <w:noProof/>
        </w:rPr>
        <w:drawing>
          <wp:anchor distT="0" distB="0" distL="114300" distR="114300" simplePos="0" relativeHeight="251665408" behindDoc="0" locked="0" layoutInCell="1" allowOverlap="1" wp14:anchorId="47DFCF59" wp14:editId="702263B1">
            <wp:simplePos x="0" y="0"/>
            <wp:positionH relativeFrom="column">
              <wp:posOffset>444500</wp:posOffset>
            </wp:positionH>
            <wp:positionV relativeFrom="paragraph">
              <wp:posOffset>7620</wp:posOffset>
            </wp:positionV>
            <wp:extent cx="2590800" cy="10096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800" cy="1009650"/>
                    </a:xfrm>
                    <a:prstGeom prst="rect">
                      <a:avLst/>
                    </a:prstGeom>
                  </pic:spPr>
                </pic:pic>
              </a:graphicData>
            </a:graphic>
          </wp:anchor>
        </w:drawing>
      </w:r>
    </w:p>
    <w:p w14:paraId="546D357B" w14:textId="77777777" w:rsidR="00312902" w:rsidRDefault="00312902" w:rsidP="00312902">
      <w:pPr>
        <w:pStyle w:val="ListParagraph"/>
        <w:jc w:val="both"/>
      </w:pPr>
    </w:p>
    <w:p w14:paraId="7CA999C7" w14:textId="77777777" w:rsidR="00312902" w:rsidRDefault="00312902" w:rsidP="00312902">
      <w:pPr>
        <w:pStyle w:val="ListParagraph"/>
        <w:jc w:val="both"/>
      </w:pPr>
    </w:p>
    <w:p w14:paraId="117D6F4A" w14:textId="77777777" w:rsidR="00312902" w:rsidRDefault="00312902" w:rsidP="00312902">
      <w:pPr>
        <w:pStyle w:val="ListParagraph"/>
        <w:jc w:val="both"/>
      </w:pPr>
    </w:p>
    <w:p w14:paraId="14233770" w14:textId="77777777" w:rsidR="00312902" w:rsidRDefault="00312902" w:rsidP="00312902">
      <w:pPr>
        <w:jc w:val="both"/>
      </w:pPr>
    </w:p>
    <w:p w14:paraId="26127717" w14:textId="77777777" w:rsidR="00312902" w:rsidRDefault="00312902" w:rsidP="00312902">
      <w:pPr>
        <w:pStyle w:val="ListParagraph"/>
        <w:numPr>
          <w:ilvl w:val="0"/>
          <w:numId w:val="11"/>
        </w:numPr>
        <w:jc w:val="both"/>
      </w:pPr>
      <w:r>
        <w:t>It is a midcap financial stock (market cap of $4.8B), which could allow the fund to repair some of its heavy underweighting in this sector compared to the benchmark</w:t>
      </w:r>
    </w:p>
    <w:p w14:paraId="2D6F780F" w14:textId="77777777" w:rsidR="00312902" w:rsidRDefault="00312902" w:rsidP="00312902">
      <w:pPr>
        <w:pStyle w:val="ListParagraph"/>
        <w:numPr>
          <w:ilvl w:val="0"/>
          <w:numId w:val="11"/>
        </w:numPr>
        <w:jc w:val="both"/>
      </w:pPr>
      <w:r>
        <w:t>It got the 7</w:t>
      </w:r>
      <w:r w:rsidRPr="00312902">
        <w:rPr>
          <w:vertAlign w:val="superscript"/>
        </w:rPr>
        <w:t>th</w:t>
      </w:r>
      <w:r>
        <w:t xml:space="preserve"> highest score on the US Master screen for midcap stocks, with a score of 3.78)</w:t>
      </w:r>
    </w:p>
    <w:p w14:paraId="285DB4F6" w14:textId="77777777" w:rsidR="00312902" w:rsidRDefault="00312902" w:rsidP="00312902">
      <w:pPr>
        <w:pStyle w:val="ListParagraph"/>
        <w:numPr>
          <w:ilvl w:val="0"/>
          <w:numId w:val="11"/>
        </w:numPr>
        <w:jc w:val="both"/>
      </w:pPr>
      <w:r>
        <w:t>Several valuations return an upside potential (current price: $18.44)</w:t>
      </w:r>
    </w:p>
    <w:tbl>
      <w:tblPr>
        <w:tblStyle w:val="TableGrid"/>
        <w:tblW w:w="0" w:type="auto"/>
        <w:tblInd w:w="720" w:type="dxa"/>
        <w:tblLook w:val="04A0" w:firstRow="1" w:lastRow="0" w:firstColumn="1" w:lastColumn="0" w:noHBand="0" w:noVBand="1"/>
      </w:tblPr>
      <w:tblGrid>
        <w:gridCol w:w="2892"/>
        <w:gridCol w:w="2867"/>
        <w:gridCol w:w="2871"/>
      </w:tblGrid>
      <w:tr w:rsidR="00312902" w:rsidRPr="00E83154" w14:paraId="4A300B31" w14:textId="77777777" w:rsidTr="00A35CB3">
        <w:tc>
          <w:tcPr>
            <w:tcW w:w="3116" w:type="dxa"/>
          </w:tcPr>
          <w:p w14:paraId="2DF40F38" w14:textId="77777777" w:rsidR="00312902" w:rsidRPr="000E3AD6" w:rsidRDefault="00312902" w:rsidP="00A35CB3">
            <w:pPr>
              <w:pStyle w:val="ListParagraph"/>
              <w:ind w:left="0"/>
              <w:jc w:val="center"/>
              <w:rPr>
                <w:b/>
                <w:sz w:val="20"/>
                <w:szCs w:val="20"/>
              </w:rPr>
            </w:pPr>
            <w:r w:rsidRPr="000E3AD6">
              <w:rPr>
                <w:b/>
                <w:sz w:val="20"/>
                <w:szCs w:val="20"/>
              </w:rPr>
              <w:t>Valuation</w:t>
            </w:r>
          </w:p>
        </w:tc>
        <w:tc>
          <w:tcPr>
            <w:tcW w:w="3117" w:type="dxa"/>
          </w:tcPr>
          <w:p w14:paraId="06F8A69F" w14:textId="77777777" w:rsidR="00312902" w:rsidRPr="000E3AD6" w:rsidRDefault="00312902" w:rsidP="00A35CB3">
            <w:pPr>
              <w:pStyle w:val="ListParagraph"/>
              <w:ind w:left="0"/>
              <w:jc w:val="center"/>
              <w:rPr>
                <w:b/>
                <w:sz w:val="20"/>
                <w:szCs w:val="20"/>
              </w:rPr>
            </w:pPr>
            <w:r w:rsidRPr="000E3AD6">
              <w:rPr>
                <w:b/>
                <w:sz w:val="20"/>
                <w:szCs w:val="20"/>
              </w:rPr>
              <w:t>Target Price</w:t>
            </w:r>
          </w:p>
        </w:tc>
        <w:tc>
          <w:tcPr>
            <w:tcW w:w="3117" w:type="dxa"/>
          </w:tcPr>
          <w:p w14:paraId="0C1CDBFC" w14:textId="77777777" w:rsidR="00312902" w:rsidRPr="000E3AD6" w:rsidRDefault="00312902" w:rsidP="00A35CB3">
            <w:pPr>
              <w:pStyle w:val="ListParagraph"/>
              <w:ind w:left="0"/>
              <w:jc w:val="center"/>
              <w:rPr>
                <w:b/>
                <w:sz w:val="20"/>
                <w:szCs w:val="20"/>
              </w:rPr>
            </w:pPr>
            <w:r w:rsidRPr="000E3AD6">
              <w:rPr>
                <w:b/>
                <w:sz w:val="20"/>
                <w:szCs w:val="20"/>
              </w:rPr>
              <w:t>Changes made</w:t>
            </w:r>
          </w:p>
        </w:tc>
      </w:tr>
      <w:tr w:rsidR="00312902" w14:paraId="210FB00F" w14:textId="77777777" w:rsidTr="00A35CB3">
        <w:tc>
          <w:tcPr>
            <w:tcW w:w="3116" w:type="dxa"/>
          </w:tcPr>
          <w:p w14:paraId="302A3CEE" w14:textId="77777777" w:rsidR="00312902" w:rsidRPr="000E3AD6" w:rsidRDefault="00312902" w:rsidP="00A35CB3">
            <w:pPr>
              <w:pStyle w:val="ListParagraph"/>
              <w:ind w:left="0"/>
              <w:jc w:val="center"/>
              <w:rPr>
                <w:sz w:val="20"/>
                <w:szCs w:val="20"/>
              </w:rPr>
            </w:pPr>
            <w:r w:rsidRPr="000E3AD6">
              <w:rPr>
                <w:sz w:val="20"/>
                <w:szCs w:val="20"/>
              </w:rPr>
              <w:t>Quant</w:t>
            </w:r>
          </w:p>
        </w:tc>
        <w:tc>
          <w:tcPr>
            <w:tcW w:w="3117" w:type="dxa"/>
          </w:tcPr>
          <w:p w14:paraId="5F70400A" w14:textId="77777777" w:rsidR="00312902" w:rsidRPr="000E3AD6" w:rsidRDefault="00312902" w:rsidP="00A35CB3">
            <w:pPr>
              <w:pStyle w:val="ListParagraph"/>
              <w:ind w:left="0"/>
              <w:jc w:val="center"/>
              <w:rPr>
                <w:sz w:val="20"/>
                <w:szCs w:val="20"/>
              </w:rPr>
            </w:pPr>
            <w:r w:rsidRPr="000E3AD6">
              <w:rPr>
                <w:sz w:val="20"/>
                <w:szCs w:val="20"/>
              </w:rPr>
              <w:t>$20.03 (8.6% upside)</w:t>
            </w:r>
          </w:p>
        </w:tc>
        <w:tc>
          <w:tcPr>
            <w:tcW w:w="3117" w:type="dxa"/>
          </w:tcPr>
          <w:p w14:paraId="7055A7B5" w14:textId="77777777" w:rsidR="00312902" w:rsidRPr="000E3AD6" w:rsidRDefault="00312902" w:rsidP="00A35CB3">
            <w:pPr>
              <w:pStyle w:val="ListParagraph"/>
              <w:ind w:left="0"/>
              <w:jc w:val="center"/>
              <w:rPr>
                <w:sz w:val="20"/>
                <w:szCs w:val="20"/>
              </w:rPr>
            </w:pPr>
          </w:p>
        </w:tc>
      </w:tr>
      <w:tr w:rsidR="00312902" w14:paraId="7E794DFC" w14:textId="77777777" w:rsidTr="00A35CB3">
        <w:tc>
          <w:tcPr>
            <w:tcW w:w="3116" w:type="dxa"/>
          </w:tcPr>
          <w:p w14:paraId="71E1F91A" w14:textId="77777777" w:rsidR="00312902" w:rsidRPr="000E3AD6" w:rsidRDefault="00312902" w:rsidP="00A35CB3">
            <w:pPr>
              <w:pStyle w:val="ListParagraph"/>
              <w:ind w:left="0"/>
              <w:jc w:val="center"/>
              <w:rPr>
                <w:sz w:val="20"/>
                <w:szCs w:val="20"/>
              </w:rPr>
            </w:pPr>
            <w:r w:rsidRPr="000E3AD6">
              <w:rPr>
                <w:sz w:val="20"/>
                <w:szCs w:val="20"/>
              </w:rPr>
              <w:t>Bloomberg DDM</w:t>
            </w:r>
          </w:p>
        </w:tc>
        <w:tc>
          <w:tcPr>
            <w:tcW w:w="3117" w:type="dxa"/>
          </w:tcPr>
          <w:p w14:paraId="051E497E" w14:textId="77777777" w:rsidR="00312902" w:rsidRPr="000E3AD6" w:rsidRDefault="00312902" w:rsidP="00A35CB3">
            <w:pPr>
              <w:pStyle w:val="ListParagraph"/>
              <w:ind w:left="0"/>
              <w:jc w:val="center"/>
              <w:rPr>
                <w:sz w:val="20"/>
                <w:szCs w:val="20"/>
              </w:rPr>
            </w:pPr>
            <w:r w:rsidRPr="000E3AD6">
              <w:rPr>
                <w:sz w:val="20"/>
                <w:szCs w:val="20"/>
              </w:rPr>
              <w:t>$18.804 (1.9</w:t>
            </w:r>
            <w:r w:rsidR="00586B49" w:rsidRPr="000E3AD6">
              <w:rPr>
                <w:sz w:val="20"/>
                <w:szCs w:val="20"/>
              </w:rPr>
              <w:t>7</w:t>
            </w:r>
            <w:r w:rsidRPr="000E3AD6">
              <w:rPr>
                <w:sz w:val="20"/>
                <w:szCs w:val="20"/>
              </w:rPr>
              <w:t>% upside)</w:t>
            </w:r>
          </w:p>
        </w:tc>
        <w:tc>
          <w:tcPr>
            <w:tcW w:w="3117" w:type="dxa"/>
          </w:tcPr>
          <w:p w14:paraId="75F621BD" w14:textId="77777777" w:rsidR="00312902" w:rsidRPr="000E3AD6" w:rsidRDefault="00312902" w:rsidP="00A35CB3">
            <w:pPr>
              <w:pStyle w:val="ListParagraph"/>
              <w:ind w:left="0"/>
              <w:jc w:val="center"/>
              <w:rPr>
                <w:sz w:val="20"/>
                <w:szCs w:val="20"/>
              </w:rPr>
            </w:pPr>
            <w:r w:rsidRPr="000E3AD6">
              <w:rPr>
                <w:sz w:val="20"/>
                <w:szCs w:val="20"/>
              </w:rPr>
              <w:t>LT growth rate of 5%</w:t>
            </w:r>
          </w:p>
        </w:tc>
      </w:tr>
      <w:tr w:rsidR="00312902" w14:paraId="21CA6F32" w14:textId="77777777" w:rsidTr="00A35CB3">
        <w:tc>
          <w:tcPr>
            <w:tcW w:w="3116" w:type="dxa"/>
          </w:tcPr>
          <w:p w14:paraId="0EB1C658" w14:textId="77777777" w:rsidR="00312902" w:rsidRPr="000E3AD6" w:rsidRDefault="00312902" w:rsidP="00A35CB3">
            <w:pPr>
              <w:pStyle w:val="ListParagraph"/>
              <w:ind w:left="0"/>
              <w:jc w:val="center"/>
              <w:rPr>
                <w:sz w:val="20"/>
                <w:szCs w:val="20"/>
              </w:rPr>
            </w:pPr>
            <w:r w:rsidRPr="000E3AD6">
              <w:rPr>
                <w:sz w:val="20"/>
                <w:szCs w:val="20"/>
              </w:rPr>
              <w:t>eVal</w:t>
            </w:r>
          </w:p>
        </w:tc>
        <w:tc>
          <w:tcPr>
            <w:tcW w:w="3117" w:type="dxa"/>
          </w:tcPr>
          <w:p w14:paraId="5512D2F1" w14:textId="77777777" w:rsidR="00312902" w:rsidRPr="000E3AD6" w:rsidRDefault="00586B49" w:rsidP="00A35CB3">
            <w:pPr>
              <w:pStyle w:val="ListParagraph"/>
              <w:ind w:left="0"/>
              <w:jc w:val="center"/>
              <w:rPr>
                <w:sz w:val="20"/>
                <w:szCs w:val="20"/>
              </w:rPr>
            </w:pPr>
            <w:r w:rsidRPr="000E3AD6">
              <w:rPr>
                <w:sz w:val="20"/>
                <w:szCs w:val="20"/>
              </w:rPr>
              <w:t>$18.53 (0.4% upside)</w:t>
            </w:r>
          </w:p>
        </w:tc>
        <w:tc>
          <w:tcPr>
            <w:tcW w:w="3117" w:type="dxa"/>
          </w:tcPr>
          <w:p w14:paraId="4E335180" w14:textId="77777777" w:rsidR="00312902" w:rsidRPr="000E3AD6" w:rsidRDefault="00312902" w:rsidP="00A35CB3">
            <w:pPr>
              <w:pStyle w:val="ListParagraph"/>
              <w:ind w:left="0"/>
              <w:jc w:val="center"/>
              <w:rPr>
                <w:sz w:val="20"/>
                <w:szCs w:val="20"/>
              </w:rPr>
            </w:pPr>
            <w:r w:rsidRPr="000E3AD6">
              <w:rPr>
                <w:sz w:val="20"/>
                <w:szCs w:val="20"/>
              </w:rPr>
              <w:t>EPS &amp; sales growth match</w:t>
            </w:r>
          </w:p>
        </w:tc>
      </w:tr>
      <w:tr w:rsidR="00312902" w14:paraId="0AB1FF57" w14:textId="77777777" w:rsidTr="00A35CB3">
        <w:tc>
          <w:tcPr>
            <w:tcW w:w="3116" w:type="dxa"/>
          </w:tcPr>
          <w:p w14:paraId="6E18A6E1" w14:textId="77777777" w:rsidR="00312902" w:rsidRPr="000E3AD6" w:rsidRDefault="00312902" w:rsidP="00A35CB3">
            <w:pPr>
              <w:pStyle w:val="ListParagraph"/>
              <w:ind w:left="0"/>
              <w:jc w:val="center"/>
              <w:rPr>
                <w:sz w:val="20"/>
                <w:szCs w:val="20"/>
              </w:rPr>
            </w:pPr>
            <w:r w:rsidRPr="000E3AD6">
              <w:rPr>
                <w:sz w:val="20"/>
                <w:szCs w:val="20"/>
              </w:rPr>
              <w:t>FactSet DCF</w:t>
            </w:r>
          </w:p>
        </w:tc>
        <w:tc>
          <w:tcPr>
            <w:tcW w:w="3117" w:type="dxa"/>
          </w:tcPr>
          <w:p w14:paraId="42C6FE26" w14:textId="77777777" w:rsidR="00312902" w:rsidRPr="000E3AD6" w:rsidRDefault="00586B49" w:rsidP="00A35CB3">
            <w:pPr>
              <w:pStyle w:val="ListParagraph"/>
              <w:ind w:left="0"/>
              <w:jc w:val="center"/>
              <w:rPr>
                <w:sz w:val="20"/>
                <w:szCs w:val="20"/>
              </w:rPr>
            </w:pPr>
            <w:r w:rsidRPr="000E3AD6">
              <w:rPr>
                <w:sz w:val="20"/>
                <w:szCs w:val="20"/>
              </w:rPr>
              <w:t>NA</w:t>
            </w:r>
          </w:p>
        </w:tc>
        <w:tc>
          <w:tcPr>
            <w:tcW w:w="3117" w:type="dxa"/>
          </w:tcPr>
          <w:p w14:paraId="6710CDBF" w14:textId="77777777" w:rsidR="00312902" w:rsidRPr="000E3AD6" w:rsidRDefault="00312902" w:rsidP="00A35CB3">
            <w:pPr>
              <w:pStyle w:val="ListParagraph"/>
              <w:ind w:left="0"/>
              <w:jc w:val="center"/>
              <w:rPr>
                <w:sz w:val="20"/>
                <w:szCs w:val="20"/>
              </w:rPr>
            </w:pPr>
            <w:r w:rsidRPr="000E3AD6">
              <w:rPr>
                <w:sz w:val="20"/>
                <w:szCs w:val="20"/>
              </w:rPr>
              <w:t>Sales growth match &amp; WACC</w:t>
            </w:r>
          </w:p>
        </w:tc>
      </w:tr>
      <w:tr w:rsidR="00312902" w14:paraId="50439F9F" w14:textId="77777777" w:rsidTr="00A35CB3">
        <w:tc>
          <w:tcPr>
            <w:tcW w:w="3116" w:type="dxa"/>
          </w:tcPr>
          <w:p w14:paraId="699D761C" w14:textId="77777777" w:rsidR="00312902" w:rsidRPr="000E3AD6" w:rsidRDefault="00312902" w:rsidP="00A35CB3">
            <w:pPr>
              <w:pStyle w:val="ListParagraph"/>
              <w:ind w:left="0"/>
              <w:jc w:val="center"/>
              <w:rPr>
                <w:sz w:val="20"/>
                <w:szCs w:val="20"/>
              </w:rPr>
            </w:pPr>
            <w:r w:rsidRPr="000E3AD6">
              <w:rPr>
                <w:sz w:val="20"/>
                <w:szCs w:val="20"/>
              </w:rPr>
              <w:t>Bloomberg DCF (PG)</w:t>
            </w:r>
          </w:p>
        </w:tc>
        <w:tc>
          <w:tcPr>
            <w:tcW w:w="3117" w:type="dxa"/>
          </w:tcPr>
          <w:p w14:paraId="58C8F147" w14:textId="77777777" w:rsidR="00312902" w:rsidRPr="000E3AD6" w:rsidRDefault="005D2525" w:rsidP="005D2525">
            <w:pPr>
              <w:pStyle w:val="ListParagraph"/>
              <w:ind w:left="0"/>
              <w:jc w:val="center"/>
              <w:rPr>
                <w:sz w:val="20"/>
                <w:szCs w:val="20"/>
              </w:rPr>
            </w:pPr>
            <w:r w:rsidRPr="000E3AD6">
              <w:rPr>
                <w:sz w:val="20"/>
                <w:szCs w:val="20"/>
              </w:rPr>
              <w:t>$25.84-$59.69</w:t>
            </w:r>
          </w:p>
        </w:tc>
        <w:tc>
          <w:tcPr>
            <w:tcW w:w="3117" w:type="dxa"/>
          </w:tcPr>
          <w:p w14:paraId="2FDD1A38" w14:textId="77777777" w:rsidR="00312902" w:rsidRPr="000E3AD6" w:rsidRDefault="00312902" w:rsidP="00A35CB3">
            <w:pPr>
              <w:pStyle w:val="ListParagraph"/>
              <w:ind w:left="0"/>
              <w:jc w:val="center"/>
              <w:rPr>
                <w:sz w:val="20"/>
                <w:szCs w:val="20"/>
              </w:rPr>
            </w:pPr>
            <w:r w:rsidRPr="000E3AD6">
              <w:rPr>
                <w:sz w:val="20"/>
                <w:szCs w:val="20"/>
              </w:rPr>
              <w:t>Set WACC to 8%</w:t>
            </w:r>
          </w:p>
        </w:tc>
      </w:tr>
      <w:tr w:rsidR="00312902" w14:paraId="30002199" w14:textId="77777777" w:rsidTr="00A35CB3">
        <w:tc>
          <w:tcPr>
            <w:tcW w:w="3116" w:type="dxa"/>
          </w:tcPr>
          <w:p w14:paraId="4D4F8954" w14:textId="77777777" w:rsidR="00312902" w:rsidRPr="000E3AD6" w:rsidRDefault="00312902" w:rsidP="00A35CB3">
            <w:pPr>
              <w:pStyle w:val="ListParagraph"/>
              <w:ind w:left="0"/>
              <w:jc w:val="center"/>
              <w:rPr>
                <w:sz w:val="20"/>
                <w:szCs w:val="20"/>
              </w:rPr>
            </w:pPr>
            <w:r w:rsidRPr="000E3AD6">
              <w:rPr>
                <w:sz w:val="20"/>
                <w:szCs w:val="20"/>
              </w:rPr>
              <w:t>Bloomberg DCF (EBITDA M)</w:t>
            </w:r>
          </w:p>
        </w:tc>
        <w:tc>
          <w:tcPr>
            <w:tcW w:w="3117" w:type="dxa"/>
          </w:tcPr>
          <w:p w14:paraId="7F542AF0" w14:textId="77777777" w:rsidR="00312902" w:rsidRPr="000E3AD6" w:rsidRDefault="005D2525" w:rsidP="00A35CB3">
            <w:pPr>
              <w:pStyle w:val="ListParagraph"/>
              <w:ind w:left="0"/>
              <w:jc w:val="center"/>
              <w:rPr>
                <w:sz w:val="20"/>
                <w:szCs w:val="20"/>
              </w:rPr>
            </w:pPr>
            <w:r w:rsidRPr="000E3AD6">
              <w:rPr>
                <w:sz w:val="20"/>
                <w:szCs w:val="20"/>
              </w:rPr>
              <w:t>$11.33-$26.12</w:t>
            </w:r>
          </w:p>
        </w:tc>
        <w:tc>
          <w:tcPr>
            <w:tcW w:w="3117" w:type="dxa"/>
          </w:tcPr>
          <w:p w14:paraId="5B0027B5" w14:textId="77777777" w:rsidR="00312902" w:rsidRPr="000E3AD6" w:rsidRDefault="00D51AEB" w:rsidP="00A35CB3">
            <w:pPr>
              <w:pStyle w:val="ListParagraph"/>
              <w:ind w:left="0"/>
              <w:jc w:val="center"/>
              <w:rPr>
                <w:sz w:val="20"/>
                <w:szCs w:val="20"/>
              </w:rPr>
            </w:pPr>
            <w:r w:rsidRPr="000E3AD6">
              <w:rPr>
                <w:sz w:val="20"/>
                <w:szCs w:val="20"/>
              </w:rPr>
              <w:t>Set exit EBITDA to 5.8</w:t>
            </w:r>
            <w:r w:rsidR="00312902" w:rsidRPr="000E3AD6">
              <w:rPr>
                <w:sz w:val="20"/>
                <w:szCs w:val="20"/>
              </w:rPr>
              <w:t>x</w:t>
            </w:r>
          </w:p>
        </w:tc>
      </w:tr>
    </w:tbl>
    <w:p w14:paraId="7CB32048" w14:textId="77777777" w:rsidR="00D620D6" w:rsidRDefault="00D620D6" w:rsidP="008139CB">
      <w:pPr>
        <w:jc w:val="both"/>
      </w:pPr>
    </w:p>
    <w:p w14:paraId="0478C1E0" w14:textId="516A79E9" w:rsidR="008139CB" w:rsidRDefault="008139CB" w:rsidP="008139CB">
      <w:pPr>
        <w:pStyle w:val="ListParagraph"/>
        <w:numPr>
          <w:ilvl w:val="0"/>
          <w:numId w:val="11"/>
        </w:numPr>
        <w:jc w:val="both"/>
      </w:pPr>
      <w:r>
        <w:t>Positive earnings surprise of 28.625% on average over the last 4 quarters</w:t>
      </w:r>
    </w:p>
    <w:p w14:paraId="7EEA5BAB" w14:textId="77777777" w:rsidR="00312902" w:rsidRDefault="00312902" w:rsidP="00312902">
      <w:pPr>
        <w:pStyle w:val="ListParagraph"/>
        <w:numPr>
          <w:ilvl w:val="0"/>
          <w:numId w:val="11"/>
        </w:numPr>
        <w:jc w:val="both"/>
      </w:pPr>
      <w:r>
        <w:rPr>
          <w:noProof/>
        </w:rPr>
        <w:drawing>
          <wp:anchor distT="0" distB="0" distL="114300" distR="114300" simplePos="0" relativeHeight="251667456" behindDoc="0" locked="0" layoutInCell="1" allowOverlap="1" wp14:anchorId="72577FC0" wp14:editId="21CCCBBC">
            <wp:simplePos x="0" y="0"/>
            <wp:positionH relativeFrom="margin">
              <wp:posOffset>469128</wp:posOffset>
            </wp:positionH>
            <wp:positionV relativeFrom="paragraph">
              <wp:posOffset>206347</wp:posOffset>
            </wp:positionV>
            <wp:extent cx="2329732" cy="2111609"/>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141" cy="2114699"/>
                    </a:xfrm>
                    <a:prstGeom prst="rect">
                      <a:avLst/>
                    </a:prstGeom>
                  </pic:spPr>
                </pic:pic>
              </a:graphicData>
            </a:graphic>
            <wp14:sizeRelH relativeFrom="margin">
              <wp14:pctWidth>0</wp14:pctWidth>
            </wp14:sizeRelH>
            <wp14:sizeRelV relativeFrom="margin">
              <wp14:pctHeight>0</wp14:pctHeight>
            </wp14:sizeRelV>
          </wp:anchor>
        </w:drawing>
      </w:r>
      <w:r>
        <w:t>But, value funds have been selling the stock</w:t>
      </w:r>
    </w:p>
    <w:p w14:paraId="7FCBB683" w14:textId="77777777" w:rsidR="00312902" w:rsidRDefault="00312902" w:rsidP="00312902">
      <w:pPr>
        <w:jc w:val="both"/>
      </w:pPr>
    </w:p>
    <w:p w14:paraId="4525C87C" w14:textId="77777777" w:rsidR="00312902" w:rsidRDefault="00312902" w:rsidP="00312902">
      <w:pPr>
        <w:jc w:val="both"/>
      </w:pPr>
    </w:p>
    <w:p w14:paraId="5589117D" w14:textId="77777777" w:rsidR="00312902" w:rsidRDefault="00312902" w:rsidP="00312902">
      <w:pPr>
        <w:jc w:val="both"/>
      </w:pPr>
    </w:p>
    <w:p w14:paraId="0670DD74" w14:textId="77777777" w:rsidR="00312902" w:rsidRDefault="00312902" w:rsidP="00312902">
      <w:pPr>
        <w:jc w:val="both"/>
      </w:pPr>
    </w:p>
    <w:p w14:paraId="32EC53FA" w14:textId="77777777" w:rsidR="00D620D6" w:rsidRDefault="00D620D6" w:rsidP="00312902">
      <w:pPr>
        <w:jc w:val="both"/>
      </w:pPr>
    </w:p>
    <w:p w14:paraId="2F5E7770" w14:textId="77777777" w:rsidR="00D620D6" w:rsidRDefault="00D620D6" w:rsidP="00312902">
      <w:pPr>
        <w:jc w:val="both"/>
      </w:pPr>
    </w:p>
    <w:p w14:paraId="5618C074" w14:textId="77777777" w:rsidR="00D620D6" w:rsidRDefault="00D620D6" w:rsidP="00312902">
      <w:pPr>
        <w:jc w:val="both"/>
      </w:pPr>
    </w:p>
    <w:p w14:paraId="0E9C07E6" w14:textId="77777777" w:rsidR="00D620D6" w:rsidRPr="004772E1" w:rsidRDefault="00D620D6" w:rsidP="00312902">
      <w:pPr>
        <w:jc w:val="both"/>
      </w:pPr>
    </w:p>
    <w:p w14:paraId="12E7A94C" w14:textId="77777777" w:rsidR="00312902" w:rsidRDefault="0004243C" w:rsidP="00185401">
      <w:pPr>
        <w:jc w:val="both"/>
        <w:rPr>
          <w:b/>
        </w:rPr>
      </w:pPr>
      <w:r>
        <w:rPr>
          <w:b/>
        </w:rPr>
        <w:t>Question 18</w:t>
      </w:r>
    </w:p>
    <w:p w14:paraId="5C567890" w14:textId="734246F6" w:rsidR="00D620D6" w:rsidRPr="007C18B3" w:rsidRDefault="007C18B3" w:rsidP="00185401">
      <w:pPr>
        <w:jc w:val="both"/>
      </w:pPr>
      <w:r>
        <w:rPr>
          <w:b/>
        </w:rPr>
        <w:t xml:space="preserve">Sell: SQBG </w:t>
      </w:r>
      <w:r>
        <w:t>(Sequential Brnds</w:t>
      </w:r>
      <w:r w:rsidR="004E5375">
        <w:t>.</w:t>
      </w:r>
      <w:r>
        <w:t xml:space="preserve"> Group)</w:t>
      </w:r>
    </w:p>
    <w:p w14:paraId="7C5C0FBD" w14:textId="77777777" w:rsidR="0004243C" w:rsidRDefault="007C18B3" w:rsidP="00185401">
      <w:pPr>
        <w:jc w:val="both"/>
      </w:pPr>
      <w:r>
        <w:t>The rationale behind our sell recommendation on SQBG is the following:</w:t>
      </w:r>
    </w:p>
    <w:p w14:paraId="72D4C749" w14:textId="77777777" w:rsidR="007C18B3" w:rsidRDefault="00CC16D0" w:rsidP="007C18B3">
      <w:pPr>
        <w:pStyle w:val="ListParagraph"/>
        <w:numPr>
          <w:ilvl w:val="0"/>
          <w:numId w:val="13"/>
        </w:numPr>
        <w:jc w:val="both"/>
      </w:pPr>
      <w:r>
        <w:t>It adds the 6</w:t>
      </w:r>
      <w:r w:rsidRPr="00CC16D0">
        <w:rPr>
          <w:vertAlign w:val="superscript"/>
        </w:rPr>
        <w:t>th</w:t>
      </w:r>
      <w:r>
        <w:t xml:space="preserve"> most style risk to the fund</w:t>
      </w:r>
    </w:p>
    <w:p w14:paraId="67EE1EA6" w14:textId="77777777" w:rsidR="00CC16D0" w:rsidRDefault="00CC16D0" w:rsidP="007C18B3">
      <w:pPr>
        <w:pStyle w:val="ListParagraph"/>
        <w:numPr>
          <w:ilvl w:val="0"/>
          <w:numId w:val="13"/>
        </w:numPr>
        <w:jc w:val="both"/>
      </w:pPr>
      <w:r>
        <w:t>Out of the 10 stocks that contributed most style risk, it scored the worst (by far) on the Kai Lucky 11 Quant Screen, with a score of 8.1</w:t>
      </w:r>
    </w:p>
    <w:p w14:paraId="351AAC22" w14:textId="77777777" w:rsidR="00CC16D0" w:rsidRDefault="00A95D38" w:rsidP="007C18B3">
      <w:pPr>
        <w:pStyle w:val="ListParagraph"/>
        <w:numPr>
          <w:ilvl w:val="0"/>
          <w:numId w:val="13"/>
        </w:numPr>
        <w:jc w:val="both"/>
      </w:pPr>
      <w:r>
        <w:lastRenderedPageBreak/>
        <w:t>Multiple valuations indicate a potential price drop (current price: $6.65)</w:t>
      </w:r>
    </w:p>
    <w:tbl>
      <w:tblPr>
        <w:tblStyle w:val="TableGrid"/>
        <w:tblW w:w="0" w:type="auto"/>
        <w:tblInd w:w="720" w:type="dxa"/>
        <w:tblLook w:val="04A0" w:firstRow="1" w:lastRow="0" w:firstColumn="1" w:lastColumn="0" w:noHBand="0" w:noVBand="1"/>
      </w:tblPr>
      <w:tblGrid>
        <w:gridCol w:w="2892"/>
        <w:gridCol w:w="2867"/>
        <w:gridCol w:w="2871"/>
      </w:tblGrid>
      <w:tr w:rsidR="00A95D38" w:rsidRPr="00E83154" w14:paraId="65268AF1" w14:textId="77777777" w:rsidTr="00205922">
        <w:tc>
          <w:tcPr>
            <w:tcW w:w="3116" w:type="dxa"/>
          </w:tcPr>
          <w:p w14:paraId="5B4A686B" w14:textId="77777777" w:rsidR="00A95D38" w:rsidRPr="000E3AD6" w:rsidRDefault="00A95D38" w:rsidP="00205922">
            <w:pPr>
              <w:pStyle w:val="ListParagraph"/>
              <w:ind w:left="0"/>
              <w:jc w:val="center"/>
              <w:rPr>
                <w:b/>
                <w:sz w:val="20"/>
                <w:szCs w:val="20"/>
              </w:rPr>
            </w:pPr>
            <w:r w:rsidRPr="000E3AD6">
              <w:rPr>
                <w:b/>
                <w:sz w:val="20"/>
                <w:szCs w:val="20"/>
              </w:rPr>
              <w:t>Valuation</w:t>
            </w:r>
          </w:p>
        </w:tc>
        <w:tc>
          <w:tcPr>
            <w:tcW w:w="3117" w:type="dxa"/>
          </w:tcPr>
          <w:p w14:paraId="5094C96E" w14:textId="77777777" w:rsidR="00A95D38" w:rsidRPr="000E3AD6" w:rsidRDefault="00A95D38" w:rsidP="00205922">
            <w:pPr>
              <w:pStyle w:val="ListParagraph"/>
              <w:ind w:left="0"/>
              <w:jc w:val="center"/>
              <w:rPr>
                <w:b/>
                <w:sz w:val="20"/>
                <w:szCs w:val="20"/>
              </w:rPr>
            </w:pPr>
            <w:r w:rsidRPr="000E3AD6">
              <w:rPr>
                <w:b/>
                <w:sz w:val="20"/>
                <w:szCs w:val="20"/>
              </w:rPr>
              <w:t>Target Price</w:t>
            </w:r>
          </w:p>
        </w:tc>
        <w:tc>
          <w:tcPr>
            <w:tcW w:w="3117" w:type="dxa"/>
          </w:tcPr>
          <w:p w14:paraId="770064C3" w14:textId="77777777" w:rsidR="00A95D38" w:rsidRPr="000E3AD6" w:rsidRDefault="00A95D38" w:rsidP="00205922">
            <w:pPr>
              <w:pStyle w:val="ListParagraph"/>
              <w:ind w:left="0"/>
              <w:jc w:val="center"/>
              <w:rPr>
                <w:b/>
                <w:sz w:val="20"/>
                <w:szCs w:val="20"/>
              </w:rPr>
            </w:pPr>
            <w:r w:rsidRPr="000E3AD6">
              <w:rPr>
                <w:b/>
                <w:sz w:val="20"/>
                <w:szCs w:val="20"/>
              </w:rPr>
              <w:t>Changes made</w:t>
            </w:r>
          </w:p>
        </w:tc>
      </w:tr>
      <w:tr w:rsidR="00A95D38" w14:paraId="3021A38D" w14:textId="77777777" w:rsidTr="00205922">
        <w:tc>
          <w:tcPr>
            <w:tcW w:w="3116" w:type="dxa"/>
          </w:tcPr>
          <w:p w14:paraId="12AD345E" w14:textId="77777777" w:rsidR="00A95D38" w:rsidRPr="000E3AD6" w:rsidRDefault="00A95D38" w:rsidP="00205922">
            <w:pPr>
              <w:pStyle w:val="ListParagraph"/>
              <w:ind w:left="0"/>
              <w:jc w:val="center"/>
              <w:rPr>
                <w:sz w:val="20"/>
                <w:szCs w:val="20"/>
              </w:rPr>
            </w:pPr>
            <w:r w:rsidRPr="000E3AD6">
              <w:rPr>
                <w:sz w:val="20"/>
                <w:szCs w:val="20"/>
              </w:rPr>
              <w:t>Quant</w:t>
            </w:r>
          </w:p>
        </w:tc>
        <w:tc>
          <w:tcPr>
            <w:tcW w:w="3117" w:type="dxa"/>
          </w:tcPr>
          <w:p w14:paraId="19BEB472" w14:textId="77777777" w:rsidR="00A95D38" w:rsidRPr="000E3AD6" w:rsidRDefault="00A95D38" w:rsidP="00205922">
            <w:pPr>
              <w:pStyle w:val="ListParagraph"/>
              <w:ind w:left="0"/>
              <w:jc w:val="center"/>
              <w:rPr>
                <w:sz w:val="20"/>
                <w:szCs w:val="20"/>
              </w:rPr>
            </w:pPr>
            <w:r w:rsidRPr="000E3AD6">
              <w:rPr>
                <w:sz w:val="20"/>
                <w:szCs w:val="20"/>
              </w:rPr>
              <w:t>$5.79 (13% over-valued)</w:t>
            </w:r>
          </w:p>
        </w:tc>
        <w:tc>
          <w:tcPr>
            <w:tcW w:w="3117" w:type="dxa"/>
          </w:tcPr>
          <w:p w14:paraId="441D3907" w14:textId="77777777" w:rsidR="00A95D38" w:rsidRPr="000E3AD6" w:rsidRDefault="00A95D38" w:rsidP="00205922">
            <w:pPr>
              <w:pStyle w:val="ListParagraph"/>
              <w:ind w:left="0"/>
              <w:jc w:val="center"/>
              <w:rPr>
                <w:sz w:val="20"/>
                <w:szCs w:val="20"/>
              </w:rPr>
            </w:pPr>
          </w:p>
        </w:tc>
      </w:tr>
      <w:tr w:rsidR="00A95D38" w14:paraId="11044AEE" w14:textId="77777777" w:rsidTr="00205922">
        <w:tc>
          <w:tcPr>
            <w:tcW w:w="3116" w:type="dxa"/>
          </w:tcPr>
          <w:p w14:paraId="158C222E" w14:textId="77777777" w:rsidR="00A95D38" w:rsidRPr="000E3AD6" w:rsidRDefault="00A95D38" w:rsidP="00205922">
            <w:pPr>
              <w:pStyle w:val="ListParagraph"/>
              <w:ind w:left="0"/>
              <w:jc w:val="center"/>
              <w:rPr>
                <w:sz w:val="20"/>
                <w:szCs w:val="20"/>
              </w:rPr>
            </w:pPr>
            <w:r w:rsidRPr="000E3AD6">
              <w:rPr>
                <w:sz w:val="20"/>
                <w:szCs w:val="20"/>
              </w:rPr>
              <w:t>Bloomberg DDM</w:t>
            </w:r>
          </w:p>
        </w:tc>
        <w:tc>
          <w:tcPr>
            <w:tcW w:w="3117" w:type="dxa"/>
          </w:tcPr>
          <w:p w14:paraId="3C07FCE7" w14:textId="77777777" w:rsidR="00A95D38" w:rsidRPr="000E3AD6" w:rsidRDefault="0028016B" w:rsidP="00205922">
            <w:pPr>
              <w:pStyle w:val="ListParagraph"/>
              <w:ind w:left="0"/>
              <w:jc w:val="center"/>
              <w:rPr>
                <w:sz w:val="20"/>
                <w:szCs w:val="20"/>
              </w:rPr>
            </w:pPr>
            <w:r w:rsidRPr="000E3AD6">
              <w:rPr>
                <w:sz w:val="20"/>
                <w:szCs w:val="20"/>
              </w:rPr>
              <w:t>$5.695 (14.36</w:t>
            </w:r>
            <w:r w:rsidR="00A95D38" w:rsidRPr="000E3AD6">
              <w:rPr>
                <w:sz w:val="20"/>
                <w:szCs w:val="20"/>
              </w:rPr>
              <w:t>% over-valued)</w:t>
            </w:r>
          </w:p>
        </w:tc>
        <w:tc>
          <w:tcPr>
            <w:tcW w:w="3117" w:type="dxa"/>
          </w:tcPr>
          <w:p w14:paraId="197DFA9E" w14:textId="77777777" w:rsidR="00A95D38" w:rsidRPr="000E3AD6" w:rsidRDefault="0028016B" w:rsidP="00205922">
            <w:pPr>
              <w:pStyle w:val="ListParagraph"/>
              <w:ind w:left="0"/>
              <w:jc w:val="center"/>
              <w:rPr>
                <w:sz w:val="20"/>
                <w:szCs w:val="20"/>
              </w:rPr>
            </w:pPr>
            <w:r w:rsidRPr="000E3AD6">
              <w:rPr>
                <w:sz w:val="20"/>
                <w:szCs w:val="20"/>
              </w:rPr>
              <w:t>LT growth rate of 15</w:t>
            </w:r>
            <w:r w:rsidR="00A95D38" w:rsidRPr="000E3AD6">
              <w:rPr>
                <w:sz w:val="20"/>
                <w:szCs w:val="20"/>
              </w:rPr>
              <w:t>%</w:t>
            </w:r>
          </w:p>
        </w:tc>
      </w:tr>
      <w:tr w:rsidR="00A95D38" w14:paraId="50EDC4C3" w14:textId="77777777" w:rsidTr="00205922">
        <w:tc>
          <w:tcPr>
            <w:tcW w:w="3116" w:type="dxa"/>
          </w:tcPr>
          <w:p w14:paraId="6CBB4388" w14:textId="77777777" w:rsidR="00A95D38" w:rsidRPr="000E3AD6" w:rsidRDefault="00A95D38" w:rsidP="00205922">
            <w:pPr>
              <w:pStyle w:val="ListParagraph"/>
              <w:ind w:left="0"/>
              <w:jc w:val="center"/>
              <w:rPr>
                <w:sz w:val="20"/>
                <w:szCs w:val="20"/>
              </w:rPr>
            </w:pPr>
            <w:r w:rsidRPr="000E3AD6">
              <w:rPr>
                <w:sz w:val="20"/>
                <w:szCs w:val="20"/>
              </w:rPr>
              <w:t>eVal</w:t>
            </w:r>
          </w:p>
        </w:tc>
        <w:tc>
          <w:tcPr>
            <w:tcW w:w="3117" w:type="dxa"/>
          </w:tcPr>
          <w:p w14:paraId="671AA5A6" w14:textId="77777777" w:rsidR="00A95D38" w:rsidRPr="000E3AD6" w:rsidRDefault="00A95D38" w:rsidP="00205922">
            <w:pPr>
              <w:pStyle w:val="ListParagraph"/>
              <w:ind w:left="0"/>
              <w:jc w:val="center"/>
              <w:rPr>
                <w:sz w:val="20"/>
                <w:szCs w:val="20"/>
              </w:rPr>
            </w:pPr>
            <w:r w:rsidRPr="000E3AD6">
              <w:rPr>
                <w:sz w:val="20"/>
                <w:szCs w:val="20"/>
              </w:rPr>
              <w:t>$0 (100% over-valued)</w:t>
            </w:r>
          </w:p>
        </w:tc>
        <w:tc>
          <w:tcPr>
            <w:tcW w:w="3117" w:type="dxa"/>
          </w:tcPr>
          <w:p w14:paraId="0451CB38" w14:textId="77777777" w:rsidR="00A95D38" w:rsidRPr="000E3AD6" w:rsidRDefault="00A95D38" w:rsidP="00205922">
            <w:pPr>
              <w:pStyle w:val="ListParagraph"/>
              <w:ind w:left="0"/>
              <w:jc w:val="center"/>
              <w:rPr>
                <w:sz w:val="20"/>
                <w:szCs w:val="20"/>
              </w:rPr>
            </w:pPr>
            <w:r w:rsidRPr="000E3AD6">
              <w:rPr>
                <w:sz w:val="20"/>
                <w:szCs w:val="20"/>
              </w:rPr>
              <w:t>EPS &amp; sales growth match</w:t>
            </w:r>
          </w:p>
        </w:tc>
      </w:tr>
      <w:tr w:rsidR="00A95D38" w14:paraId="19C46E38" w14:textId="77777777" w:rsidTr="00205922">
        <w:tc>
          <w:tcPr>
            <w:tcW w:w="3116" w:type="dxa"/>
          </w:tcPr>
          <w:p w14:paraId="4CA24721" w14:textId="77777777" w:rsidR="00A95D38" w:rsidRPr="000E3AD6" w:rsidRDefault="00A95D38" w:rsidP="00205922">
            <w:pPr>
              <w:pStyle w:val="ListParagraph"/>
              <w:ind w:left="0"/>
              <w:jc w:val="center"/>
              <w:rPr>
                <w:sz w:val="20"/>
                <w:szCs w:val="20"/>
              </w:rPr>
            </w:pPr>
            <w:r w:rsidRPr="000E3AD6">
              <w:rPr>
                <w:sz w:val="20"/>
                <w:szCs w:val="20"/>
              </w:rPr>
              <w:t>FactSet DCF</w:t>
            </w:r>
          </w:p>
        </w:tc>
        <w:tc>
          <w:tcPr>
            <w:tcW w:w="3117" w:type="dxa"/>
          </w:tcPr>
          <w:p w14:paraId="088F921C" w14:textId="77777777" w:rsidR="00A95D38" w:rsidRPr="000E3AD6" w:rsidRDefault="00435F34" w:rsidP="00205922">
            <w:pPr>
              <w:pStyle w:val="ListParagraph"/>
              <w:ind w:left="0"/>
              <w:jc w:val="center"/>
              <w:rPr>
                <w:sz w:val="20"/>
                <w:szCs w:val="20"/>
              </w:rPr>
            </w:pPr>
            <w:r w:rsidRPr="000E3AD6">
              <w:rPr>
                <w:sz w:val="20"/>
                <w:szCs w:val="20"/>
              </w:rPr>
              <w:t>$0 (100% over-valued)</w:t>
            </w:r>
          </w:p>
        </w:tc>
        <w:tc>
          <w:tcPr>
            <w:tcW w:w="3117" w:type="dxa"/>
          </w:tcPr>
          <w:p w14:paraId="06E4FCD7" w14:textId="77777777" w:rsidR="00A95D38" w:rsidRPr="000E3AD6" w:rsidRDefault="00A95D38" w:rsidP="00205922">
            <w:pPr>
              <w:pStyle w:val="ListParagraph"/>
              <w:ind w:left="0"/>
              <w:jc w:val="center"/>
              <w:rPr>
                <w:sz w:val="20"/>
                <w:szCs w:val="20"/>
              </w:rPr>
            </w:pPr>
            <w:r w:rsidRPr="000E3AD6">
              <w:rPr>
                <w:sz w:val="20"/>
                <w:szCs w:val="20"/>
              </w:rPr>
              <w:t>Sales growth match &amp; WACC</w:t>
            </w:r>
          </w:p>
        </w:tc>
      </w:tr>
      <w:tr w:rsidR="00A95D38" w14:paraId="2E6DB938" w14:textId="77777777" w:rsidTr="00205922">
        <w:tc>
          <w:tcPr>
            <w:tcW w:w="3116" w:type="dxa"/>
          </w:tcPr>
          <w:p w14:paraId="1FC510F8" w14:textId="77777777" w:rsidR="00A95D38" w:rsidRPr="000E3AD6" w:rsidRDefault="00A95D38" w:rsidP="00205922">
            <w:pPr>
              <w:pStyle w:val="ListParagraph"/>
              <w:ind w:left="0"/>
              <w:jc w:val="center"/>
              <w:rPr>
                <w:sz w:val="20"/>
                <w:szCs w:val="20"/>
              </w:rPr>
            </w:pPr>
            <w:r w:rsidRPr="000E3AD6">
              <w:rPr>
                <w:sz w:val="20"/>
                <w:szCs w:val="20"/>
              </w:rPr>
              <w:t>Bloomberg DCF (PG)</w:t>
            </w:r>
          </w:p>
        </w:tc>
        <w:tc>
          <w:tcPr>
            <w:tcW w:w="3117" w:type="dxa"/>
          </w:tcPr>
          <w:p w14:paraId="6628BD87" w14:textId="77777777" w:rsidR="00A95D38" w:rsidRPr="000E3AD6" w:rsidRDefault="005D2525" w:rsidP="00205922">
            <w:pPr>
              <w:pStyle w:val="ListParagraph"/>
              <w:ind w:left="0"/>
              <w:jc w:val="center"/>
              <w:rPr>
                <w:sz w:val="20"/>
                <w:szCs w:val="20"/>
              </w:rPr>
            </w:pPr>
            <w:r w:rsidRPr="000E3AD6">
              <w:rPr>
                <w:sz w:val="20"/>
                <w:szCs w:val="20"/>
              </w:rPr>
              <w:t>$205 - $ 1049.36</w:t>
            </w:r>
          </w:p>
        </w:tc>
        <w:tc>
          <w:tcPr>
            <w:tcW w:w="3117" w:type="dxa"/>
          </w:tcPr>
          <w:p w14:paraId="43FBD02A" w14:textId="77777777" w:rsidR="00A95D38" w:rsidRPr="000E3AD6" w:rsidRDefault="00A95D38" w:rsidP="00205922">
            <w:pPr>
              <w:pStyle w:val="ListParagraph"/>
              <w:ind w:left="0"/>
              <w:jc w:val="center"/>
              <w:rPr>
                <w:sz w:val="20"/>
                <w:szCs w:val="20"/>
              </w:rPr>
            </w:pPr>
            <w:r w:rsidRPr="000E3AD6">
              <w:rPr>
                <w:sz w:val="20"/>
                <w:szCs w:val="20"/>
              </w:rPr>
              <w:t>Set WACC to 8%</w:t>
            </w:r>
          </w:p>
        </w:tc>
      </w:tr>
      <w:tr w:rsidR="00A95D38" w14:paraId="1FF07C68" w14:textId="77777777" w:rsidTr="00205922">
        <w:tc>
          <w:tcPr>
            <w:tcW w:w="3116" w:type="dxa"/>
          </w:tcPr>
          <w:p w14:paraId="42676AA4" w14:textId="77777777" w:rsidR="00A95D38" w:rsidRPr="000E3AD6" w:rsidRDefault="00A95D38" w:rsidP="00205922">
            <w:pPr>
              <w:pStyle w:val="ListParagraph"/>
              <w:ind w:left="0"/>
              <w:jc w:val="center"/>
              <w:rPr>
                <w:sz w:val="20"/>
                <w:szCs w:val="20"/>
              </w:rPr>
            </w:pPr>
            <w:r w:rsidRPr="000E3AD6">
              <w:rPr>
                <w:sz w:val="20"/>
                <w:szCs w:val="20"/>
              </w:rPr>
              <w:t>Bloomberg DCF (EBITDA M)</w:t>
            </w:r>
          </w:p>
        </w:tc>
        <w:tc>
          <w:tcPr>
            <w:tcW w:w="3117" w:type="dxa"/>
          </w:tcPr>
          <w:p w14:paraId="1472F27E" w14:textId="77777777" w:rsidR="00A95D38" w:rsidRPr="000E3AD6" w:rsidRDefault="005D2525" w:rsidP="00205922">
            <w:pPr>
              <w:pStyle w:val="ListParagraph"/>
              <w:ind w:left="0"/>
              <w:jc w:val="center"/>
              <w:rPr>
                <w:sz w:val="20"/>
                <w:szCs w:val="20"/>
              </w:rPr>
            </w:pPr>
            <w:r w:rsidRPr="000E3AD6">
              <w:rPr>
                <w:sz w:val="20"/>
                <w:szCs w:val="20"/>
              </w:rPr>
              <w:t>$0 - $16.47</w:t>
            </w:r>
          </w:p>
        </w:tc>
        <w:tc>
          <w:tcPr>
            <w:tcW w:w="3117" w:type="dxa"/>
          </w:tcPr>
          <w:p w14:paraId="18CD883E" w14:textId="77777777" w:rsidR="00A95D38" w:rsidRPr="000E3AD6" w:rsidRDefault="00A95D38" w:rsidP="00205922">
            <w:pPr>
              <w:pStyle w:val="ListParagraph"/>
              <w:ind w:left="0"/>
              <w:jc w:val="center"/>
              <w:rPr>
                <w:sz w:val="20"/>
                <w:szCs w:val="20"/>
              </w:rPr>
            </w:pPr>
            <w:r w:rsidRPr="000E3AD6">
              <w:rPr>
                <w:sz w:val="20"/>
                <w:szCs w:val="20"/>
              </w:rPr>
              <w:t xml:space="preserve">Set exit EBITDA to </w:t>
            </w:r>
            <w:r w:rsidR="005D2525" w:rsidRPr="000E3AD6">
              <w:rPr>
                <w:sz w:val="20"/>
                <w:szCs w:val="20"/>
              </w:rPr>
              <w:t>-5.4</w:t>
            </w:r>
            <w:r w:rsidRPr="000E3AD6">
              <w:rPr>
                <w:sz w:val="20"/>
                <w:szCs w:val="20"/>
              </w:rPr>
              <w:t>x</w:t>
            </w:r>
          </w:p>
        </w:tc>
      </w:tr>
    </w:tbl>
    <w:p w14:paraId="4966C9B4" w14:textId="77777777" w:rsidR="002953F1" w:rsidRDefault="002953F1" w:rsidP="002953F1">
      <w:pPr>
        <w:jc w:val="both"/>
      </w:pPr>
    </w:p>
    <w:p w14:paraId="4B20502F" w14:textId="77777777" w:rsidR="00CC16D0" w:rsidRDefault="00CC16D0" w:rsidP="007C18B3">
      <w:pPr>
        <w:pStyle w:val="ListParagraph"/>
        <w:numPr>
          <w:ilvl w:val="0"/>
          <w:numId w:val="13"/>
        </w:numPr>
        <w:jc w:val="both"/>
      </w:pPr>
      <w:r>
        <w:t>But, there has been significant insider and institutional buying lately</w:t>
      </w:r>
      <w:r w:rsidR="00A95D38">
        <w:t xml:space="preserve"> and the selling the stock would intensify the fund’s under-exposure in consumer discretionary </w:t>
      </w:r>
    </w:p>
    <w:p w14:paraId="31B0E63A" w14:textId="77777777" w:rsidR="00CC16D0" w:rsidRDefault="00800D49" w:rsidP="00CC16D0">
      <w:pPr>
        <w:pStyle w:val="ListParagraph"/>
        <w:jc w:val="both"/>
      </w:pPr>
      <w:r>
        <w:rPr>
          <w:noProof/>
        </w:rPr>
        <w:drawing>
          <wp:anchor distT="0" distB="0" distL="114300" distR="114300" simplePos="0" relativeHeight="251669504" behindDoc="0" locked="0" layoutInCell="1" allowOverlap="1" wp14:anchorId="48B09CD3" wp14:editId="3A7D26F7">
            <wp:simplePos x="0" y="0"/>
            <wp:positionH relativeFrom="column">
              <wp:posOffset>461175</wp:posOffset>
            </wp:positionH>
            <wp:positionV relativeFrom="paragraph">
              <wp:posOffset>126475</wp:posOffset>
            </wp:positionV>
            <wp:extent cx="2337131" cy="2140488"/>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37719" cy="2141026"/>
                    </a:xfrm>
                    <a:prstGeom prst="rect">
                      <a:avLst/>
                    </a:prstGeom>
                  </pic:spPr>
                </pic:pic>
              </a:graphicData>
            </a:graphic>
            <wp14:sizeRelH relativeFrom="page">
              <wp14:pctWidth>0</wp14:pctWidth>
            </wp14:sizeRelH>
            <wp14:sizeRelV relativeFrom="page">
              <wp14:pctHeight>0</wp14:pctHeight>
            </wp14:sizeRelV>
          </wp:anchor>
        </w:drawing>
      </w:r>
    </w:p>
    <w:p w14:paraId="6A7D2006" w14:textId="77777777" w:rsidR="00CC16D0" w:rsidRDefault="00800D49" w:rsidP="00CC16D0">
      <w:pPr>
        <w:jc w:val="both"/>
      </w:pPr>
      <w:r>
        <w:rPr>
          <w:noProof/>
        </w:rPr>
        <w:drawing>
          <wp:anchor distT="0" distB="0" distL="114300" distR="114300" simplePos="0" relativeHeight="251668480" behindDoc="0" locked="0" layoutInCell="1" allowOverlap="1" wp14:anchorId="6E4CA32D" wp14:editId="0D1CE033">
            <wp:simplePos x="0" y="0"/>
            <wp:positionH relativeFrom="column">
              <wp:posOffset>3037011</wp:posOffset>
            </wp:positionH>
            <wp:positionV relativeFrom="paragraph">
              <wp:posOffset>-247926</wp:posOffset>
            </wp:positionV>
            <wp:extent cx="2321560" cy="2223135"/>
            <wp:effectExtent l="0" t="0" r="2540" b="5715"/>
            <wp:wrapThrough wrapText="bothSides">
              <wp:wrapPolygon edited="0">
                <wp:start x="0" y="0"/>
                <wp:lineTo x="0" y="21470"/>
                <wp:lineTo x="21446" y="21470"/>
                <wp:lineTo x="214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21560" cy="2223135"/>
                    </a:xfrm>
                    <a:prstGeom prst="rect">
                      <a:avLst/>
                    </a:prstGeom>
                  </pic:spPr>
                </pic:pic>
              </a:graphicData>
            </a:graphic>
            <wp14:sizeRelH relativeFrom="page">
              <wp14:pctWidth>0</wp14:pctWidth>
            </wp14:sizeRelH>
            <wp14:sizeRelV relativeFrom="page">
              <wp14:pctHeight>0</wp14:pctHeight>
            </wp14:sizeRelV>
          </wp:anchor>
        </w:drawing>
      </w:r>
    </w:p>
    <w:p w14:paraId="5D428807" w14:textId="77777777" w:rsidR="00CC16D0" w:rsidRDefault="00CC16D0" w:rsidP="00CC16D0">
      <w:pPr>
        <w:jc w:val="both"/>
      </w:pPr>
    </w:p>
    <w:p w14:paraId="5C696C6D" w14:textId="77777777" w:rsidR="00CC16D0" w:rsidRDefault="00CC16D0" w:rsidP="00CC16D0">
      <w:pPr>
        <w:jc w:val="both"/>
      </w:pPr>
    </w:p>
    <w:p w14:paraId="5371836A" w14:textId="77777777" w:rsidR="00CC16D0" w:rsidRPr="007C18B3" w:rsidRDefault="00CC16D0" w:rsidP="00CC16D0">
      <w:pPr>
        <w:jc w:val="both"/>
      </w:pPr>
    </w:p>
    <w:p w14:paraId="44CB4FFA" w14:textId="77777777" w:rsidR="00A95D38" w:rsidRDefault="00A95D38" w:rsidP="00185401">
      <w:pPr>
        <w:jc w:val="both"/>
        <w:rPr>
          <w:b/>
        </w:rPr>
      </w:pPr>
    </w:p>
    <w:p w14:paraId="46C7F4D3" w14:textId="77777777" w:rsidR="00A95D38" w:rsidRDefault="00A95D38" w:rsidP="00185401">
      <w:pPr>
        <w:jc w:val="both"/>
        <w:rPr>
          <w:b/>
        </w:rPr>
      </w:pPr>
    </w:p>
    <w:p w14:paraId="000815AD" w14:textId="77777777" w:rsidR="00A95D38" w:rsidRDefault="00A95D38" w:rsidP="00185401">
      <w:pPr>
        <w:jc w:val="both"/>
        <w:rPr>
          <w:b/>
        </w:rPr>
      </w:pPr>
    </w:p>
    <w:p w14:paraId="51344B37" w14:textId="77777777" w:rsidR="00A95D38" w:rsidRDefault="00644659" w:rsidP="00185401">
      <w:pPr>
        <w:jc w:val="both"/>
      </w:pPr>
      <w:r>
        <w:rPr>
          <w:b/>
        </w:rPr>
        <w:t>Buy: CIM</w:t>
      </w:r>
      <w:r w:rsidR="00711B00">
        <w:rPr>
          <w:b/>
        </w:rPr>
        <w:t xml:space="preserve"> </w:t>
      </w:r>
      <w:r>
        <w:t>(Chimera Investment Corporation</w:t>
      </w:r>
      <w:r w:rsidR="00711B00">
        <w:t>)</w:t>
      </w:r>
    </w:p>
    <w:p w14:paraId="5E364DC1" w14:textId="77777777" w:rsidR="00711B00" w:rsidRDefault="00711B00" w:rsidP="00185401">
      <w:pPr>
        <w:jc w:val="both"/>
      </w:pPr>
      <w:r>
        <w:t>The reasons we recommend to buy this stock are as follows:</w:t>
      </w:r>
    </w:p>
    <w:p w14:paraId="6451C53F" w14:textId="77777777" w:rsidR="00711B00" w:rsidRDefault="00F90CE3" w:rsidP="00711B00">
      <w:pPr>
        <w:pStyle w:val="ListParagraph"/>
        <w:numPr>
          <w:ilvl w:val="0"/>
          <w:numId w:val="14"/>
        </w:numPr>
        <w:jc w:val="both"/>
      </w:pPr>
      <w:r>
        <w:t xml:space="preserve">It is a </w:t>
      </w:r>
      <w:r w:rsidR="00644659">
        <w:t>mid-cap</w:t>
      </w:r>
      <w:r>
        <w:t xml:space="preserve"> </w:t>
      </w:r>
      <w:r w:rsidR="00644659">
        <w:t>financial</w:t>
      </w:r>
      <w:r>
        <w:t xml:space="preserve"> stock, which would resolve some of the fund’s under-exposure in that sector </w:t>
      </w:r>
      <w:r w:rsidR="00644659">
        <w:t>versus the benchmark</w:t>
      </w:r>
      <w:r w:rsidR="00465160">
        <w:t>.</w:t>
      </w:r>
    </w:p>
    <w:p w14:paraId="3008DD73" w14:textId="77777777" w:rsidR="00465160" w:rsidRDefault="00465160" w:rsidP="00711B00">
      <w:pPr>
        <w:pStyle w:val="ListParagraph"/>
        <w:numPr>
          <w:ilvl w:val="0"/>
          <w:numId w:val="14"/>
        </w:numPr>
        <w:jc w:val="both"/>
      </w:pPr>
      <w:r>
        <w:t>It got the</w:t>
      </w:r>
      <w:r w:rsidR="00FA21E3">
        <w:t xml:space="preserve"> </w:t>
      </w:r>
      <w:r>
        <w:t>highest score on the Kai Lucky 11 Quant Screen</w:t>
      </w:r>
      <w:r w:rsidR="00644659">
        <w:t>, with a score of 2.2</w:t>
      </w:r>
      <w:r w:rsidR="005523BD">
        <w:t>.</w:t>
      </w:r>
    </w:p>
    <w:p w14:paraId="5F245D44" w14:textId="77777777" w:rsidR="005523BD" w:rsidRDefault="00644659" w:rsidP="00711B00">
      <w:pPr>
        <w:pStyle w:val="ListParagraph"/>
        <w:numPr>
          <w:ilvl w:val="0"/>
          <w:numId w:val="14"/>
        </w:numPr>
        <w:jc w:val="both"/>
      </w:pPr>
      <w:r>
        <w:t>Insiders have recently been buying significantly:</w:t>
      </w:r>
    </w:p>
    <w:p w14:paraId="111AE767" w14:textId="77777777" w:rsidR="005523BD" w:rsidRPr="00644659" w:rsidRDefault="00644659" w:rsidP="00644659">
      <w:pPr>
        <w:pStyle w:val="ListParagraph"/>
        <w:jc w:val="both"/>
      </w:pPr>
      <w:r>
        <w:rPr>
          <w:noProof/>
        </w:rPr>
        <w:drawing>
          <wp:inline distT="0" distB="0" distL="0" distR="0" wp14:anchorId="27D1B8E7" wp14:editId="33AF4E7C">
            <wp:extent cx="1781092" cy="16988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4956" cy="1721651"/>
                    </a:xfrm>
                    <a:prstGeom prst="rect">
                      <a:avLst/>
                    </a:prstGeom>
                  </pic:spPr>
                </pic:pic>
              </a:graphicData>
            </a:graphic>
          </wp:inline>
        </w:drawing>
      </w:r>
    </w:p>
    <w:p w14:paraId="502C0AE5" w14:textId="77777777" w:rsidR="005523BD" w:rsidRDefault="005523BD" w:rsidP="005523BD">
      <w:pPr>
        <w:pStyle w:val="ListParagraph"/>
        <w:numPr>
          <w:ilvl w:val="0"/>
          <w:numId w:val="14"/>
        </w:numPr>
      </w:pPr>
      <w:r>
        <w:t>Several valuation methods result in a large pote</w:t>
      </w:r>
      <w:r w:rsidR="00644659">
        <w:t>ntial upside (current price: $13.54</w:t>
      </w:r>
      <w:r>
        <w:t>)</w:t>
      </w:r>
    </w:p>
    <w:tbl>
      <w:tblPr>
        <w:tblStyle w:val="TableGrid"/>
        <w:tblW w:w="0" w:type="auto"/>
        <w:tblInd w:w="720" w:type="dxa"/>
        <w:tblLook w:val="04A0" w:firstRow="1" w:lastRow="0" w:firstColumn="1" w:lastColumn="0" w:noHBand="0" w:noVBand="1"/>
      </w:tblPr>
      <w:tblGrid>
        <w:gridCol w:w="2889"/>
        <w:gridCol w:w="2874"/>
        <w:gridCol w:w="2867"/>
      </w:tblGrid>
      <w:tr w:rsidR="00644659" w:rsidRPr="00E83154" w14:paraId="6BE122E5" w14:textId="77777777" w:rsidTr="00205922">
        <w:tc>
          <w:tcPr>
            <w:tcW w:w="3116" w:type="dxa"/>
          </w:tcPr>
          <w:p w14:paraId="44AAE109" w14:textId="77777777" w:rsidR="005523BD" w:rsidRPr="000E3AD6" w:rsidRDefault="005523BD" w:rsidP="00205922">
            <w:pPr>
              <w:pStyle w:val="ListParagraph"/>
              <w:ind w:left="0"/>
              <w:jc w:val="center"/>
              <w:rPr>
                <w:b/>
                <w:sz w:val="20"/>
                <w:szCs w:val="20"/>
              </w:rPr>
            </w:pPr>
            <w:r w:rsidRPr="000E3AD6">
              <w:rPr>
                <w:b/>
                <w:sz w:val="20"/>
                <w:szCs w:val="20"/>
              </w:rPr>
              <w:t>Valuation</w:t>
            </w:r>
          </w:p>
        </w:tc>
        <w:tc>
          <w:tcPr>
            <w:tcW w:w="3117" w:type="dxa"/>
          </w:tcPr>
          <w:p w14:paraId="6A87FB0C" w14:textId="77777777" w:rsidR="005523BD" w:rsidRPr="000E3AD6" w:rsidRDefault="005523BD" w:rsidP="00205922">
            <w:pPr>
              <w:pStyle w:val="ListParagraph"/>
              <w:ind w:left="0"/>
              <w:jc w:val="center"/>
              <w:rPr>
                <w:b/>
                <w:sz w:val="20"/>
                <w:szCs w:val="20"/>
              </w:rPr>
            </w:pPr>
            <w:r w:rsidRPr="000E3AD6">
              <w:rPr>
                <w:b/>
                <w:sz w:val="20"/>
                <w:szCs w:val="20"/>
              </w:rPr>
              <w:t>Target Price</w:t>
            </w:r>
          </w:p>
        </w:tc>
        <w:tc>
          <w:tcPr>
            <w:tcW w:w="3117" w:type="dxa"/>
          </w:tcPr>
          <w:p w14:paraId="7DB6E0F5" w14:textId="77777777" w:rsidR="005523BD" w:rsidRPr="000E3AD6" w:rsidRDefault="005523BD" w:rsidP="00205922">
            <w:pPr>
              <w:pStyle w:val="ListParagraph"/>
              <w:ind w:left="0"/>
              <w:jc w:val="center"/>
              <w:rPr>
                <w:b/>
                <w:sz w:val="20"/>
                <w:szCs w:val="20"/>
              </w:rPr>
            </w:pPr>
            <w:r w:rsidRPr="000E3AD6">
              <w:rPr>
                <w:b/>
                <w:sz w:val="20"/>
                <w:szCs w:val="20"/>
              </w:rPr>
              <w:t>Changes made</w:t>
            </w:r>
          </w:p>
        </w:tc>
      </w:tr>
      <w:tr w:rsidR="00644659" w14:paraId="38248BA0" w14:textId="77777777" w:rsidTr="00205922">
        <w:tc>
          <w:tcPr>
            <w:tcW w:w="3116" w:type="dxa"/>
          </w:tcPr>
          <w:p w14:paraId="370489D4" w14:textId="77777777" w:rsidR="005523BD" w:rsidRPr="000E3AD6" w:rsidRDefault="005523BD" w:rsidP="00205922">
            <w:pPr>
              <w:pStyle w:val="ListParagraph"/>
              <w:ind w:left="0"/>
              <w:jc w:val="center"/>
              <w:rPr>
                <w:sz w:val="20"/>
                <w:szCs w:val="20"/>
              </w:rPr>
            </w:pPr>
            <w:r w:rsidRPr="000E3AD6">
              <w:rPr>
                <w:sz w:val="20"/>
                <w:szCs w:val="20"/>
              </w:rPr>
              <w:t>Quant</w:t>
            </w:r>
          </w:p>
        </w:tc>
        <w:tc>
          <w:tcPr>
            <w:tcW w:w="3117" w:type="dxa"/>
          </w:tcPr>
          <w:p w14:paraId="44284D60" w14:textId="77777777" w:rsidR="005523BD" w:rsidRPr="000E3AD6" w:rsidRDefault="00644659" w:rsidP="00205922">
            <w:pPr>
              <w:pStyle w:val="ListParagraph"/>
              <w:ind w:left="0"/>
              <w:jc w:val="center"/>
              <w:rPr>
                <w:sz w:val="20"/>
                <w:szCs w:val="20"/>
              </w:rPr>
            </w:pPr>
            <w:r w:rsidRPr="000E3AD6">
              <w:rPr>
                <w:sz w:val="20"/>
                <w:szCs w:val="20"/>
              </w:rPr>
              <w:t>$15.77 (16.5% upside)</w:t>
            </w:r>
          </w:p>
        </w:tc>
        <w:tc>
          <w:tcPr>
            <w:tcW w:w="3117" w:type="dxa"/>
          </w:tcPr>
          <w:p w14:paraId="592D4107" w14:textId="77777777" w:rsidR="005523BD" w:rsidRPr="000E3AD6" w:rsidRDefault="005523BD" w:rsidP="00205922">
            <w:pPr>
              <w:pStyle w:val="ListParagraph"/>
              <w:ind w:left="0"/>
              <w:jc w:val="center"/>
              <w:rPr>
                <w:sz w:val="20"/>
                <w:szCs w:val="20"/>
              </w:rPr>
            </w:pPr>
          </w:p>
        </w:tc>
      </w:tr>
      <w:tr w:rsidR="00644659" w14:paraId="4D5F6A2A" w14:textId="77777777" w:rsidTr="00205922">
        <w:tc>
          <w:tcPr>
            <w:tcW w:w="3116" w:type="dxa"/>
          </w:tcPr>
          <w:p w14:paraId="6D0D4A0C" w14:textId="77777777" w:rsidR="005523BD" w:rsidRPr="000E3AD6" w:rsidRDefault="005523BD" w:rsidP="00205922">
            <w:pPr>
              <w:pStyle w:val="ListParagraph"/>
              <w:ind w:left="0"/>
              <w:jc w:val="center"/>
              <w:rPr>
                <w:sz w:val="20"/>
                <w:szCs w:val="20"/>
              </w:rPr>
            </w:pPr>
            <w:r w:rsidRPr="000E3AD6">
              <w:rPr>
                <w:sz w:val="20"/>
                <w:szCs w:val="20"/>
              </w:rPr>
              <w:t>Bloomberg DDM</w:t>
            </w:r>
          </w:p>
        </w:tc>
        <w:tc>
          <w:tcPr>
            <w:tcW w:w="3117" w:type="dxa"/>
          </w:tcPr>
          <w:p w14:paraId="31DE8ECB" w14:textId="77777777" w:rsidR="005523BD" w:rsidRPr="000E3AD6" w:rsidRDefault="00644659" w:rsidP="00205922">
            <w:pPr>
              <w:pStyle w:val="ListParagraph"/>
              <w:ind w:left="0"/>
              <w:jc w:val="center"/>
              <w:rPr>
                <w:sz w:val="20"/>
                <w:szCs w:val="20"/>
              </w:rPr>
            </w:pPr>
            <w:r w:rsidRPr="000E3AD6">
              <w:rPr>
                <w:sz w:val="20"/>
                <w:szCs w:val="20"/>
              </w:rPr>
              <w:t>$35.42 (161.59% upside)</w:t>
            </w:r>
          </w:p>
        </w:tc>
        <w:tc>
          <w:tcPr>
            <w:tcW w:w="3117" w:type="dxa"/>
          </w:tcPr>
          <w:p w14:paraId="4218D2E5" w14:textId="77777777" w:rsidR="005523BD" w:rsidRPr="000E3AD6" w:rsidRDefault="005523BD" w:rsidP="00205922">
            <w:pPr>
              <w:pStyle w:val="ListParagraph"/>
              <w:ind w:left="0"/>
              <w:jc w:val="center"/>
              <w:rPr>
                <w:sz w:val="20"/>
                <w:szCs w:val="20"/>
              </w:rPr>
            </w:pPr>
            <w:r w:rsidRPr="000E3AD6">
              <w:rPr>
                <w:sz w:val="20"/>
                <w:szCs w:val="20"/>
              </w:rPr>
              <w:t>LT growth rate of 5%</w:t>
            </w:r>
          </w:p>
        </w:tc>
      </w:tr>
      <w:tr w:rsidR="00644659" w14:paraId="573F15B9" w14:textId="77777777" w:rsidTr="00205922">
        <w:tc>
          <w:tcPr>
            <w:tcW w:w="3116" w:type="dxa"/>
          </w:tcPr>
          <w:p w14:paraId="6078B854" w14:textId="77777777" w:rsidR="005523BD" w:rsidRPr="000E3AD6" w:rsidRDefault="005523BD" w:rsidP="00205922">
            <w:pPr>
              <w:pStyle w:val="ListParagraph"/>
              <w:ind w:left="0"/>
              <w:jc w:val="center"/>
              <w:rPr>
                <w:sz w:val="20"/>
                <w:szCs w:val="20"/>
              </w:rPr>
            </w:pPr>
            <w:r w:rsidRPr="000E3AD6">
              <w:rPr>
                <w:sz w:val="20"/>
                <w:szCs w:val="20"/>
              </w:rPr>
              <w:t>eVal</w:t>
            </w:r>
          </w:p>
        </w:tc>
        <w:tc>
          <w:tcPr>
            <w:tcW w:w="3117" w:type="dxa"/>
          </w:tcPr>
          <w:p w14:paraId="12445E03" w14:textId="77777777" w:rsidR="005523BD" w:rsidRPr="000E3AD6" w:rsidRDefault="00B04908" w:rsidP="00B04908">
            <w:pPr>
              <w:pStyle w:val="ListParagraph"/>
              <w:tabs>
                <w:tab w:val="center" w:pos="1322"/>
                <w:tab w:val="right" w:pos="2645"/>
              </w:tabs>
              <w:ind w:left="0"/>
              <w:jc w:val="center"/>
              <w:rPr>
                <w:sz w:val="20"/>
                <w:szCs w:val="20"/>
              </w:rPr>
            </w:pPr>
            <w:r w:rsidRPr="000E3AD6">
              <w:rPr>
                <w:sz w:val="20"/>
                <w:szCs w:val="20"/>
              </w:rPr>
              <w:t>$25.10 (85.37% upside)</w:t>
            </w:r>
          </w:p>
        </w:tc>
        <w:tc>
          <w:tcPr>
            <w:tcW w:w="3117" w:type="dxa"/>
          </w:tcPr>
          <w:p w14:paraId="63D7575A" w14:textId="77777777" w:rsidR="005523BD" w:rsidRPr="000E3AD6" w:rsidRDefault="005523BD" w:rsidP="00205922">
            <w:pPr>
              <w:pStyle w:val="ListParagraph"/>
              <w:ind w:left="0"/>
              <w:jc w:val="center"/>
              <w:rPr>
                <w:sz w:val="20"/>
                <w:szCs w:val="20"/>
              </w:rPr>
            </w:pPr>
            <w:r w:rsidRPr="000E3AD6">
              <w:rPr>
                <w:sz w:val="20"/>
                <w:szCs w:val="20"/>
              </w:rPr>
              <w:t>EPS &amp; sales growth match</w:t>
            </w:r>
          </w:p>
        </w:tc>
      </w:tr>
      <w:tr w:rsidR="00644659" w14:paraId="7CFBF5C4" w14:textId="77777777" w:rsidTr="00205922">
        <w:tc>
          <w:tcPr>
            <w:tcW w:w="3116" w:type="dxa"/>
          </w:tcPr>
          <w:p w14:paraId="2A3147FB" w14:textId="77777777" w:rsidR="005523BD" w:rsidRPr="000E3AD6" w:rsidRDefault="005523BD" w:rsidP="00205922">
            <w:pPr>
              <w:pStyle w:val="ListParagraph"/>
              <w:ind w:left="0"/>
              <w:jc w:val="center"/>
              <w:rPr>
                <w:sz w:val="20"/>
                <w:szCs w:val="20"/>
              </w:rPr>
            </w:pPr>
            <w:r w:rsidRPr="000E3AD6">
              <w:rPr>
                <w:sz w:val="20"/>
                <w:szCs w:val="20"/>
              </w:rPr>
              <w:lastRenderedPageBreak/>
              <w:t>FactSet DCF</w:t>
            </w:r>
          </w:p>
        </w:tc>
        <w:tc>
          <w:tcPr>
            <w:tcW w:w="3117" w:type="dxa"/>
          </w:tcPr>
          <w:p w14:paraId="3FA31FA2" w14:textId="77777777" w:rsidR="005523BD" w:rsidRPr="000E3AD6" w:rsidRDefault="00B04908" w:rsidP="00205922">
            <w:pPr>
              <w:pStyle w:val="ListParagraph"/>
              <w:ind w:left="0"/>
              <w:jc w:val="center"/>
              <w:rPr>
                <w:sz w:val="20"/>
                <w:szCs w:val="20"/>
              </w:rPr>
            </w:pPr>
            <w:r w:rsidRPr="000E3AD6">
              <w:rPr>
                <w:sz w:val="20"/>
                <w:szCs w:val="20"/>
              </w:rPr>
              <w:t>$0 (100% over-valued)</w:t>
            </w:r>
          </w:p>
        </w:tc>
        <w:tc>
          <w:tcPr>
            <w:tcW w:w="3117" w:type="dxa"/>
          </w:tcPr>
          <w:p w14:paraId="70014D36" w14:textId="77777777" w:rsidR="005523BD" w:rsidRPr="000E3AD6" w:rsidRDefault="005523BD" w:rsidP="00205922">
            <w:pPr>
              <w:pStyle w:val="ListParagraph"/>
              <w:ind w:left="0"/>
              <w:jc w:val="center"/>
              <w:rPr>
                <w:sz w:val="20"/>
                <w:szCs w:val="20"/>
              </w:rPr>
            </w:pPr>
            <w:r w:rsidRPr="000E3AD6">
              <w:rPr>
                <w:sz w:val="20"/>
                <w:szCs w:val="20"/>
              </w:rPr>
              <w:t>Sales growth match &amp; WACC</w:t>
            </w:r>
          </w:p>
        </w:tc>
      </w:tr>
      <w:tr w:rsidR="00644659" w14:paraId="6431DE3B" w14:textId="77777777" w:rsidTr="00205922">
        <w:tc>
          <w:tcPr>
            <w:tcW w:w="3116" w:type="dxa"/>
          </w:tcPr>
          <w:p w14:paraId="691068CC" w14:textId="77777777" w:rsidR="005523BD" w:rsidRPr="000E3AD6" w:rsidRDefault="005523BD" w:rsidP="00205922">
            <w:pPr>
              <w:pStyle w:val="ListParagraph"/>
              <w:ind w:left="0"/>
              <w:jc w:val="center"/>
              <w:rPr>
                <w:sz w:val="20"/>
                <w:szCs w:val="20"/>
              </w:rPr>
            </w:pPr>
            <w:r w:rsidRPr="000E3AD6">
              <w:rPr>
                <w:sz w:val="20"/>
                <w:szCs w:val="20"/>
              </w:rPr>
              <w:t>Bloomberg DCF (PG)</w:t>
            </w:r>
          </w:p>
        </w:tc>
        <w:tc>
          <w:tcPr>
            <w:tcW w:w="3117" w:type="dxa"/>
          </w:tcPr>
          <w:p w14:paraId="3591390B" w14:textId="77777777" w:rsidR="005523BD" w:rsidRPr="000E3AD6" w:rsidRDefault="00B04908" w:rsidP="00205922">
            <w:pPr>
              <w:pStyle w:val="ListParagraph"/>
              <w:ind w:left="0"/>
              <w:jc w:val="center"/>
              <w:rPr>
                <w:sz w:val="20"/>
                <w:szCs w:val="20"/>
              </w:rPr>
            </w:pPr>
            <w:r w:rsidRPr="000E3AD6">
              <w:rPr>
                <w:sz w:val="20"/>
                <w:szCs w:val="20"/>
              </w:rPr>
              <w:t>$0 (100% over-valued)</w:t>
            </w:r>
          </w:p>
        </w:tc>
        <w:tc>
          <w:tcPr>
            <w:tcW w:w="3117" w:type="dxa"/>
          </w:tcPr>
          <w:p w14:paraId="1F463A28" w14:textId="77777777" w:rsidR="005523BD" w:rsidRPr="000E3AD6" w:rsidRDefault="005523BD" w:rsidP="00205922">
            <w:pPr>
              <w:pStyle w:val="ListParagraph"/>
              <w:ind w:left="0"/>
              <w:jc w:val="center"/>
              <w:rPr>
                <w:sz w:val="20"/>
                <w:szCs w:val="20"/>
              </w:rPr>
            </w:pPr>
            <w:r w:rsidRPr="000E3AD6">
              <w:rPr>
                <w:sz w:val="20"/>
                <w:szCs w:val="20"/>
              </w:rPr>
              <w:t>Set WACC to 8%</w:t>
            </w:r>
          </w:p>
        </w:tc>
      </w:tr>
      <w:tr w:rsidR="00644659" w14:paraId="33F8957B" w14:textId="77777777" w:rsidTr="00205922">
        <w:tc>
          <w:tcPr>
            <w:tcW w:w="3116" w:type="dxa"/>
          </w:tcPr>
          <w:p w14:paraId="68276522" w14:textId="77777777" w:rsidR="005523BD" w:rsidRPr="000E3AD6" w:rsidRDefault="005523BD" w:rsidP="00205922">
            <w:pPr>
              <w:pStyle w:val="ListParagraph"/>
              <w:ind w:left="0"/>
              <w:jc w:val="center"/>
              <w:rPr>
                <w:sz w:val="20"/>
                <w:szCs w:val="20"/>
              </w:rPr>
            </w:pPr>
            <w:r w:rsidRPr="000E3AD6">
              <w:rPr>
                <w:sz w:val="20"/>
                <w:szCs w:val="20"/>
              </w:rPr>
              <w:t>Bloomberg DCF (EBITDA M)</w:t>
            </w:r>
          </w:p>
        </w:tc>
        <w:tc>
          <w:tcPr>
            <w:tcW w:w="3117" w:type="dxa"/>
          </w:tcPr>
          <w:p w14:paraId="4A5FB22D" w14:textId="77777777" w:rsidR="005523BD" w:rsidRPr="000E3AD6" w:rsidRDefault="00B04908" w:rsidP="00205922">
            <w:pPr>
              <w:pStyle w:val="ListParagraph"/>
              <w:ind w:left="0"/>
              <w:jc w:val="center"/>
              <w:rPr>
                <w:sz w:val="20"/>
                <w:szCs w:val="20"/>
              </w:rPr>
            </w:pPr>
            <w:r w:rsidRPr="000E3AD6">
              <w:rPr>
                <w:sz w:val="20"/>
                <w:szCs w:val="20"/>
              </w:rPr>
              <w:t>$0 - $1.83</w:t>
            </w:r>
          </w:p>
        </w:tc>
        <w:tc>
          <w:tcPr>
            <w:tcW w:w="3117" w:type="dxa"/>
          </w:tcPr>
          <w:p w14:paraId="5443469B" w14:textId="77777777" w:rsidR="005523BD" w:rsidRPr="000E3AD6" w:rsidRDefault="005523BD" w:rsidP="00205922">
            <w:pPr>
              <w:pStyle w:val="ListParagraph"/>
              <w:ind w:left="0"/>
              <w:jc w:val="center"/>
              <w:rPr>
                <w:sz w:val="20"/>
                <w:szCs w:val="20"/>
              </w:rPr>
            </w:pPr>
            <w:r w:rsidRPr="000E3AD6">
              <w:rPr>
                <w:sz w:val="20"/>
                <w:szCs w:val="20"/>
              </w:rPr>
              <w:t xml:space="preserve">Set exit EBITDA to </w:t>
            </w:r>
            <w:r w:rsidR="00B04908" w:rsidRPr="000E3AD6">
              <w:rPr>
                <w:sz w:val="20"/>
                <w:szCs w:val="20"/>
              </w:rPr>
              <w:t>29.4</w:t>
            </w:r>
            <w:r w:rsidRPr="000E3AD6">
              <w:rPr>
                <w:sz w:val="20"/>
                <w:szCs w:val="20"/>
              </w:rPr>
              <w:t>x</w:t>
            </w:r>
          </w:p>
        </w:tc>
      </w:tr>
    </w:tbl>
    <w:p w14:paraId="628B5C1C" w14:textId="77777777" w:rsidR="00644659" w:rsidRDefault="00644659" w:rsidP="00644659"/>
    <w:p w14:paraId="17598281" w14:textId="77777777" w:rsidR="00360E06" w:rsidRPr="000E3AD6" w:rsidRDefault="00644659" w:rsidP="001175AD">
      <w:pPr>
        <w:pStyle w:val="ListParagraph"/>
        <w:numPr>
          <w:ilvl w:val="0"/>
          <w:numId w:val="14"/>
        </w:numPr>
      </w:pPr>
      <w:r>
        <w:t>But, value funds have recently been seen selling CIM</w:t>
      </w:r>
      <w:r w:rsidR="005523BD">
        <w:br/>
      </w:r>
      <w:r>
        <w:rPr>
          <w:noProof/>
        </w:rPr>
        <w:drawing>
          <wp:inline distT="0" distB="0" distL="0" distR="0" wp14:anchorId="6762B958" wp14:editId="516D5E0D">
            <wp:extent cx="2435294" cy="2019631"/>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2952" cy="2050861"/>
                    </a:xfrm>
                    <a:prstGeom prst="rect">
                      <a:avLst/>
                    </a:prstGeom>
                  </pic:spPr>
                </pic:pic>
              </a:graphicData>
            </a:graphic>
          </wp:inline>
        </w:drawing>
      </w:r>
    </w:p>
    <w:p w14:paraId="5FF04AA8" w14:textId="77777777" w:rsidR="001175AD" w:rsidRDefault="001175AD" w:rsidP="000E3AD6">
      <w:pPr>
        <w:spacing w:before="240"/>
        <w:rPr>
          <w:b/>
        </w:rPr>
      </w:pPr>
      <w:r w:rsidRPr="001175AD">
        <w:rPr>
          <w:b/>
        </w:rPr>
        <w:t>Question 19</w:t>
      </w:r>
    </w:p>
    <w:p w14:paraId="206CE6ED" w14:textId="77777777" w:rsidR="001175AD" w:rsidRDefault="00800D49" w:rsidP="001175AD">
      <w:r>
        <w:rPr>
          <w:b/>
        </w:rPr>
        <w:t xml:space="preserve">Sell: HON </w:t>
      </w:r>
      <w:r>
        <w:t>(Honeywell International Inc.)</w:t>
      </w:r>
    </w:p>
    <w:p w14:paraId="0CE3C80D" w14:textId="77777777" w:rsidR="00800D49" w:rsidRDefault="00800D49" w:rsidP="00800D49">
      <w:r>
        <w:t>The reasons we think this stock is misplaced in this fund are:</w:t>
      </w:r>
    </w:p>
    <w:p w14:paraId="197E45CF" w14:textId="77777777" w:rsidR="00800D49" w:rsidRDefault="00800D49" w:rsidP="00800D49">
      <w:pPr>
        <w:pStyle w:val="ListParagraph"/>
        <w:numPr>
          <w:ilvl w:val="0"/>
          <w:numId w:val="17"/>
        </w:numPr>
        <w:jc w:val="both"/>
      </w:pPr>
      <w:r>
        <w:t>The stock is the only position that the Delafield fund holds in mega-cap stocks (HON has a market cap of $86B), and since the fund is a midcap fund, it shouldn’t be invested in mega-cap stocks</w:t>
      </w:r>
      <w:r w:rsidR="00A833C7">
        <w:t>. Additionally, only 0.76% of institutional holders that hold HON are mid-cap funds.</w:t>
      </w:r>
    </w:p>
    <w:p w14:paraId="1C48DAB0" w14:textId="77777777" w:rsidR="00A833C7" w:rsidRDefault="00A833C7" w:rsidP="00A833C7">
      <w:pPr>
        <w:pStyle w:val="ListParagraph"/>
        <w:jc w:val="both"/>
      </w:pPr>
      <w:r>
        <w:rPr>
          <w:noProof/>
        </w:rPr>
        <w:drawing>
          <wp:inline distT="0" distB="0" distL="0" distR="0" wp14:anchorId="6BBE06F1" wp14:editId="741D2CCE">
            <wp:extent cx="2122170" cy="1529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0563" cy="1550152"/>
                    </a:xfrm>
                    <a:prstGeom prst="rect">
                      <a:avLst/>
                    </a:prstGeom>
                  </pic:spPr>
                </pic:pic>
              </a:graphicData>
            </a:graphic>
          </wp:inline>
        </w:drawing>
      </w:r>
    </w:p>
    <w:p w14:paraId="31FA462A" w14:textId="77777777" w:rsidR="00800D49" w:rsidRDefault="00800D49" w:rsidP="00800D49">
      <w:pPr>
        <w:pStyle w:val="ListParagraph"/>
        <w:numPr>
          <w:ilvl w:val="0"/>
          <w:numId w:val="17"/>
        </w:numPr>
        <w:jc w:val="both"/>
      </w:pPr>
      <w:r>
        <w:t xml:space="preserve">HON is an industrial stock and the fund is heavily over-exposed in industrials (with over 35% of its holdings in industrials verses about 18% of the benchmark). Eliminating these holdings would </w:t>
      </w:r>
      <w:r w:rsidR="00BC3657">
        <w:t xml:space="preserve">at least </w:t>
      </w:r>
      <w:r>
        <w:t xml:space="preserve">somewhat </w:t>
      </w:r>
      <w:r w:rsidR="00BC3657">
        <w:t>reduce the over-exposure.</w:t>
      </w:r>
    </w:p>
    <w:p w14:paraId="696283E2" w14:textId="77777777" w:rsidR="00BC3657" w:rsidRDefault="00BC3657" w:rsidP="00800D49">
      <w:pPr>
        <w:pStyle w:val="ListParagraph"/>
        <w:numPr>
          <w:ilvl w:val="0"/>
          <w:numId w:val="17"/>
        </w:numPr>
        <w:jc w:val="both"/>
      </w:pPr>
      <w:r>
        <w:t>The Delafield fund considers itself to be a value fund. However, HON isn’t necessarily a value stock, with a relatively low div. yield (2.1%) and a higher-than-market PE ratio (17.15 vs. 7.92)</w:t>
      </w:r>
      <w:r w:rsidR="00A833C7">
        <w:t>. This can be seen by the fact that the stock is mainly owned by Growth, index and yield funds.</w:t>
      </w:r>
    </w:p>
    <w:p w14:paraId="036A7203" w14:textId="77777777" w:rsidR="00A833C7" w:rsidRDefault="00A833C7" w:rsidP="00A833C7">
      <w:pPr>
        <w:pStyle w:val="ListParagraph"/>
        <w:jc w:val="both"/>
      </w:pPr>
      <w:r>
        <w:rPr>
          <w:noProof/>
        </w:rPr>
        <w:lastRenderedPageBreak/>
        <w:drawing>
          <wp:inline distT="0" distB="0" distL="0" distR="0" wp14:anchorId="1E4CD259" wp14:editId="042E6F63">
            <wp:extent cx="2122495" cy="1510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1268" cy="1524110"/>
                    </a:xfrm>
                    <a:prstGeom prst="rect">
                      <a:avLst/>
                    </a:prstGeom>
                  </pic:spPr>
                </pic:pic>
              </a:graphicData>
            </a:graphic>
          </wp:inline>
        </w:drawing>
      </w:r>
    </w:p>
    <w:p w14:paraId="25A488B3" w14:textId="77777777" w:rsidR="00A833C7" w:rsidRDefault="00A833C7" w:rsidP="00A833C7">
      <w:pPr>
        <w:pStyle w:val="ListParagraph"/>
        <w:jc w:val="both"/>
      </w:pPr>
    </w:p>
    <w:p w14:paraId="341D09EE" w14:textId="77777777" w:rsidR="00BC3657" w:rsidRDefault="00BC3657" w:rsidP="00800D49">
      <w:pPr>
        <w:pStyle w:val="ListParagraph"/>
        <w:numPr>
          <w:ilvl w:val="0"/>
          <w:numId w:val="17"/>
        </w:numPr>
        <w:jc w:val="both"/>
      </w:pPr>
      <w:r>
        <w:rPr>
          <w:noProof/>
        </w:rPr>
        <w:drawing>
          <wp:anchor distT="0" distB="0" distL="114300" distR="114300" simplePos="0" relativeHeight="251670528" behindDoc="1" locked="0" layoutInCell="1" allowOverlap="1" wp14:anchorId="0473CE48" wp14:editId="69BD652A">
            <wp:simplePos x="0" y="0"/>
            <wp:positionH relativeFrom="column">
              <wp:posOffset>3116580</wp:posOffset>
            </wp:positionH>
            <wp:positionV relativeFrom="paragraph">
              <wp:posOffset>182245</wp:posOffset>
            </wp:positionV>
            <wp:extent cx="2197735" cy="2075180"/>
            <wp:effectExtent l="0" t="0" r="0" b="1270"/>
            <wp:wrapTight wrapText="bothSides">
              <wp:wrapPolygon edited="0">
                <wp:start x="0" y="0"/>
                <wp:lineTo x="0" y="21415"/>
                <wp:lineTo x="21344" y="21415"/>
                <wp:lineTo x="2134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97735" cy="20751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21DEE143" wp14:editId="7E749B7B">
            <wp:simplePos x="0" y="0"/>
            <wp:positionH relativeFrom="column">
              <wp:posOffset>461010</wp:posOffset>
            </wp:positionH>
            <wp:positionV relativeFrom="paragraph">
              <wp:posOffset>182245</wp:posOffset>
            </wp:positionV>
            <wp:extent cx="2442210" cy="2075180"/>
            <wp:effectExtent l="0" t="0" r="0" b="1270"/>
            <wp:wrapTight wrapText="bothSides">
              <wp:wrapPolygon edited="0">
                <wp:start x="0" y="0"/>
                <wp:lineTo x="0" y="21415"/>
                <wp:lineTo x="21398" y="21415"/>
                <wp:lineTo x="2139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42210" cy="2075180"/>
                    </a:xfrm>
                    <a:prstGeom prst="rect">
                      <a:avLst/>
                    </a:prstGeom>
                  </pic:spPr>
                </pic:pic>
              </a:graphicData>
            </a:graphic>
            <wp14:sizeRelH relativeFrom="margin">
              <wp14:pctWidth>0</wp14:pctWidth>
            </wp14:sizeRelH>
            <wp14:sizeRelV relativeFrom="margin">
              <wp14:pctHeight>0</wp14:pctHeight>
            </wp14:sizeRelV>
          </wp:anchor>
        </w:drawing>
      </w:r>
      <w:r>
        <w:t>Value funds have recently been selling the stock. The same is true for insiders:</w:t>
      </w:r>
    </w:p>
    <w:p w14:paraId="5912AD33" w14:textId="77777777" w:rsidR="00BC3657" w:rsidRPr="00800D49" w:rsidRDefault="00BC3657" w:rsidP="00BC3657">
      <w:pPr>
        <w:pStyle w:val="ListParagraph"/>
        <w:jc w:val="both"/>
      </w:pPr>
    </w:p>
    <w:p w14:paraId="3C8B7124" w14:textId="77777777" w:rsidR="00800D49" w:rsidRPr="00800D49" w:rsidRDefault="00800D49" w:rsidP="00800D49">
      <w:pPr>
        <w:pStyle w:val="ListParagraph"/>
        <w:jc w:val="both"/>
        <w:rPr>
          <w:b/>
        </w:rPr>
      </w:pPr>
    </w:p>
    <w:p w14:paraId="4C805655" w14:textId="77777777" w:rsidR="00BC3657" w:rsidRDefault="00BC3657" w:rsidP="00800D49">
      <w:pPr>
        <w:jc w:val="both"/>
        <w:rPr>
          <w:b/>
        </w:rPr>
      </w:pPr>
    </w:p>
    <w:p w14:paraId="727CD610" w14:textId="77777777" w:rsidR="00BC3657" w:rsidRDefault="00BC3657" w:rsidP="00800D49">
      <w:pPr>
        <w:jc w:val="both"/>
        <w:rPr>
          <w:b/>
        </w:rPr>
      </w:pPr>
    </w:p>
    <w:p w14:paraId="3A2D2630" w14:textId="77777777" w:rsidR="00BC3657" w:rsidRDefault="00BC3657" w:rsidP="00800D49">
      <w:pPr>
        <w:jc w:val="both"/>
        <w:rPr>
          <w:b/>
        </w:rPr>
      </w:pPr>
    </w:p>
    <w:p w14:paraId="711EDB5F" w14:textId="77777777" w:rsidR="00BC3657" w:rsidRDefault="00BC3657" w:rsidP="00800D49">
      <w:pPr>
        <w:jc w:val="both"/>
        <w:rPr>
          <w:b/>
        </w:rPr>
      </w:pPr>
    </w:p>
    <w:p w14:paraId="47D2C6D8" w14:textId="77777777" w:rsidR="00BC3657" w:rsidRDefault="00BC3657" w:rsidP="00800D49">
      <w:pPr>
        <w:jc w:val="both"/>
        <w:rPr>
          <w:b/>
        </w:rPr>
      </w:pPr>
    </w:p>
    <w:p w14:paraId="7C2325B4" w14:textId="77777777" w:rsidR="00BC3657" w:rsidRDefault="00BC3657" w:rsidP="00800D49">
      <w:pPr>
        <w:jc w:val="both"/>
        <w:rPr>
          <w:b/>
        </w:rPr>
      </w:pPr>
    </w:p>
    <w:p w14:paraId="658AF156" w14:textId="4310A860" w:rsidR="00A833C7" w:rsidRPr="00047865" w:rsidRDefault="00014A61" w:rsidP="00F37E8F">
      <w:pPr>
        <w:pStyle w:val="ListParagraph"/>
        <w:numPr>
          <w:ilvl w:val="0"/>
          <w:numId w:val="17"/>
        </w:numPr>
        <w:jc w:val="both"/>
      </w:pPr>
      <w:r>
        <w:t>However, all but 5 analysts covering the stock have buy/outperform recommendation</w:t>
      </w:r>
      <w:r w:rsidR="005261B1">
        <w:t>.</w:t>
      </w:r>
    </w:p>
    <w:p w14:paraId="1E5956F9" w14:textId="77777777" w:rsidR="00F37E8F" w:rsidRDefault="00F37E8F" w:rsidP="00F37E8F">
      <w:pPr>
        <w:jc w:val="both"/>
      </w:pPr>
      <w:r>
        <w:rPr>
          <w:b/>
        </w:rPr>
        <w:t xml:space="preserve">Buy: EXPR </w:t>
      </w:r>
      <w:r>
        <w:t>(Express, Inc.)</w:t>
      </w:r>
    </w:p>
    <w:p w14:paraId="646A430E" w14:textId="77777777" w:rsidR="00F37E8F" w:rsidRDefault="00F37E8F" w:rsidP="00F37E8F">
      <w:pPr>
        <w:jc w:val="both"/>
      </w:pPr>
      <w:r>
        <w:t>Our rationale for buying this stock is many-fold:</w:t>
      </w:r>
    </w:p>
    <w:p w14:paraId="5B9B5D8E" w14:textId="77777777" w:rsidR="00F37E8F" w:rsidRDefault="00F37E8F" w:rsidP="00F37E8F">
      <w:pPr>
        <w:pStyle w:val="ListParagraph"/>
        <w:numPr>
          <w:ilvl w:val="0"/>
          <w:numId w:val="18"/>
        </w:numPr>
        <w:jc w:val="both"/>
      </w:pPr>
      <w:r>
        <w:t>It is a small-cap consumer discretionary stock, so it fits nicely into Delafield’s portfolio, which has 26.25% invested in small-cap equity. Additionally, it would correct some of the fund’s under-exposure in the consumer discretionary sector.</w:t>
      </w:r>
    </w:p>
    <w:p w14:paraId="7260F8E2" w14:textId="77777777" w:rsidR="00F37E8F" w:rsidRDefault="00F37E8F" w:rsidP="00F37E8F">
      <w:pPr>
        <w:pStyle w:val="ListParagraph"/>
        <w:numPr>
          <w:ilvl w:val="0"/>
          <w:numId w:val="18"/>
        </w:numPr>
        <w:jc w:val="both"/>
      </w:pPr>
      <w:r>
        <w:t>As consumer discretionary stocks are generally lower risk, the addition of EXPR might be able to reduce some of the over-exposure to the volatility style that the fund currently has relative to the benchmark.</w:t>
      </w:r>
    </w:p>
    <w:p w14:paraId="0D38F050" w14:textId="77777777" w:rsidR="00171F69" w:rsidRDefault="00171F69" w:rsidP="00F37E8F">
      <w:pPr>
        <w:pStyle w:val="ListParagraph"/>
        <w:numPr>
          <w:ilvl w:val="0"/>
          <w:numId w:val="18"/>
        </w:numPr>
        <w:jc w:val="both"/>
      </w:pPr>
      <w:r>
        <w:t xml:space="preserve">The stock was the best performing consumer discretionary stock in the US Master screen and the second best stock overall, with a score of </w:t>
      </w:r>
      <w:r w:rsidR="00D34526">
        <w:t>3.27</w:t>
      </w:r>
    </w:p>
    <w:p w14:paraId="5C67EA6D" w14:textId="77777777" w:rsidR="00D34526" w:rsidRDefault="00D34526" w:rsidP="00F37E8F">
      <w:pPr>
        <w:pStyle w:val="ListParagraph"/>
        <w:numPr>
          <w:ilvl w:val="0"/>
          <w:numId w:val="18"/>
        </w:numPr>
        <w:jc w:val="both"/>
      </w:pPr>
      <w:r>
        <w:t>6/18 analysts covering the stock rate is as out-perform whereas another 9 rank it as buy/hold</w:t>
      </w:r>
    </w:p>
    <w:p w14:paraId="19994EBC" w14:textId="77777777" w:rsidR="00D34526" w:rsidRDefault="00AE7F4D" w:rsidP="00F37E8F">
      <w:pPr>
        <w:pStyle w:val="ListParagraph"/>
        <w:numPr>
          <w:ilvl w:val="0"/>
          <w:numId w:val="18"/>
        </w:numPr>
        <w:jc w:val="both"/>
      </w:pPr>
      <w:r>
        <w:t>Several valuations suggest a potential upside (current price: $21.39)</w:t>
      </w:r>
    </w:p>
    <w:tbl>
      <w:tblPr>
        <w:tblStyle w:val="TableGrid"/>
        <w:tblW w:w="0" w:type="auto"/>
        <w:tblInd w:w="720" w:type="dxa"/>
        <w:tblLook w:val="04A0" w:firstRow="1" w:lastRow="0" w:firstColumn="1" w:lastColumn="0" w:noHBand="0" w:noVBand="1"/>
      </w:tblPr>
      <w:tblGrid>
        <w:gridCol w:w="2889"/>
        <w:gridCol w:w="2874"/>
        <w:gridCol w:w="2867"/>
      </w:tblGrid>
      <w:tr w:rsidR="000E3AD6" w:rsidRPr="00E83154" w14:paraId="2EF2AC6A" w14:textId="77777777" w:rsidTr="00205922">
        <w:tc>
          <w:tcPr>
            <w:tcW w:w="3116" w:type="dxa"/>
          </w:tcPr>
          <w:p w14:paraId="296E54CB" w14:textId="77777777" w:rsidR="000E3AD6" w:rsidRPr="000E3AD6" w:rsidRDefault="000E3AD6" w:rsidP="00205922">
            <w:pPr>
              <w:pStyle w:val="ListParagraph"/>
              <w:ind w:left="0"/>
              <w:jc w:val="center"/>
              <w:rPr>
                <w:b/>
                <w:sz w:val="20"/>
                <w:szCs w:val="20"/>
              </w:rPr>
            </w:pPr>
            <w:r w:rsidRPr="000E3AD6">
              <w:rPr>
                <w:b/>
                <w:sz w:val="20"/>
                <w:szCs w:val="20"/>
              </w:rPr>
              <w:t>Valuation</w:t>
            </w:r>
          </w:p>
        </w:tc>
        <w:tc>
          <w:tcPr>
            <w:tcW w:w="3117" w:type="dxa"/>
          </w:tcPr>
          <w:p w14:paraId="08B7C910" w14:textId="77777777" w:rsidR="000E3AD6" w:rsidRPr="000E3AD6" w:rsidRDefault="000E3AD6" w:rsidP="00205922">
            <w:pPr>
              <w:pStyle w:val="ListParagraph"/>
              <w:ind w:left="0"/>
              <w:jc w:val="center"/>
              <w:rPr>
                <w:b/>
                <w:sz w:val="20"/>
                <w:szCs w:val="20"/>
              </w:rPr>
            </w:pPr>
            <w:r w:rsidRPr="000E3AD6">
              <w:rPr>
                <w:b/>
                <w:sz w:val="20"/>
                <w:szCs w:val="20"/>
              </w:rPr>
              <w:t>Target Price</w:t>
            </w:r>
          </w:p>
        </w:tc>
        <w:tc>
          <w:tcPr>
            <w:tcW w:w="3117" w:type="dxa"/>
          </w:tcPr>
          <w:p w14:paraId="0DA93213" w14:textId="77777777" w:rsidR="000E3AD6" w:rsidRPr="000E3AD6" w:rsidRDefault="000E3AD6" w:rsidP="00205922">
            <w:pPr>
              <w:pStyle w:val="ListParagraph"/>
              <w:ind w:left="0"/>
              <w:jc w:val="center"/>
              <w:rPr>
                <w:b/>
                <w:sz w:val="20"/>
                <w:szCs w:val="20"/>
              </w:rPr>
            </w:pPr>
            <w:r w:rsidRPr="000E3AD6">
              <w:rPr>
                <w:b/>
                <w:sz w:val="20"/>
                <w:szCs w:val="20"/>
              </w:rPr>
              <w:t>Changes made</w:t>
            </w:r>
          </w:p>
        </w:tc>
      </w:tr>
      <w:tr w:rsidR="000E3AD6" w14:paraId="3EEC56D0" w14:textId="77777777" w:rsidTr="00205922">
        <w:tc>
          <w:tcPr>
            <w:tcW w:w="3116" w:type="dxa"/>
          </w:tcPr>
          <w:p w14:paraId="2ECD2A1D" w14:textId="77777777" w:rsidR="000E3AD6" w:rsidRPr="000E3AD6" w:rsidRDefault="000E3AD6" w:rsidP="00205922">
            <w:pPr>
              <w:pStyle w:val="ListParagraph"/>
              <w:ind w:left="0"/>
              <w:jc w:val="center"/>
              <w:rPr>
                <w:sz w:val="20"/>
                <w:szCs w:val="20"/>
              </w:rPr>
            </w:pPr>
            <w:r w:rsidRPr="000E3AD6">
              <w:rPr>
                <w:sz w:val="20"/>
                <w:szCs w:val="20"/>
              </w:rPr>
              <w:t>Quant</w:t>
            </w:r>
          </w:p>
        </w:tc>
        <w:tc>
          <w:tcPr>
            <w:tcW w:w="3117" w:type="dxa"/>
          </w:tcPr>
          <w:p w14:paraId="0FD55894" w14:textId="77777777" w:rsidR="000E3AD6" w:rsidRPr="000E3AD6" w:rsidRDefault="007D5DB2" w:rsidP="00205922">
            <w:pPr>
              <w:pStyle w:val="ListParagraph"/>
              <w:ind w:left="0"/>
              <w:jc w:val="center"/>
              <w:rPr>
                <w:sz w:val="20"/>
                <w:szCs w:val="20"/>
              </w:rPr>
            </w:pPr>
            <w:r>
              <w:rPr>
                <w:sz w:val="20"/>
                <w:szCs w:val="20"/>
              </w:rPr>
              <w:t>$23.77 (11.15% upside)</w:t>
            </w:r>
          </w:p>
        </w:tc>
        <w:tc>
          <w:tcPr>
            <w:tcW w:w="3117" w:type="dxa"/>
          </w:tcPr>
          <w:p w14:paraId="06B3E888" w14:textId="77777777" w:rsidR="000E3AD6" w:rsidRPr="000E3AD6" w:rsidRDefault="000E3AD6" w:rsidP="00205922">
            <w:pPr>
              <w:pStyle w:val="ListParagraph"/>
              <w:ind w:left="0"/>
              <w:jc w:val="center"/>
              <w:rPr>
                <w:sz w:val="20"/>
                <w:szCs w:val="20"/>
              </w:rPr>
            </w:pPr>
          </w:p>
        </w:tc>
      </w:tr>
      <w:tr w:rsidR="000E3AD6" w14:paraId="3D06EC51" w14:textId="77777777" w:rsidTr="00205922">
        <w:tc>
          <w:tcPr>
            <w:tcW w:w="3116" w:type="dxa"/>
          </w:tcPr>
          <w:p w14:paraId="0BCB4641" w14:textId="77777777" w:rsidR="000E3AD6" w:rsidRPr="000E3AD6" w:rsidRDefault="000E3AD6" w:rsidP="00205922">
            <w:pPr>
              <w:pStyle w:val="ListParagraph"/>
              <w:ind w:left="0"/>
              <w:jc w:val="center"/>
              <w:rPr>
                <w:sz w:val="20"/>
                <w:szCs w:val="20"/>
              </w:rPr>
            </w:pPr>
            <w:r w:rsidRPr="000E3AD6">
              <w:rPr>
                <w:sz w:val="20"/>
                <w:szCs w:val="20"/>
              </w:rPr>
              <w:t>Bloomberg DDM</w:t>
            </w:r>
          </w:p>
        </w:tc>
        <w:tc>
          <w:tcPr>
            <w:tcW w:w="3117" w:type="dxa"/>
          </w:tcPr>
          <w:p w14:paraId="1052D32E" w14:textId="77777777" w:rsidR="000E3AD6" w:rsidRPr="000E3AD6" w:rsidRDefault="007D5DB2" w:rsidP="00205922">
            <w:pPr>
              <w:pStyle w:val="ListParagraph"/>
              <w:ind w:left="0"/>
              <w:jc w:val="center"/>
              <w:rPr>
                <w:sz w:val="20"/>
                <w:szCs w:val="20"/>
              </w:rPr>
            </w:pPr>
            <w:r>
              <w:rPr>
                <w:sz w:val="20"/>
                <w:szCs w:val="20"/>
              </w:rPr>
              <w:t>$22.343 ($4.457% upside)</w:t>
            </w:r>
          </w:p>
        </w:tc>
        <w:tc>
          <w:tcPr>
            <w:tcW w:w="3117" w:type="dxa"/>
          </w:tcPr>
          <w:p w14:paraId="547C3B97" w14:textId="77777777" w:rsidR="000E3AD6" w:rsidRPr="000E3AD6" w:rsidRDefault="007D5DB2" w:rsidP="00205922">
            <w:pPr>
              <w:pStyle w:val="ListParagraph"/>
              <w:ind w:left="0"/>
              <w:jc w:val="center"/>
              <w:rPr>
                <w:sz w:val="20"/>
                <w:szCs w:val="20"/>
              </w:rPr>
            </w:pPr>
            <w:r>
              <w:rPr>
                <w:sz w:val="20"/>
                <w:szCs w:val="20"/>
              </w:rPr>
              <w:t>LT growth rate of 12</w:t>
            </w:r>
            <w:r w:rsidR="000E3AD6" w:rsidRPr="000E3AD6">
              <w:rPr>
                <w:sz w:val="20"/>
                <w:szCs w:val="20"/>
              </w:rPr>
              <w:t>%</w:t>
            </w:r>
          </w:p>
        </w:tc>
      </w:tr>
      <w:tr w:rsidR="000E3AD6" w14:paraId="623D28EE" w14:textId="77777777" w:rsidTr="00205922">
        <w:tc>
          <w:tcPr>
            <w:tcW w:w="3116" w:type="dxa"/>
          </w:tcPr>
          <w:p w14:paraId="4DA4BECF" w14:textId="77777777" w:rsidR="000E3AD6" w:rsidRPr="000E3AD6" w:rsidRDefault="000E3AD6" w:rsidP="00205922">
            <w:pPr>
              <w:pStyle w:val="ListParagraph"/>
              <w:ind w:left="0"/>
              <w:jc w:val="center"/>
              <w:rPr>
                <w:sz w:val="20"/>
                <w:szCs w:val="20"/>
              </w:rPr>
            </w:pPr>
            <w:r w:rsidRPr="000E3AD6">
              <w:rPr>
                <w:sz w:val="20"/>
                <w:szCs w:val="20"/>
              </w:rPr>
              <w:t>eVal</w:t>
            </w:r>
          </w:p>
        </w:tc>
        <w:tc>
          <w:tcPr>
            <w:tcW w:w="3117" w:type="dxa"/>
          </w:tcPr>
          <w:p w14:paraId="4438EDCE" w14:textId="77777777" w:rsidR="000E3AD6" w:rsidRPr="000E3AD6" w:rsidRDefault="00C53076" w:rsidP="00205922">
            <w:pPr>
              <w:pStyle w:val="ListParagraph"/>
              <w:tabs>
                <w:tab w:val="center" w:pos="1322"/>
                <w:tab w:val="right" w:pos="2645"/>
              </w:tabs>
              <w:ind w:left="0"/>
              <w:jc w:val="center"/>
              <w:rPr>
                <w:sz w:val="20"/>
                <w:szCs w:val="20"/>
              </w:rPr>
            </w:pPr>
            <w:r>
              <w:rPr>
                <w:sz w:val="20"/>
                <w:szCs w:val="20"/>
              </w:rPr>
              <w:t>$41.01 (91.87% upside)</w:t>
            </w:r>
          </w:p>
        </w:tc>
        <w:tc>
          <w:tcPr>
            <w:tcW w:w="3117" w:type="dxa"/>
          </w:tcPr>
          <w:p w14:paraId="5707D32C" w14:textId="77777777" w:rsidR="000E3AD6" w:rsidRPr="000E3AD6" w:rsidRDefault="000E3AD6" w:rsidP="00205922">
            <w:pPr>
              <w:pStyle w:val="ListParagraph"/>
              <w:ind w:left="0"/>
              <w:jc w:val="center"/>
              <w:rPr>
                <w:sz w:val="20"/>
                <w:szCs w:val="20"/>
              </w:rPr>
            </w:pPr>
            <w:r w:rsidRPr="000E3AD6">
              <w:rPr>
                <w:sz w:val="20"/>
                <w:szCs w:val="20"/>
              </w:rPr>
              <w:t>EPS &amp; sales growth match</w:t>
            </w:r>
          </w:p>
        </w:tc>
      </w:tr>
      <w:tr w:rsidR="000E3AD6" w14:paraId="4627584B" w14:textId="77777777" w:rsidTr="00205922">
        <w:tc>
          <w:tcPr>
            <w:tcW w:w="3116" w:type="dxa"/>
          </w:tcPr>
          <w:p w14:paraId="5F582C84" w14:textId="77777777" w:rsidR="000E3AD6" w:rsidRPr="000E3AD6" w:rsidRDefault="000E3AD6" w:rsidP="00205922">
            <w:pPr>
              <w:pStyle w:val="ListParagraph"/>
              <w:ind w:left="0"/>
              <w:jc w:val="center"/>
              <w:rPr>
                <w:sz w:val="20"/>
                <w:szCs w:val="20"/>
              </w:rPr>
            </w:pPr>
            <w:r w:rsidRPr="000E3AD6">
              <w:rPr>
                <w:sz w:val="20"/>
                <w:szCs w:val="20"/>
              </w:rPr>
              <w:t>FactSet DCF</w:t>
            </w:r>
          </w:p>
        </w:tc>
        <w:tc>
          <w:tcPr>
            <w:tcW w:w="3117" w:type="dxa"/>
          </w:tcPr>
          <w:p w14:paraId="54B0C009" w14:textId="77777777" w:rsidR="000E3AD6" w:rsidRPr="000E3AD6" w:rsidRDefault="007D5DB2" w:rsidP="00205922">
            <w:pPr>
              <w:pStyle w:val="ListParagraph"/>
              <w:ind w:left="0"/>
              <w:jc w:val="center"/>
              <w:rPr>
                <w:sz w:val="20"/>
                <w:szCs w:val="20"/>
              </w:rPr>
            </w:pPr>
            <w:r>
              <w:rPr>
                <w:sz w:val="20"/>
                <w:szCs w:val="20"/>
              </w:rPr>
              <w:t>$19.8 - $28.00</w:t>
            </w:r>
          </w:p>
        </w:tc>
        <w:tc>
          <w:tcPr>
            <w:tcW w:w="3117" w:type="dxa"/>
          </w:tcPr>
          <w:p w14:paraId="1BC3EB52" w14:textId="77777777" w:rsidR="000E3AD6" w:rsidRPr="000E3AD6" w:rsidRDefault="000E3AD6" w:rsidP="00205922">
            <w:pPr>
              <w:pStyle w:val="ListParagraph"/>
              <w:ind w:left="0"/>
              <w:jc w:val="center"/>
              <w:rPr>
                <w:sz w:val="20"/>
                <w:szCs w:val="20"/>
              </w:rPr>
            </w:pPr>
            <w:r w:rsidRPr="000E3AD6">
              <w:rPr>
                <w:sz w:val="20"/>
                <w:szCs w:val="20"/>
              </w:rPr>
              <w:t>Sales growth match &amp; WACC</w:t>
            </w:r>
          </w:p>
        </w:tc>
      </w:tr>
      <w:tr w:rsidR="000E3AD6" w14:paraId="67C967A8" w14:textId="77777777" w:rsidTr="00205922">
        <w:tc>
          <w:tcPr>
            <w:tcW w:w="3116" w:type="dxa"/>
          </w:tcPr>
          <w:p w14:paraId="6E73153A" w14:textId="77777777" w:rsidR="000E3AD6" w:rsidRPr="000E3AD6" w:rsidRDefault="000E3AD6" w:rsidP="00205922">
            <w:pPr>
              <w:pStyle w:val="ListParagraph"/>
              <w:ind w:left="0"/>
              <w:jc w:val="center"/>
              <w:rPr>
                <w:sz w:val="20"/>
                <w:szCs w:val="20"/>
              </w:rPr>
            </w:pPr>
            <w:r w:rsidRPr="000E3AD6">
              <w:rPr>
                <w:sz w:val="20"/>
                <w:szCs w:val="20"/>
              </w:rPr>
              <w:t>Bloomberg DCF (PG)</w:t>
            </w:r>
          </w:p>
        </w:tc>
        <w:tc>
          <w:tcPr>
            <w:tcW w:w="3117" w:type="dxa"/>
          </w:tcPr>
          <w:p w14:paraId="5002460F" w14:textId="77777777" w:rsidR="000E3AD6" w:rsidRPr="000E3AD6" w:rsidRDefault="007D5DB2" w:rsidP="00205922">
            <w:pPr>
              <w:pStyle w:val="ListParagraph"/>
              <w:ind w:left="0"/>
              <w:jc w:val="center"/>
              <w:rPr>
                <w:sz w:val="20"/>
                <w:szCs w:val="20"/>
              </w:rPr>
            </w:pPr>
            <w:r>
              <w:rPr>
                <w:sz w:val="20"/>
                <w:szCs w:val="20"/>
              </w:rPr>
              <w:t>$27.74 - $63.51</w:t>
            </w:r>
          </w:p>
        </w:tc>
        <w:tc>
          <w:tcPr>
            <w:tcW w:w="3117" w:type="dxa"/>
          </w:tcPr>
          <w:p w14:paraId="02468E30" w14:textId="77777777" w:rsidR="000E3AD6" w:rsidRPr="000E3AD6" w:rsidRDefault="000E3AD6" w:rsidP="00205922">
            <w:pPr>
              <w:pStyle w:val="ListParagraph"/>
              <w:ind w:left="0"/>
              <w:jc w:val="center"/>
              <w:rPr>
                <w:sz w:val="20"/>
                <w:szCs w:val="20"/>
              </w:rPr>
            </w:pPr>
            <w:r w:rsidRPr="000E3AD6">
              <w:rPr>
                <w:sz w:val="20"/>
                <w:szCs w:val="20"/>
              </w:rPr>
              <w:t>Set WACC to 8%</w:t>
            </w:r>
          </w:p>
        </w:tc>
      </w:tr>
      <w:tr w:rsidR="000E3AD6" w14:paraId="457E9457" w14:textId="77777777" w:rsidTr="00205922">
        <w:tc>
          <w:tcPr>
            <w:tcW w:w="3116" w:type="dxa"/>
          </w:tcPr>
          <w:p w14:paraId="349A75EB" w14:textId="77777777" w:rsidR="000E3AD6" w:rsidRPr="000E3AD6" w:rsidRDefault="000E3AD6" w:rsidP="00205922">
            <w:pPr>
              <w:pStyle w:val="ListParagraph"/>
              <w:ind w:left="0"/>
              <w:jc w:val="center"/>
              <w:rPr>
                <w:sz w:val="20"/>
                <w:szCs w:val="20"/>
              </w:rPr>
            </w:pPr>
            <w:r w:rsidRPr="000E3AD6">
              <w:rPr>
                <w:sz w:val="20"/>
                <w:szCs w:val="20"/>
              </w:rPr>
              <w:t>Bloomberg DCF (EBITDA M)</w:t>
            </w:r>
          </w:p>
        </w:tc>
        <w:tc>
          <w:tcPr>
            <w:tcW w:w="3117" w:type="dxa"/>
          </w:tcPr>
          <w:p w14:paraId="24AA99B4" w14:textId="77777777" w:rsidR="000E3AD6" w:rsidRPr="000E3AD6" w:rsidRDefault="007D5DB2" w:rsidP="00205922">
            <w:pPr>
              <w:pStyle w:val="ListParagraph"/>
              <w:ind w:left="0"/>
              <w:jc w:val="center"/>
              <w:rPr>
                <w:sz w:val="20"/>
                <w:szCs w:val="20"/>
              </w:rPr>
            </w:pPr>
            <w:r>
              <w:rPr>
                <w:sz w:val="20"/>
                <w:szCs w:val="20"/>
              </w:rPr>
              <w:t>$30.44 - $55.11</w:t>
            </w:r>
          </w:p>
        </w:tc>
        <w:tc>
          <w:tcPr>
            <w:tcW w:w="3117" w:type="dxa"/>
          </w:tcPr>
          <w:p w14:paraId="3FD7665B" w14:textId="77777777" w:rsidR="000E3AD6" w:rsidRPr="000E3AD6" w:rsidRDefault="000E3AD6" w:rsidP="00205922">
            <w:pPr>
              <w:pStyle w:val="ListParagraph"/>
              <w:ind w:left="0"/>
              <w:jc w:val="center"/>
              <w:rPr>
                <w:sz w:val="20"/>
                <w:szCs w:val="20"/>
              </w:rPr>
            </w:pPr>
            <w:r w:rsidRPr="000E3AD6">
              <w:rPr>
                <w:sz w:val="20"/>
                <w:szCs w:val="20"/>
              </w:rPr>
              <w:t xml:space="preserve">Set exit EBITDA to </w:t>
            </w:r>
            <w:r w:rsidR="007D5DB2">
              <w:rPr>
                <w:sz w:val="20"/>
                <w:szCs w:val="20"/>
              </w:rPr>
              <w:t>9.8</w:t>
            </w:r>
            <w:r w:rsidRPr="000E3AD6">
              <w:rPr>
                <w:sz w:val="20"/>
                <w:szCs w:val="20"/>
              </w:rPr>
              <w:t>x</w:t>
            </w:r>
          </w:p>
        </w:tc>
      </w:tr>
    </w:tbl>
    <w:p w14:paraId="240D9AEF" w14:textId="77777777" w:rsidR="00F37E8F" w:rsidRDefault="00F37E8F" w:rsidP="00F37E8F">
      <w:pPr>
        <w:jc w:val="both"/>
      </w:pPr>
    </w:p>
    <w:p w14:paraId="42FAEB11" w14:textId="2F18C910" w:rsidR="00FA1406" w:rsidRDefault="00FA1406" w:rsidP="00F37E8F">
      <w:pPr>
        <w:pStyle w:val="ListParagraph"/>
        <w:numPr>
          <w:ilvl w:val="0"/>
          <w:numId w:val="18"/>
        </w:numPr>
        <w:jc w:val="both"/>
      </w:pPr>
      <w:r>
        <w:lastRenderedPageBreak/>
        <w:t>Positive earnings surprise of 30.825% on average over the past 4 quarters</w:t>
      </w:r>
    </w:p>
    <w:p w14:paraId="38FD87AF" w14:textId="77777777" w:rsidR="00F37E8F" w:rsidRDefault="00F37E8F" w:rsidP="00F37E8F">
      <w:pPr>
        <w:pStyle w:val="ListParagraph"/>
        <w:numPr>
          <w:ilvl w:val="0"/>
          <w:numId w:val="18"/>
        </w:numPr>
        <w:jc w:val="both"/>
      </w:pPr>
      <w:r>
        <w:t>But, both value investors as well as insiders have been selling lately:</w:t>
      </w:r>
    </w:p>
    <w:p w14:paraId="714B1BA3" w14:textId="77777777" w:rsidR="00F37E8F" w:rsidRPr="00F37E8F" w:rsidRDefault="00F37E8F" w:rsidP="00F37E8F">
      <w:pPr>
        <w:pStyle w:val="ListParagraph"/>
        <w:jc w:val="both"/>
      </w:pPr>
      <w:r>
        <w:rPr>
          <w:noProof/>
        </w:rPr>
        <w:drawing>
          <wp:anchor distT="0" distB="0" distL="114300" distR="114300" simplePos="0" relativeHeight="251673600" behindDoc="1" locked="0" layoutInCell="1" allowOverlap="1" wp14:anchorId="5A7DBD36" wp14:editId="24D0A074">
            <wp:simplePos x="0" y="0"/>
            <wp:positionH relativeFrom="column">
              <wp:posOffset>3140214</wp:posOffset>
            </wp:positionH>
            <wp:positionV relativeFrom="paragraph">
              <wp:posOffset>14605</wp:posOffset>
            </wp:positionV>
            <wp:extent cx="2453640" cy="2178050"/>
            <wp:effectExtent l="0" t="0" r="3810" b="0"/>
            <wp:wrapTight wrapText="bothSides">
              <wp:wrapPolygon edited="0">
                <wp:start x="0" y="0"/>
                <wp:lineTo x="0" y="21348"/>
                <wp:lineTo x="21466" y="21348"/>
                <wp:lineTo x="2146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53640" cy="2178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2A841D4" wp14:editId="3BF24AFE">
            <wp:simplePos x="0" y="0"/>
            <wp:positionH relativeFrom="column">
              <wp:posOffset>476885</wp:posOffset>
            </wp:positionH>
            <wp:positionV relativeFrom="paragraph">
              <wp:posOffset>14605</wp:posOffset>
            </wp:positionV>
            <wp:extent cx="2583180" cy="2178050"/>
            <wp:effectExtent l="0" t="0" r="762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83180" cy="2178050"/>
                    </a:xfrm>
                    <a:prstGeom prst="rect">
                      <a:avLst/>
                    </a:prstGeom>
                  </pic:spPr>
                </pic:pic>
              </a:graphicData>
            </a:graphic>
            <wp14:sizeRelH relativeFrom="margin">
              <wp14:pctWidth>0</wp14:pctWidth>
            </wp14:sizeRelH>
            <wp14:sizeRelV relativeFrom="margin">
              <wp14:pctHeight>0</wp14:pctHeight>
            </wp14:sizeRelV>
          </wp:anchor>
        </w:drawing>
      </w:r>
    </w:p>
    <w:p w14:paraId="69703EF6" w14:textId="77777777" w:rsidR="00F37E8F" w:rsidRDefault="00F37E8F" w:rsidP="00800D49">
      <w:pPr>
        <w:jc w:val="both"/>
        <w:rPr>
          <w:b/>
        </w:rPr>
      </w:pPr>
    </w:p>
    <w:p w14:paraId="122C6239" w14:textId="77777777" w:rsidR="00F37E8F" w:rsidRDefault="00F37E8F" w:rsidP="00800D49">
      <w:pPr>
        <w:jc w:val="both"/>
        <w:rPr>
          <w:b/>
        </w:rPr>
      </w:pPr>
    </w:p>
    <w:p w14:paraId="4BC0EC0A" w14:textId="77777777" w:rsidR="00F37E8F" w:rsidRDefault="00F37E8F" w:rsidP="00800D49">
      <w:pPr>
        <w:jc w:val="both"/>
        <w:rPr>
          <w:b/>
        </w:rPr>
      </w:pPr>
    </w:p>
    <w:p w14:paraId="432C127A" w14:textId="77777777" w:rsidR="00F37E8F" w:rsidRDefault="00F37E8F" w:rsidP="00800D49">
      <w:pPr>
        <w:jc w:val="both"/>
        <w:rPr>
          <w:b/>
        </w:rPr>
      </w:pPr>
    </w:p>
    <w:p w14:paraId="0CCD99CE" w14:textId="77777777" w:rsidR="00F37E8F" w:rsidRDefault="00F37E8F" w:rsidP="00800D49">
      <w:pPr>
        <w:jc w:val="both"/>
        <w:rPr>
          <w:b/>
        </w:rPr>
      </w:pPr>
    </w:p>
    <w:p w14:paraId="46923240" w14:textId="77777777" w:rsidR="00F37E8F" w:rsidRDefault="00F37E8F" w:rsidP="00800D49">
      <w:pPr>
        <w:jc w:val="both"/>
        <w:rPr>
          <w:b/>
        </w:rPr>
      </w:pPr>
    </w:p>
    <w:p w14:paraId="719EA6DA" w14:textId="77777777" w:rsidR="00F37E8F" w:rsidRDefault="00F37E8F" w:rsidP="00800D49">
      <w:pPr>
        <w:jc w:val="both"/>
        <w:rPr>
          <w:b/>
        </w:rPr>
      </w:pPr>
    </w:p>
    <w:p w14:paraId="6E73DEB8" w14:textId="77777777" w:rsidR="00D34526" w:rsidRDefault="00C53076" w:rsidP="00800D49">
      <w:pPr>
        <w:jc w:val="both"/>
        <w:rPr>
          <w:b/>
        </w:rPr>
      </w:pPr>
      <w:r>
        <w:rPr>
          <w:b/>
        </w:rPr>
        <w:t>Question 20</w:t>
      </w:r>
    </w:p>
    <w:p w14:paraId="6E343DD7" w14:textId="77777777" w:rsidR="00C53076" w:rsidRPr="00C53076" w:rsidRDefault="00C53076" w:rsidP="006F6842">
      <w:pPr>
        <w:jc w:val="both"/>
      </w:pPr>
      <w:r>
        <w:t>No, the fund manager does not hold HON in their other funds (Tocqueville Select Fund). In fact, that fund has no investment sin mega-cap stocks whatsoever.</w:t>
      </w:r>
    </w:p>
    <w:p w14:paraId="65354AD4" w14:textId="77777777" w:rsidR="00366531" w:rsidRPr="00800D49" w:rsidRDefault="00366531" w:rsidP="006F6842">
      <w:pPr>
        <w:jc w:val="both"/>
        <w:rPr>
          <w:b/>
        </w:rPr>
      </w:pPr>
      <w:r w:rsidRPr="00800D49">
        <w:rPr>
          <w:b/>
        </w:rPr>
        <w:t>Question 21</w:t>
      </w:r>
    </w:p>
    <w:p w14:paraId="7D334733" w14:textId="5D348DE8" w:rsidR="00A833C7" w:rsidRPr="00047865" w:rsidRDefault="00366531" w:rsidP="006F6842">
      <w:pPr>
        <w:jc w:val="both"/>
      </w:pPr>
      <w:r>
        <w:t xml:space="preserve">Information </w:t>
      </w:r>
      <w:r w:rsidR="00085C52">
        <w:t>ratio =</w:t>
      </w:r>
      <w:r w:rsidR="001B4152">
        <w:t xml:space="preserve"> -1.28</w:t>
      </w:r>
      <w:r w:rsidR="00FA078B">
        <w:t>, which is mainly due to the more-than 8% under-performance relative to the benchmark</w:t>
      </w:r>
      <w:r w:rsidR="005A5BD6">
        <w:t xml:space="preserve">. This ratio is pretty bad, since it basically indicates to investors that for each additional unit of active risk they take on, the actually get less return. </w:t>
      </w:r>
    </w:p>
    <w:p w14:paraId="333F76B3" w14:textId="77777777" w:rsidR="00366531" w:rsidRPr="00FA6F26" w:rsidRDefault="00FA6F26" w:rsidP="006F6842">
      <w:pPr>
        <w:jc w:val="both"/>
        <w:rPr>
          <w:b/>
        </w:rPr>
      </w:pPr>
      <w:r w:rsidRPr="00FA6F26">
        <w:rPr>
          <w:b/>
        </w:rPr>
        <w:t>Question 22</w:t>
      </w:r>
    </w:p>
    <w:p w14:paraId="24B97E95" w14:textId="77777777" w:rsidR="004F18D2" w:rsidRDefault="004F18D2" w:rsidP="006F6842">
      <w:pPr>
        <w:jc w:val="both"/>
      </w:pPr>
      <w:r>
        <w:t>I would not provide a salary increase for the manager of the Delafield fund, for the following reasons:</w:t>
      </w:r>
    </w:p>
    <w:p w14:paraId="7B39CD87" w14:textId="77777777" w:rsidR="00CD1087" w:rsidRDefault="00CD1087" w:rsidP="006F6842">
      <w:pPr>
        <w:pStyle w:val="ListParagraph"/>
        <w:numPr>
          <w:ilvl w:val="0"/>
          <w:numId w:val="19"/>
        </w:numPr>
        <w:jc w:val="both"/>
      </w:pPr>
      <w:r>
        <w:t>The fund has underperformed the market over the last 5 years by 7.23%, or about 7.44% beta-adjusted, and has had a large negative return over the past year.</w:t>
      </w:r>
    </w:p>
    <w:p w14:paraId="738EA51B" w14:textId="77777777" w:rsidR="006F6842" w:rsidRDefault="00CD1087" w:rsidP="006F6842">
      <w:pPr>
        <w:pStyle w:val="ListParagraph"/>
        <w:numPr>
          <w:ilvl w:val="0"/>
          <w:numId w:val="19"/>
        </w:numPr>
        <w:jc w:val="both"/>
      </w:pPr>
      <w:r>
        <w:t>The fund claims to be a US equity fund, but only 82.59% of the fund’s assets are invested in the North American market</w:t>
      </w:r>
      <w:r w:rsidR="00880EB5">
        <w:t xml:space="preserve"> (with at least 4.85% invested in emerging markets, which adds additional risk</w:t>
      </w:r>
      <w:r w:rsidR="006D2D5B">
        <w:t>)</w:t>
      </w:r>
      <w:r w:rsidR="006F6842">
        <w:t>.</w:t>
      </w:r>
    </w:p>
    <w:p w14:paraId="426100C2" w14:textId="351C8319" w:rsidR="006F6842" w:rsidRDefault="006F6842" w:rsidP="006F6842">
      <w:pPr>
        <w:pStyle w:val="ListParagraph"/>
        <w:numPr>
          <w:ilvl w:val="0"/>
          <w:numId w:val="19"/>
        </w:numPr>
        <w:jc w:val="both"/>
      </w:pPr>
      <w:r>
        <w:t xml:space="preserve">The fund claims to be an equity fund, but only about 91% of assets are invested in equity securities, with the remaining 10% invested in fixed-income products. This heavily dilutes the fund’s risk profile and makes </w:t>
      </w:r>
      <w:r w:rsidR="00BB31AC">
        <w:t xml:space="preserve">the fund’s high active risk </w:t>
      </w:r>
      <w:r>
        <w:t>even worse.</w:t>
      </w:r>
      <w:r w:rsidR="00DD6A28">
        <w:t xml:space="preserve"> Interestingly, the fund itself </w:t>
      </w:r>
      <w:r w:rsidR="00F412BB">
        <w:t xml:space="preserve">claims that it reserves the right to invest up to 40% of it AUM in non-equity instruments, which seems extraordinarily high for a mutual funds. </w:t>
      </w:r>
    </w:p>
    <w:p w14:paraId="1E66E75F" w14:textId="77777777" w:rsidR="00C821BF" w:rsidRDefault="006F6842" w:rsidP="006F6842">
      <w:pPr>
        <w:pStyle w:val="ListParagraph"/>
        <w:numPr>
          <w:ilvl w:val="0"/>
          <w:numId w:val="19"/>
        </w:numPr>
        <w:jc w:val="both"/>
      </w:pPr>
      <w:r>
        <w:t>The fund claims to be a mid-cap fund, but has over 7% of its assets invested in either mega-or microcap equity</w:t>
      </w:r>
      <w:r w:rsidR="00AE0899">
        <w:t>.</w:t>
      </w:r>
    </w:p>
    <w:p w14:paraId="6CC6F9A1" w14:textId="77777777" w:rsidR="00036D81" w:rsidRPr="004F18D2" w:rsidRDefault="00036D81" w:rsidP="006F6842">
      <w:pPr>
        <w:pStyle w:val="ListParagraph"/>
        <w:numPr>
          <w:ilvl w:val="0"/>
          <w:numId w:val="19"/>
        </w:numPr>
        <w:jc w:val="both"/>
      </w:pPr>
      <w:r>
        <w:t>The fund has a 10% stake in cash, which seems unreasonably high for any type of mutual fund.</w:t>
      </w:r>
    </w:p>
    <w:sectPr w:rsidR="00036D81" w:rsidRPr="004F18D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7D0F5" w14:textId="77777777" w:rsidR="003C74B4" w:rsidRDefault="003C74B4" w:rsidP="002E7499">
      <w:pPr>
        <w:spacing w:after="0" w:line="240" w:lineRule="auto"/>
      </w:pPr>
      <w:r>
        <w:separator/>
      </w:r>
    </w:p>
  </w:endnote>
  <w:endnote w:type="continuationSeparator" w:id="0">
    <w:p w14:paraId="7380E0B1" w14:textId="77777777" w:rsidR="003C74B4" w:rsidRDefault="003C74B4" w:rsidP="002E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5AF2B" w14:textId="77777777" w:rsidR="003C74B4" w:rsidRDefault="003C74B4" w:rsidP="002E7499">
      <w:pPr>
        <w:spacing w:after="0" w:line="240" w:lineRule="auto"/>
      </w:pPr>
      <w:r>
        <w:separator/>
      </w:r>
    </w:p>
  </w:footnote>
  <w:footnote w:type="continuationSeparator" w:id="0">
    <w:p w14:paraId="58507565" w14:textId="77777777" w:rsidR="003C74B4" w:rsidRDefault="003C74B4" w:rsidP="002E74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F0E19" w14:textId="77777777" w:rsidR="002E7499" w:rsidRPr="002E7499" w:rsidRDefault="002E7499">
    <w:pPr>
      <w:pStyle w:val="Header"/>
      <w:rPr>
        <w:sz w:val="20"/>
      </w:rPr>
    </w:pPr>
    <w:r w:rsidRPr="002E7499">
      <w:rPr>
        <w:sz w:val="20"/>
      </w:rPr>
      <w:t>FIN 334 – Materials Group</w:t>
    </w:r>
  </w:p>
  <w:p w14:paraId="7B4CAC25" w14:textId="77777777" w:rsidR="002E7499" w:rsidRPr="002E7499" w:rsidRDefault="002E7499">
    <w:pPr>
      <w:pStyle w:val="Header"/>
      <w:rPr>
        <w:sz w:val="20"/>
      </w:rPr>
    </w:pPr>
    <w:r w:rsidRPr="002E7499">
      <w:rPr>
        <w:sz w:val="20"/>
      </w:rPr>
      <w:t>Pit Kauffmann, Tor Martinsen, Jordan Mucci, Adam Salow, Steve Toner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453D"/>
    <w:multiLevelType w:val="hybridMultilevel"/>
    <w:tmpl w:val="87E84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00BC5"/>
    <w:multiLevelType w:val="hybridMultilevel"/>
    <w:tmpl w:val="B24ED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B58E8"/>
    <w:multiLevelType w:val="hybridMultilevel"/>
    <w:tmpl w:val="10120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F5A6E"/>
    <w:multiLevelType w:val="hybridMultilevel"/>
    <w:tmpl w:val="F42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4">
    <w:nsid w:val="31BC3F67"/>
    <w:multiLevelType w:val="hybridMultilevel"/>
    <w:tmpl w:val="38DCC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E8036D"/>
    <w:multiLevelType w:val="hybridMultilevel"/>
    <w:tmpl w:val="172E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07A4A"/>
    <w:multiLevelType w:val="hybridMultilevel"/>
    <w:tmpl w:val="1B864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D30B8"/>
    <w:multiLevelType w:val="hybridMultilevel"/>
    <w:tmpl w:val="B24ED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E1813"/>
    <w:multiLevelType w:val="hybridMultilevel"/>
    <w:tmpl w:val="731C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F96DB2"/>
    <w:multiLevelType w:val="hybridMultilevel"/>
    <w:tmpl w:val="3F4C9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C52EED"/>
    <w:multiLevelType w:val="hybridMultilevel"/>
    <w:tmpl w:val="1C10D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74B23"/>
    <w:multiLevelType w:val="hybridMultilevel"/>
    <w:tmpl w:val="1284C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F63DC6"/>
    <w:multiLevelType w:val="hybridMultilevel"/>
    <w:tmpl w:val="43405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0314E"/>
    <w:multiLevelType w:val="hybridMultilevel"/>
    <w:tmpl w:val="98BE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AB26A2"/>
    <w:multiLevelType w:val="hybridMultilevel"/>
    <w:tmpl w:val="63ECB0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5">
    <w:nsid w:val="5AAF41B6"/>
    <w:multiLevelType w:val="hybridMultilevel"/>
    <w:tmpl w:val="1CCE7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E660A3"/>
    <w:multiLevelType w:val="hybridMultilevel"/>
    <w:tmpl w:val="55005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33D3733"/>
    <w:multiLevelType w:val="hybridMultilevel"/>
    <w:tmpl w:val="9ACE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326634"/>
    <w:multiLevelType w:val="hybridMultilevel"/>
    <w:tmpl w:val="43880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8"/>
  </w:num>
  <w:num w:numId="5">
    <w:abstractNumId w:val="4"/>
  </w:num>
  <w:num w:numId="6">
    <w:abstractNumId w:val="18"/>
  </w:num>
  <w:num w:numId="7">
    <w:abstractNumId w:val="17"/>
  </w:num>
  <w:num w:numId="8">
    <w:abstractNumId w:val="10"/>
  </w:num>
  <w:num w:numId="9">
    <w:abstractNumId w:val="16"/>
  </w:num>
  <w:num w:numId="10">
    <w:abstractNumId w:val="9"/>
  </w:num>
  <w:num w:numId="11">
    <w:abstractNumId w:val="0"/>
  </w:num>
  <w:num w:numId="12">
    <w:abstractNumId w:val="12"/>
  </w:num>
  <w:num w:numId="13">
    <w:abstractNumId w:val="6"/>
  </w:num>
  <w:num w:numId="14">
    <w:abstractNumId w:val="15"/>
  </w:num>
  <w:num w:numId="15">
    <w:abstractNumId w:val="13"/>
  </w:num>
  <w:num w:numId="16">
    <w:abstractNumId w:val="5"/>
  </w:num>
  <w:num w:numId="17">
    <w:abstractNumId w:val="11"/>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NeedToUniquify" w:val="false"/>
    <w:docVar w:name="APWAFVersion" w:val="5.0"/>
  </w:docVars>
  <w:rsids>
    <w:rsidRoot w:val="002E7499"/>
    <w:rsid w:val="00002584"/>
    <w:rsid w:val="00014A61"/>
    <w:rsid w:val="00020C46"/>
    <w:rsid w:val="00020DFB"/>
    <w:rsid w:val="00036D81"/>
    <w:rsid w:val="00040671"/>
    <w:rsid w:val="0004243C"/>
    <w:rsid w:val="00047865"/>
    <w:rsid w:val="00050CEA"/>
    <w:rsid w:val="0007127A"/>
    <w:rsid w:val="00081ED7"/>
    <w:rsid w:val="00085C52"/>
    <w:rsid w:val="00090EA3"/>
    <w:rsid w:val="00097B5A"/>
    <w:rsid w:val="000A1C47"/>
    <w:rsid w:val="000A5387"/>
    <w:rsid w:val="000D4A7B"/>
    <w:rsid w:val="000D6BAA"/>
    <w:rsid w:val="000E24ED"/>
    <w:rsid w:val="000E3AD6"/>
    <w:rsid w:val="001062B1"/>
    <w:rsid w:val="001175AD"/>
    <w:rsid w:val="00131F7E"/>
    <w:rsid w:val="001359B9"/>
    <w:rsid w:val="00147936"/>
    <w:rsid w:val="00156217"/>
    <w:rsid w:val="00165096"/>
    <w:rsid w:val="00171F69"/>
    <w:rsid w:val="00173124"/>
    <w:rsid w:val="00175194"/>
    <w:rsid w:val="00185401"/>
    <w:rsid w:val="001A3FB7"/>
    <w:rsid w:val="001A52CF"/>
    <w:rsid w:val="001B4152"/>
    <w:rsid w:val="001C0C19"/>
    <w:rsid w:val="001C79D3"/>
    <w:rsid w:val="001C7D33"/>
    <w:rsid w:val="001E5C55"/>
    <w:rsid w:val="0021740E"/>
    <w:rsid w:val="002236BB"/>
    <w:rsid w:val="00223751"/>
    <w:rsid w:val="0023395D"/>
    <w:rsid w:val="00235CCA"/>
    <w:rsid w:val="00247880"/>
    <w:rsid w:val="002528AC"/>
    <w:rsid w:val="002560F4"/>
    <w:rsid w:val="0028016B"/>
    <w:rsid w:val="00280D9F"/>
    <w:rsid w:val="002815F6"/>
    <w:rsid w:val="002903DC"/>
    <w:rsid w:val="002953F1"/>
    <w:rsid w:val="002A70ED"/>
    <w:rsid w:val="002B602E"/>
    <w:rsid w:val="002D702D"/>
    <w:rsid w:val="002E7499"/>
    <w:rsid w:val="002E7E55"/>
    <w:rsid w:val="003073B2"/>
    <w:rsid w:val="00312902"/>
    <w:rsid w:val="00316260"/>
    <w:rsid w:val="00330336"/>
    <w:rsid w:val="00344979"/>
    <w:rsid w:val="00345D99"/>
    <w:rsid w:val="00346D0C"/>
    <w:rsid w:val="00360E06"/>
    <w:rsid w:val="00364779"/>
    <w:rsid w:val="00366531"/>
    <w:rsid w:val="003A3DAF"/>
    <w:rsid w:val="003B41E0"/>
    <w:rsid w:val="003C74B4"/>
    <w:rsid w:val="003E1036"/>
    <w:rsid w:val="003F5894"/>
    <w:rsid w:val="00400B2E"/>
    <w:rsid w:val="00404D7E"/>
    <w:rsid w:val="00410DFB"/>
    <w:rsid w:val="00430F97"/>
    <w:rsid w:val="00432667"/>
    <w:rsid w:val="00435F34"/>
    <w:rsid w:val="00437EA6"/>
    <w:rsid w:val="00440B2C"/>
    <w:rsid w:val="00465160"/>
    <w:rsid w:val="00472F29"/>
    <w:rsid w:val="004772E1"/>
    <w:rsid w:val="0048181F"/>
    <w:rsid w:val="004845EF"/>
    <w:rsid w:val="00491B8B"/>
    <w:rsid w:val="00493B6C"/>
    <w:rsid w:val="004A46CA"/>
    <w:rsid w:val="004C6975"/>
    <w:rsid w:val="004D1313"/>
    <w:rsid w:val="004E5375"/>
    <w:rsid w:val="004F068C"/>
    <w:rsid w:val="004F18D2"/>
    <w:rsid w:val="00504179"/>
    <w:rsid w:val="0051037D"/>
    <w:rsid w:val="00514D84"/>
    <w:rsid w:val="00516742"/>
    <w:rsid w:val="005261B1"/>
    <w:rsid w:val="00536543"/>
    <w:rsid w:val="005375EB"/>
    <w:rsid w:val="0054202E"/>
    <w:rsid w:val="005523BD"/>
    <w:rsid w:val="00556705"/>
    <w:rsid w:val="00586B49"/>
    <w:rsid w:val="005914FC"/>
    <w:rsid w:val="00594C96"/>
    <w:rsid w:val="005A5BD6"/>
    <w:rsid w:val="005C3771"/>
    <w:rsid w:val="005D00A1"/>
    <w:rsid w:val="005D2525"/>
    <w:rsid w:val="005D3ACE"/>
    <w:rsid w:val="00606B2A"/>
    <w:rsid w:val="00607EAB"/>
    <w:rsid w:val="0061575D"/>
    <w:rsid w:val="006304F0"/>
    <w:rsid w:val="006354B0"/>
    <w:rsid w:val="00644659"/>
    <w:rsid w:val="00653CA3"/>
    <w:rsid w:val="00687C3D"/>
    <w:rsid w:val="006C6066"/>
    <w:rsid w:val="006D2D5B"/>
    <w:rsid w:val="006D69D7"/>
    <w:rsid w:val="006F6842"/>
    <w:rsid w:val="00705832"/>
    <w:rsid w:val="00711B00"/>
    <w:rsid w:val="007310E1"/>
    <w:rsid w:val="007638D9"/>
    <w:rsid w:val="007B38CF"/>
    <w:rsid w:val="007B6F79"/>
    <w:rsid w:val="007C18B3"/>
    <w:rsid w:val="007D5DB2"/>
    <w:rsid w:val="007E1A50"/>
    <w:rsid w:val="00800D49"/>
    <w:rsid w:val="00811F20"/>
    <w:rsid w:val="008139CB"/>
    <w:rsid w:val="00814629"/>
    <w:rsid w:val="00846639"/>
    <w:rsid w:val="00846845"/>
    <w:rsid w:val="008532DE"/>
    <w:rsid w:val="00867783"/>
    <w:rsid w:val="00870BC9"/>
    <w:rsid w:val="008720C1"/>
    <w:rsid w:val="00880EB5"/>
    <w:rsid w:val="008A2A21"/>
    <w:rsid w:val="008A3745"/>
    <w:rsid w:val="008A713B"/>
    <w:rsid w:val="008D77CF"/>
    <w:rsid w:val="008E4BD5"/>
    <w:rsid w:val="008F045B"/>
    <w:rsid w:val="008F0677"/>
    <w:rsid w:val="008F6392"/>
    <w:rsid w:val="008F79EC"/>
    <w:rsid w:val="009021F6"/>
    <w:rsid w:val="00916489"/>
    <w:rsid w:val="009417CA"/>
    <w:rsid w:val="00950A7D"/>
    <w:rsid w:val="0095165B"/>
    <w:rsid w:val="00964289"/>
    <w:rsid w:val="00987D22"/>
    <w:rsid w:val="009A0A8B"/>
    <w:rsid w:val="009B6673"/>
    <w:rsid w:val="009C0EFE"/>
    <w:rsid w:val="009C671E"/>
    <w:rsid w:val="009D2D82"/>
    <w:rsid w:val="009D3289"/>
    <w:rsid w:val="009F01CB"/>
    <w:rsid w:val="00A14723"/>
    <w:rsid w:val="00A26B05"/>
    <w:rsid w:val="00A278EF"/>
    <w:rsid w:val="00A437BB"/>
    <w:rsid w:val="00A44F23"/>
    <w:rsid w:val="00A518FE"/>
    <w:rsid w:val="00A524DA"/>
    <w:rsid w:val="00A6113D"/>
    <w:rsid w:val="00A6568B"/>
    <w:rsid w:val="00A67972"/>
    <w:rsid w:val="00A824EB"/>
    <w:rsid w:val="00A82A58"/>
    <w:rsid w:val="00A8330B"/>
    <w:rsid w:val="00A833C7"/>
    <w:rsid w:val="00A875BE"/>
    <w:rsid w:val="00A90B05"/>
    <w:rsid w:val="00A95D38"/>
    <w:rsid w:val="00AA1DB3"/>
    <w:rsid w:val="00AA20C0"/>
    <w:rsid w:val="00AB1F71"/>
    <w:rsid w:val="00AD2086"/>
    <w:rsid w:val="00AD6367"/>
    <w:rsid w:val="00AE0899"/>
    <w:rsid w:val="00AE2F2B"/>
    <w:rsid w:val="00AE7F4D"/>
    <w:rsid w:val="00B0413D"/>
    <w:rsid w:val="00B04908"/>
    <w:rsid w:val="00B26F80"/>
    <w:rsid w:val="00B57D12"/>
    <w:rsid w:val="00BA2806"/>
    <w:rsid w:val="00BA5C20"/>
    <w:rsid w:val="00BB31AC"/>
    <w:rsid w:val="00BB672A"/>
    <w:rsid w:val="00BC3657"/>
    <w:rsid w:val="00BC4308"/>
    <w:rsid w:val="00BF3A4B"/>
    <w:rsid w:val="00C15D5E"/>
    <w:rsid w:val="00C21C45"/>
    <w:rsid w:val="00C27B04"/>
    <w:rsid w:val="00C35D45"/>
    <w:rsid w:val="00C35E44"/>
    <w:rsid w:val="00C53076"/>
    <w:rsid w:val="00C621E1"/>
    <w:rsid w:val="00C726C5"/>
    <w:rsid w:val="00C742DC"/>
    <w:rsid w:val="00C821BF"/>
    <w:rsid w:val="00CA1DFC"/>
    <w:rsid w:val="00CC16D0"/>
    <w:rsid w:val="00CD1087"/>
    <w:rsid w:val="00CD1E41"/>
    <w:rsid w:val="00D108CF"/>
    <w:rsid w:val="00D14AC0"/>
    <w:rsid w:val="00D24032"/>
    <w:rsid w:val="00D34526"/>
    <w:rsid w:val="00D347B5"/>
    <w:rsid w:val="00D35CE8"/>
    <w:rsid w:val="00D368A6"/>
    <w:rsid w:val="00D51AEB"/>
    <w:rsid w:val="00D51B8F"/>
    <w:rsid w:val="00D60963"/>
    <w:rsid w:val="00D620D6"/>
    <w:rsid w:val="00D948E5"/>
    <w:rsid w:val="00DA09AC"/>
    <w:rsid w:val="00DC2ED3"/>
    <w:rsid w:val="00DD6A28"/>
    <w:rsid w:val="00DF46E3"/>
    <w:rsid w:val="00E24040"/>
    <w:rsid w:val="00E26533"/>
    <w:rsid w:val="00E31ADC"/>
    <w:rsid w:val="00E37D15"/>
    <w:rsid w:val="00E4014E"/>
    <w:rsid w:val="00E50849"/>
    <w:rsid w:val="00E61DBF"/>
    <w:rsid w:val="00E83154"/>
    <w:rsid w:val="00E835DD"/>
    <w:rsid w:val="00E96168"/>
    <w:rsid w:val="00EA766C"/>
    <w:rsid w:val="00EC4A87"/>
    <w:rsid w:val="00EC581B"/>
    <w:rsid w:val="00ED03E2"/>
    <w:rsid w:val="00EF2F36"/>
    <w:rsid w:val="00EF52AD"/>
    <w:rsid w:val="00F04B7A"/>
    <w:rsid w:val="00F12532"/>
    <w:rsid w:val="00F24D6C"/>
    <w:rsid w:val="00F30172"/>
    <w:rsid w:val="00F31FFD"/>
    <w:rsid w:val="00F37E8F"/>
    <w:rsid w:val="00F412BB"/>
    <w:rsid w:val="00F61337"/>
    <w:rsid w:val="00F74467"/>
    <w:rsid w:val="00F90CE3"/>
    <w:rsid w:val="00FA078B"/>
    <w:rsid w:val="00FA1406"/>
    <w:rsid w:val="00FA21E3"/>
    <w:rsid w:val="00FA307C"/>
    <w:rsid w:val="00FA6F26"/>
    <w:rsid w:val="00FA76B1"/>
    <w:rsid w:val="00FB391D"/>
    <w:rsid w:val="00FC4105"/>
    <w:rsid w:val="00FD75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5A9C"/>
  <w15:chartTrackingRefBased/>
  <w15:docId w15:val="{71EDDDFA-47CF-476E-9D07-07715E9A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99"/>
  </w:style>
  <w:style w:type="paragraph" w:styleId="Footer">
    <w:name w:val="footer"/>
    <w:basedOn w:val="Normal"/>
    <w:link w:val="FooterChar"/>
    <w:uiPriority w:val="99"/>
    <w:unhideWhenUsed/>
    <w:rsid w:val="002E7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99"/>
  </w:style>
  <w:style w:type="paragraph" w:styleId="ListParagraph">
    <w:name w:val="List Paragraph"/>
    <w:basedOn w:val="Normal"/>
    <w:uiPriority w:val="34"/>
    <w:qFormat/>
    <w:rsid w:val="00C35E44"/>
    <w:pPr>
      <w:ind w:left="720"/>
      <w:contextualSpacing/>
    </w:pPr>
  </w:style>
  <w:style w:type="table" w:styleId="TableGrid">
    <w:name w:val="Table Grid"/>
    <w:basedOn w:val="TableNormal"/>
    <w:uiPriority w:val="39"/>
    <w:rsid w:val="00BA2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688192">
      <w:bodyDiv w:val="1"/>
      <w:marLeft w:val="0"/>
      <w:marRight w:val="0"/>
      <w:marTop w:val="0"/>
      <w:marBottom w:val="0"/>
      <w:divBdr>
        <w:top w:val="none" w:sz="0" w:space="0" w:color="auto"/>
        <w:left w:val="none" w:sz="0" w:space="0" w:color="auto"/>
        <w:bottom w:val="none" w:sz="0" w:space="0" w:color="auto"/>
        <w:right w:val="none" w:sz="0" w:space="0" w:color="auto"/>
      </w:divBdr>
    </w:div>
    <w:div w:id="1700933455">
      <w:bodyDiv w:val="1"/>
      <w:marLeft w:val="0"/>
      <w:marRight w:val="0"/>
      <w:marTop w:val="0"/>
      <w:marBottom w:val="0"/>
      <w:divBdr>
        <w:top w:val="none" w:sz="0" w:space="0" w:color="auto"/>
        <w:left w:val="none" w:sz="0" w:space="0" w:color="auto"/>
        <w:bottom w:val="none" w:sz="0" w:space="0" w:color="auto"/>
        <w:right w:val="none" w:sz="0" w:space="0" w:color="auto"/>
      </w:divBdr>
    </w:div>
    <w:div w:id="189203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2212</Words>
  <Characters>12614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Michigan Ross School of Business</Company>
  <LinksUpToDate>false</LinksUpToDate>
  <CharactersWithSpaces>14797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School of Business</dc:creator>
  <cp:keywords/>
  <dc:description/>
  <cp:lastModifiedBy>Pit Kauffmann</cp:lastModifiedBy>
  <cp:revision>20</cp:revision>
  <dcterms:created xsi:type="dcterms:W3CDTF">2016-04-11T23:33:00Z</dcterms:created>
  <dcterms:modified xsi:type="dcterms:W3CDTF">2016-04-17T22:30:00Z</dcterms:modified>
</cp:coreProperties>
</file>