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jc w:val="center"/>
      </w:pPr>
      <w:r>
        <w:rPr>
          <w:rFonts w:ascii="Calibri" w:cs="Calibri" w:eastAsia="Calibri" w:hAnsi="Calibri"/>
          <w:b/>
          <w:bCs/>
          <w:color w:val="0D1B2A"/>
          <w:sz w:val="88"/>
          <w:szCs w:val="88"/>
        </w:rPr>
        <w:t xml:space="preserve">LineageIQ</w:t>
      </w:r>
    </w:p>
    <w:p>
      <w:pPr>
        <w:spacing w:before="80" w:after="0"/>
        <w:jc w:val="center"/>
      </w:pPr>
      <w:r>
        <w:rPr>
          <w:rFonts w:ascii="Calibri" w:cs="Calibri" w:eastAsia="Calibri" w:hAnsi="Calibri"/>
          <w:color w:val="065A82"/>
          <w:sz w:val="40"/>
          <w:szCs w:val="40"/>
        </w:rPr>
        <w:t xml:space="preserve">Informatica PowerCenter Parsing</w:t>
      </w:r>
    </w:p>
    <w:p>
      <w:pPr>
        <w:spacing w:before="40" w:after="0"/>
        <w:jc w:val="center"/>
      </w:pPr>
      <w:r>
        <w:rPr>
          <w:rFonts w:ascii="Calibri" w:cs="Calibri" w:eastAsia="Calibri" w:hAnsi="Calibri"/>
          <w:color w:val="065A82"/>
          <w:sz w:val="36"/>
          <w:szCs w:val="36"/>
        </w:rPr>
        <w:t xml:space="preserve">All Known Issues, Root Causes &amp; Robustness Solutions</w:t>
      </w:r>
    </w:p>
    <w:p>
      <w:pPr>
        <w:spacing w:before="700" w:after="0"/>
        <w:jc w:val="center"/>
      </w:pPr>
      <w:r>
        <w:rPr>
          <w:rFonts w:ascii="Calibri" w:cs="Calibri" w:eastAsia="Calibri" w:hAnsi="Calibri"/>
          <w:i/>
          <w:iCs/>
          <w:color w:val="64748B"/>
          <w:sz w:val="24"/>
          <w:szCs w:val="24"/>
        </w:rPr>
        <w:t xml:space="preserve">A complete reference for building a production-grade parsing system</w:t>
      </w:r>
    </w:p>
    <w:p>
      <w:pPr>
        <w:spacing w:before="200" w:after="0"/>
        <w:jc w:val="center"/>
      </w:pPr>
      <w:r>
        <w:rPr>
          <w:rFonts w:ascii="Calibri" w:cs="Calibri" w:eastAsia="Calibri" w:hAnsi="Calibri"/>
          <w:color w:val="64748B"/>
          <w:sz w:val="20"/>
          <w:szCs w:val="20"/>
        </w:rPr>
        <w:t xml:space="preserve">Version 1.0   ·   March 2026   ·   Confidential</w:t>
      </w:r>
    </w:p>
    <w:p>
      <w:pPr>
        <w:pStyle w:val="Heading1"/>
        <w:pageBreakBefore/>
        <w:spacing w:before="0" w:after="240"/>
      </w:pPr>
      <w:r>
        <w:rPr>
          <w:rFonts w:ascii="Calibri" w:cs="Calibri" w:eastAsia="Calibri" w:hAnsi="Calibri"/>
          <w:b/>
          <w:bCs/>
          <w:color w:val="0D1B2A"/>
          <w:sz w:val="44"/>
          <w:szCs w:val="44"/>
        </w:rPr>
        <w:t xml:space="preserve">Introduction</w:t>
      </w:r>
    </w:p>
    <w:p>
      <w:pPr>
        <w:spacing w:before="80" w:after="160"/>
      </w:pPr>
      <w:r>
        <w:rPr>
          <w:rFonts w:ascii="Calibri" w:cs="Calibri" w:eastAsia="Calibri" w:hAnsi="Calibri"/>
          <w:sz w:val="22"/>
          <w:szCs w:val="22"/>
        </w:rPr>
        <w:t xml:space="preserve">This document is the complete robustness reference for the LineageIQ Informatica XML parsing system. It covers every known category of parsing failure — the exact reason it fails, what symptom it produces in the output, and the precise approach needed to fix it.</w:t>
      </w:r>
    </w:p>
    <w:p>
      <w:pPr>
        <w:spacing w:before="80" w:after="160"/>
      </w:pPr>
      <w:r>
        <w:rPr>
          <w:rFonts w:ascii="Calibri" w:cs="Calibri" w:eastAsia="Calibri" w:hAnsi="Calibri"/>
          <w:sz w:val="22"/>
          <w:szCs w:val="22"/>
        </w:rPr>
        <w:t xml:space="preserve">The issues are grouped into six categories, ordered from most frequent to least frequent in real production environments. Each issue includes a code-level approach so any developer can implement the fix independently.</w:t>
      </w:r>
    </w:p>
    <w:p>
      <w:pPr>
        <w:spacing w:before="80" w:after="160"/>
      </w:pPr>
      <w:r>
        <w:rPr>
          <w:rFonts w:ascii="Calibri" w:cs="Calibri" w:eastAsia="Calibri" w:hAnsi="Calibri"/>
          <w:b/>
          <w:bCs/>
          <w:sz w:val="22"/>
          <w:szCs w:val="22"/>
        </w:rPr>
        <w:t xml:space="preserve">How to use this document: </w:t>
      </w:r>
      <w:r>
        <w:rPr>
          <w:rFonts w:ascii="Calibri" w:cs="Calibri" w:eastAsia="Calibri" w:hAnsi="Calibri"/>
          <w:sz w:val="22"/>
          <w:szCs w:val="22"/>
        </w:rPr>
        <w:t xml:space="preserve">When the parser produces unexpected output — blank lineage rows, unreadable expressions, zero mappings found, or broken transformation chains — find the matching issue in this document. The root cause and fix are described precisely. This document also serves as the specification for building a robust v5 parser that handles all these cases from the start.</w:t>
      </w:r>
    </w:p>
    <w:p>
      <w:pPr>
        <w:spacing w:before="0"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14"/>
              <w:bottom w:val="none" w:color="FFFFFF" w:sz="0"/>
              <w:right w:val="none" w:color="FFFFFF" w:sz="0"/>
            </w:tcBorders>
            <w:shd w:fill="EFF6FF" w:val="clear"/>
            <w:tcMar>
              <w:top w:type="dxa" w:w="140"/>
              <w:left w:type="dxa" w:w="260"/>
              <w:bottom w:type="dxa" w:w="140"/>
              <w:right w:type="dxa" w:w="140"/>
            </w:tcMar>
          </w:tcPr>
          <w:p>
            <w:pPr>
              <w:spacing w:before="40" w:after="50"/>
            </w:pPr>
            <w:r>
              <w:rPr>
                <w:rFonts w:ascii="Calibri" w:cs="Calibri" w:eastAsia="Calibri" w:hAnsi="Calibri"/>
                <w:b/>
                <w:bCs/>
                <w:sz w:val="22"/>
                <w:szCs w:val="22"/>
              </w:rPr>
              <w:t xml:space="preserve">Total issues documented: </w:t>
            </w:r>
            <w:r>
              <w:rPr>
                <w:rFonts w:ascii="Calibri" w:cs="Calibri" w:eastAsia="Calibri" w:hAnsi="Calibri"/>
                <w:sz w:val="22"/>
                <w:szCs w:val="22"/>
              </w:rPr>
              <w:t xml:space="preserve">15 across 6 categories</w:t>
            </w:r>
          </w:p>
          <w:p>
            <w:pPr>
              <w:spacing w:before="40" w:after="50"/>
            </w:pPr>
            <w:r>
              <w:rPr>
                <w:rFonts w:ascii="Calibri" w:cs="Calibri" w:eastAsia="Calibri" w:hAnsi="Calibri"/>
                <w:b/>
                <w:bCs/>
                <w:sz w:val="22"/>
                <w:szCs w:val="22"/>
              </w:rPr>
              <w:t xml:space="preserve">Issues from user-reported failures: </w:t>
            </w:r>
            <w:r>
              <w:rPr>
                <w:rFonts w:ascii="Calibri" w:cs="Calibri" w:eastAsia="Calibri" w:hAnsi="Calibri"/>
                <w:sz w:val="22"/>
                <w:szCs w:val="22"/>
              </w:rPr>
              <w:t xml:space="preserve">Special characters, connector port naming (i_/o_), variable ports, shared folder, recursive maplets</w:t>
            </w:r>
          </w:p>
          <w:p>
            <w:pPr>
              <w:spacing w:before="40" w:after="50"/>
            </w:pPr>
            <w:r>
              <w:rPr>
                <w:rFonts w:ascii="Calibri" w:cs="Calibri" w:eastAsia="Calibri" w:hAnsi="Calibri"/>
                <w:b/>
                <w:bCs/>
                <w:sz w:val="22"/>
                <w:szCs w:val="22"/>
              </w:rPr>
              <w:t xml:space="preserve">Additional issues identified: </w:t>
            </w:r>
            <w:r>
              <w:rPr>
                <w:rFonts w:ascii="Calibri" w:cs="Calibri" w:eastAsia="Calibri" w:hAnsi="Calibri"/>
                <w:sz w:val="22"/>
                <w:szCs w:val="22"/>
              </w:rPr>
              <w:t xml:space="preserve">Multi-line SQL encoding, encoding mismatch, SHORTCUT forms, nested maplet cycles, self-referencing variables, aggregator port classification, multiple sessions per mapping, reusable sessions, Informatica type names</w:t>
            </w:r>
          </w:p>
        </w:tc>
      </w:tr>
    </w:tbl>
    <w:p>
      <w:pPr>
        <w:pStyle w:val="Heading1"/>
        <w:pageBreakBefore/>
        <w:spacing w:before="0" w:after="240"/>
      </w:pPr>
      <w:r>
        <w:rPr>
          <w:rFonts w:ascii="Calibri" w:cs="Calibri" w:eastAsia="Calibri" w:hAnsi="Calibri"/>
          <w:b/>
          <w:bCs/>
          <w:color w:val="0D1B2A"/>
          <w:sz w:val="44"/>
          <w:szCs w:val="44"/>
        </w:rPr>
        <w:t xml:space="preserve">Chapter 1  —  XML File Format Issues</w:t>
      </w:r>
    </w:p>
    <w:p>
      <w:pPr>
        <w:spacing w:before="80" w:after="160"/>
      </w:pPr>
      <w:r>
        <w:rPr>
          <w:rFonts w:ascii="Calibri" w:cs="Calibri" w:eastAsia="Calibri" w:hAnsi="Calibri"/>
          <w:sz w:val="22"/>
          <w:szCs w:val="22"/>
        </w:rPr>
        <w:t xml:space="preserve">These issues occur before any mapping or transformation logic is reached. They cause the parser to either crash entirely or silently corrupt every expression and attribute value it reads. They must be fixed first — all other fixes are meaningless if the raw XML text is not being read correctly.</w:t>
      </w:r>
    </w:p>
    <w:p>
      <w:pPr>
        <w:pStyle w:val="Heading2"/>
        <w:spacing w:before="360" w:after="160"/>
      </w:pPr>
      <w:r>
        <w:rPr>
          <w:rFonts w:ascii="Calibri" w:cs="Calibri" w:eastAsia="Calibri" w:hAnsi="Calibri"/>
          <w:b/>
          <w:bCs/>
          <w:color w:val="065A82"/>
          <w:sz w:val="30"/>
          <w:szCs w:val="30"/>
        </w:rPr>
        <w:t xml:space="preserve">Issue 1.1  —  Special Characters in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XML Format  |  IMPACT: High  |  FREQUENCY: Every production file</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Informatica expressions routinely contain characters that are reserved in XML: apostrophes in date format strings, greater-than and less-than signs in filter conditions, ampersands in string concatenation, and double quotes in SQL literals. The Repository Manager XML exporter encodes these as XML entities: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What you see in the XML file: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EXPRESSION="TO_DATE(i_AS_OF_DT,&amp;apos;YYYYMMDD&amp;apos;)"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EXPRESSION="BAL_AMT &amp;gt; 0 AND STATUS &amp;lt;&amp;gt; &amp;apos;CLOSED&amp;apos;"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EXPRESSION="FIRST_NM &amp;amp;&amp;amp; LAST_NM"</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VALUE="SELECT ... &amp;#xD;&amp;#xA;FROM ETL_BATCH_RUN&amp;#xD;&amp;#xA;GROUP BY APPL"</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What it should mean after decoding:</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TO_DATE(i_AS_OF_DT,'YYYYMMDD')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BAL_AMT &gt; 0 AND STATUS &lt;&gt; 'CLOSED'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FIRST_NM &amp;&amp; LAST_NM</w:t>
      </w:r>
    </w:p>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Why It Fails</w:t>
      </w:r>
    </w:p>
    <w:p>
      <w:pPr>
        <w:spacing w:before="80" w:after="160"/>
      </w:pPr>
      <w:r>
        <w:rPr>
          <w:rFonts w:ascii="Calibri" w:cs="Calibri" w:eastAsia="Calibri" w:hAnsi="Calibri"/>
          <w:sz w:val="22"/>
          <w:szCs w:val="22"/>
        </w:rPr>
        <w:t xml:space="preserve">The lxml parser is configured with resolve_entities=False (required to suppress the DTD fetch). This flag prevents lxml from automatically decoding XML entities. The result is that your parsed expression contains literal &amp;apos; strings rather than apostrophes. Every formula in the STTM output is unreadable.</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After reading any attribute value from the XML, run it through a post-processing decode function before storing it. Apply this function to every single ET.get() call without exception: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import html</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clean(text):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not text: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text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Standard HTML entity decode (handles &amp;amp; &amp;lt; &amp;gt; &amp;quot; etc.)</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text = html.unescape(text)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Informatica-specific entities not covered by html.unescape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text = text.replace('&amp;apos;',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text = text.replace('&amp;#xD;',   '\r')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text = text.replace('&amp;#xA;',   '\n')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text = text.replace('&amp;#x9;',   '\t')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text.strip()</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Apply to EVERY attribute read: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expression = clean(tf.get('EXPRESSION',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attr_value = clean(ta.get('VALUE',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owner_name = clean(src.get('OWNERNAME', ''))</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1.2  —  Multi-line SQL Encoded as &amp;#xD;&amp;#xA;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XML Format  |  IMPACT: High  |  FREQUENCY: Any mapping with SQL overrides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Source Qualifier SQL overrides, Lookup SQL overrides, and Stored Procedure calls often span multiple lines. In the XML these line breaks are encoded as &amp;#xD;&amp;#xA; (carriage return + line feed). Without decoding them, the SQL appears as a single unbroken string with &amp;#xD;&amp;#xA; literals embedded, making it completely unreadable.</w:t>
      </w:r>
    </w:p>
    <w:p>
      <w:pPr>
        <w:spacing w:before="80" w:after="160"/>
      </w:pPr>
      <w:r>
        <w:rPr>
          <w:rFonts w:ascii="Calibri" w:cs="Calibri" w:eastAsia="Calibri" w:hAnsi="Calibri"/>
          <w:sz w:val="22"/>
          <w:szCs w:val="22"/>
        </w:rPr>
        <w:t xml:space="preserve">This is visible in the screenshots you shared — the Lookup SQL Override for lkp_ETL_BATCH_RUN contains a multi-line SELECT statement that would appear garbled without the decode.</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The clean() function from Issue 1.1 handles this automatically since &amp;#xD; and &amp;#xA; are decoded to real line break characters. Additionally, when writing these values to Excel cells, configure openpyxl to wrap text and calculate row height based on line count: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When writing SQL to an Excel cell:</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cell.alignment = Alignment(wrap_text=True, vertical='top')</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Calculate row height based on number of lines in the value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line_count = str(value).count('\n') + 1</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ws.row_dimensions[row].height = max(38, line_count * 15)</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1.3  —  ISO-8859-1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5A82" w:val="clear"/>
            <w:tcMar>
              <w:top w:type="dxa" w:w="120"/>
              <w:left w:type="dxa" w:w="200"/>
              <w:bottom w:type="dxa" w:w="120"/>
              <w:right w:type="dxa" w:w="140"/>
            </w:tcMar>
          </w:tcPr>
          <w:p>
            <w:r>
              <w:rPr>
                <w:rFonts w:ascii="Calibri" w:cs="Calibri" w:eastAsia="Calibri" w:hAnsi="Calibri"/>
                <w:b/>
                <w:bCs/>
                <w:color w:val="FFFFFF"/>
                <w:sz w:val="22"/>
                <w:szCs w:val="22"/>
              </w:rPr>
              <w:t xml:space="preserve">CATEGORY: XML Format  |  IMPACT: Medium  |  FREQUENCY: Oracle-connected repositories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Your XML header declares </w:t>
      </w:r>
      <w:r>
        <w:rPr>
          <w:rFonts w:ascii="Courier New" w:cs="Courier New" w:eastAsia="Courier New" w:hAnsi="Courier New"/>
          <w:color w:val="1E3A5F"/>
          <w:sz w:val="18"/>
          <w:szCs w:val="18"/>
        </w:rPr>
        <w:t xml:space="preserve">encoding="ISO-8859-1"</w:t>
      </w:r>
      <w:r>
        <w:rPr>
          <w:rFonts w:ascii="Calibri" w:cs="Calibri" w:eastAsia="Calibri" w:hAnsi="Calibri"/>
          <w:sz w:val="22"/>
          <w:szCs w:val="22"/>
        </w:rPr>
        <w:t xml:space="preserve">. Some Informatica environments have description fields or comments containing accented characters (é, ñ, ü) or currency symbols (£, €). If any code opens the file with Python's open() using UTF-8 encoding, it crashes on these characters.</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Never open the XML file with Python's open(). Always pass the file path directly to ET.parse() and let lxml detect and handle encoding from the XML declaration. This is a single rule that prevents all encoding-related crashes: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CORRECT — let lxml handle encoding</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xp   = ET.XMLParser(load_dtd=False, no_network=True,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resolve_entities=False, recover=True)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tree = ET.parse(xml_path, xp)   # lxml reads encoding from header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WRONG — never do this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with open(xml_path, 'r', encoding='utf-8') as f:  # crashes on ISO chars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content = f.read()</w:t>
      </w:r>
    </w:p>
    <w:p>
      <w:pPr>
        <w:pBdr>
          <w:bottom w:val="single" w:color="CBD5E1" w:sz="3"/>
        </w:pBdr>
        <w:spacing w:before="200" w:after="200"/>
      </w:pPr>
      <w:r>
        <w:rPr>
          <w:rFonts w:ascii="Calibri" w:cs="Calibri" w:eastAsia="Calibri" w:hAnsi="Calibri"/>
          <w:sz w:val="22"/>
          <w:szCs w:val="22"/>
        </w:rPr>
        <w:t xml:space="preserve"/>
      </w:r>
    </w:p>
    <w:p>
      <w:pPr>
        <w:pStyle w:val="Heading1"/>
        <w:pageBreakBefore/>
        <w:spacing w:before="0" w:after="240"/>
      </w:pPr>
      <w:r>
        <w:rPr>
          <w:rFonts w:ascii="Calibri" w:cs="Calibri" w:eastAsia="Calibri" w:hAnsi="Calibri"/>
          <w:b/>
          <w:bCs/>
          <w:color w:val="0D1B2A"/>
          <w:sz w:val="44"/>
          <w:szCs w:val="44"/>
        </w:rPr>
        <w:t xml:space="preserve">Chapter 2  —  Port Naming Convention Issues</w:t>
      </w:r>
    </w:p>
    <w:p>
      <w:pPr>
        <w:spacing w:before="80" w:after="160"/>
      </w:pPr>
      <w:r>
        <w:rPr>
          <w:rFonts w:ascii="Calibri" w:cs="Calibri" w:eastAsia="Calibri" w:hAnsi="Calibri"/>
          <w:sz w:val="22"/>
          <w:szCs w:val="22"/>
        </w:rPr>
        <w:t xml:space="preserve">These issues are caused by Informatica development team naming standards — prefixes like i_, o_, and v_ on port names — and by the distinction between different types of ports (input, output, variable). They do not crash the parser but they produce incorrect or incomplete lineage chains and unreadable logic strings.</w:t>
      </w:r>
    </w:p>
    <w:p>
      <w:pPr>
        <w:pStyle w:val="Heading2"/>
        <w:spacing w:before="360" w:after="160"/>
      </w:pPr>
      <w:r>
        <w:rPr>
          <w:rFonts w:ascii="Calibri" w:cs="Calibri" w:eastAsia="Calibri" w:hAnsi="Calibri"/>
          <w:b/>
          <w:bCs/>
          <w:color w:val="065A82"/>
          <w:sz w:val="30"/>
          <w:szCs w:val="30"/>
        </w:rPr>
        <w:t xml:space="preserve">Issue 2.1  —  Source Qualifier Renames Columns with i_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Port Naming  |  IMPACT: High  |  FREQUENCY: Very common in enterprise environments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When a source column CUST_ID enters a Source Qualifier, many development teams rename the output port to i_CUST_ID following an input-prefix convention. This column then enters an Expression transformation as i_CUST_ID and exits as o_CUST_ID. The CONNECTOR tags correctly record every rename. But a parser that tries to match source column names to downstream port names by string comparison will fail at every rename point — it looks for CUST_ID in the graph but finds only i_CUST_ID.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Source definition:   CUST_ID        (in OPB_SRC_FLD)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SQ output port:      i_CUST_ID      (CONNECTOR: CUST_ID → i_CUST_ID)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Expression input:    i_CUST_ID      (CONNECTOR: i_CUST_ID → i_CUST_ID)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Expression output:   o_CUST_ID      (expression: o_CUST_ID = i_CUST_ID)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Next transform:      CUST_ID        (CONNECTOR: o_CUST_ID → CUST_ID)</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Never use column name matching to build the lineage graph. Build the graph exclusively from CONNECTOR tags. The CONNECTOR is the ground truth — it records every port-to-port connection including renames. When the graph is built from CONNECTORs only, the i_/o_ renames are transparent — the BFS trace follows CONNECTOR edges regardless of what the port is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14"/>
              <w:bottom w:val="none" w:color="FFFFFF" w:sz="0"/>
              <w:right w:val="none" w:color="FFFFFF" w:sz="0"/>
            </w:tcBorders>
            <w:shd w:fill="DCFCE7" w:val="clear"/>
            <w:tcMar>
              <w:top w:type="dxa" w:w="140"/>
              <w:left w:type="dxa" w:w="260"/>
              <w:bottom w:type="dxa" w:w="140"/>
              <w:right w:type="dxa" w:w="140"/>
            </w:tcMar>
          </w:tcPr>
          <w:p>
            <w:pPr>
              <w:spacing w:before="40" w:after="50"/>
            </w:pPr>
            <w:r>
              <w:rPr>
                <w:rFonts w:ascii="Calibri" w:cs="Calibri" w:eastAsia="Calibri" w:hAnsi="Calibri"/>
                <w:sz w:val="22"/>
                <w:szCs w:val="22"/>
              </w:rPr>
              <w:t xml:space="preserve">Rule: The lineage graph must be built from CONNECTOR tags only. Column name matching must never be used to infer or supplement connections. If a lineage chain appears broken, the fix is always to find the missing CONNECTOR tag, never to add name-based inference.</w:t>
            </w:r>
          </w:p>
        </w:tc>
      </w:tr>
    </w:tbl>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2.2  —  i_ / o_ / v_ Prefixes Confuse Business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5A82" w:val="clear"/>
            <w:tcMar>
              <w:top w:type="dxa" w:w="120"/>
              <w:left w:type="dxa" w:w="200"/>
              <w:bottom w:type="dxa" w:w="120"/>
              <w:right w:type="dxa" w:w="140"/>
            </w:tcMar>
          </w:tcPr>
          <w:p>
            <w:r>
              <w:rPr>
                <w:rFonts w:ascii="Calibri" w:cs="Calibri" w:eastAsia="Calibri" w:hAnsi="Calibri"/>
                <w:b/>
                <w:bCs/>
                <w:color w:val="FFFFFF"/>
                <w:sz w:val="22"/>
                <w:szCs w:val="22"/>
              </w:rPr>
              <w:t xml:space="preserve">CATEGORY: Port Naming  |  IMPACT: Medium  |  FREQUENCY: Teams following naming standards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When the STTM Excel shows intermediate port names like i_CUST_ID, o_BAL_USD_AMT, or v_RUNNING_TOTAL in the transformation chain column, business users are confused. They recognise CUST_ID and BAL_USD_AMT but not the prefixed versions. The lineage is correct but unreadable.</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Strip i_, o_, and v_ prefixes in the display layer only — never in the graph itself. The graph must retain exact port names to function correctly. Only strip prefixes when formatting the column flow map for Excel output: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display_port_name(port_name):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'''Strip i_/o_/v_ prefix for display only.'''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for prefix in ('i_', 'o_', 'v_', 'in_', 'out_'):</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port_name.lower().startswith(prefix):</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port_name[len(prefix):]</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port_name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ONLY use this function in Excel output formatting</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NEVER use it when building or querying the lineage graph</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2.3  —  Variable Ports in Expression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Port Naming  |  IMPACT: High  |  FREQUENCY: Common — intermediate calculations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Variable ports (PORTTYPE="VARIABLE") are intermediate calculation steps inside an Expression transformation. They are never connected to anything outside — no CONNECTOR tag references them. But output ports reference them in their expressions. Without resolving variable ports, the output expression is shown with a variable name placeholder rather than the actual formula:</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Variable port:  v_FULL_NM  EXPRESSION = LTRIM(RTRIM(FIRST_NM))||' '||LAST_NM</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Output port:    o_CUST_NM  EXPRESSION = IIF(ISNULL(v_FULL_NM),'UNKNOWN',v_FULL_NM)</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Without variable resolution, STTM shows: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o_CUST_NM = IIF(ISNULL(v_FULL_NM),'UNKNOWN',v_FULL_NM)   ← meaningless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With variable resolution, STTM should show:</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o_CUST_NM = IIF(ISNULL(LTRIM(RTRIM(FIRST_NM))||' '||LAST_NM),</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'UNKNOWN',LTRIM(RTRIM(FIRST_NM))||' '||LAST_NM)</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After parsing all TRANSFORMFIELD tags for an Expression transformation, build a variable dictionary for all VARIABLE ports. Then recursively substitute variable references in every output port expression before storing it: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resolve_variables(expression, var_dict, depth=0):</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depth &gt; 10:               # prevent infinite recursion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for var_name, var_expr in var_dict.items():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var_name in 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Self-reference check — prevents infinite loop</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var_name in var_expr: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continue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 = expression.replace(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var_name, f'({var_expr})')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 = resolve_variables(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 var_dict, depth + 1)</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Usage — after parsing all ports of an Expression transformation: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var_dict = {p.name: p.expression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for p in ports if p.port_type == 'VARIABLE'}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for port in ports: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'OUTPUT' in port.port_type: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port.expression = resolve_variables(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port.expression, var_dict)</w:t>
      </w:r>
    </w:p>
    <w:p>
      <w:pPr>
        <w:pBdr>
          <w:bottom w:val="single" w:color="CBD5E1" w:sz="3"/>
        </w:pBdr>
        <w:spacing w:before="200" w:after="200"/>
      </w:pPr>
      <w:r>
        <w:rPr>
          <w:rFonts w:ascii="Calibri" w:cs="Calibri" w:eastAsia="Calibri" w:hAnsi="Calibri"/>
          <w:sz w:val="22"/>
          <w:szCs w:val="22"/>
        </w:rPr>
        <w:t xml:space="preserve"/>
      </w:r>
    </w:p>
    <w:p>
      <w:pPr>
        <w:pStyle w:val="Heading1"/>
        <w:pageBreakBefore/>
        <w:spacing w:before="0" w:after="240"/>
      </w:pPr>
      <w:r>
        <w:rPr>
          <w:rFonts w:ascii="Calibri" w:cs="Calibri" w:eastAsia="Calibri" w:hAnsi="Calibri"/>
          <w:b/>
          <w:bCs/>
          <w:color w:val="0D1B2A"/>
          <w:sz w:val="44"/>
          <w:szCs w:val="44"/>
        </w:rPr>
        <w:t xml:space="preserve">Chapter 3  —  Shared Folder and SHORTCUT Issues</w:t>
      </w:r>
    </w:p>
    <w:p>
      <w:pPr>
        <w:spacing w:before="80" w:after="160"/>
      </w:pPr>
      <w:r>
        <w:rPr>
          <w:rFonts w:ascii="Calibri" w:cs="Calibri" w:eastAsia="Calibri" w:hAnsi="Calibri"/>
          <w:sz w:val="22"/>
          <w:szCs w:val="22"/>
        </w:rPr>
        <w:t xml:space="preserve">These are the issues you encountered directly when running the parser against the 2_CRDM_Shared folder. They represent the most important architectural gap in the current parser — the assumption that a single XML file contains a complete, self-contained mapping.</w:t>
      </w:r>
    </w:p>
    <w:p>
      <w:pPr>
        <w:pStyle w:val="Heading2"/>
        <w:spacing w:before="360" w:after="160"/>
      </w:pPr>
      <w:r>
        <w:rPr>
          <w:rFonts w:ascii="Calibri" w:cs="Calibri" w:eastAsia="Calibri" w:hAnsi="Calibri"/>
          <w:b/>
          <w:bCs/>
          <w:color w:val="065A82"/>
          <w:sz w:val="30"/>
          <w:szCs w:val="30"/>
        </w:rPr>
        <w:t xml:space="preserve">Issue 3.1  —  Shared Folder Has No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Shared Folder  |  IMPACT: High  |  FREQUENCY: All enterprise environments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Your XML has </w:t>
      </w:r>
      <w:r>
        <w:rPr>
          <w:rFonts w:ascii="Courier New" w:cs="Courier New" w:eastAsia="Courier New" w:hAnsi="Courier New"/>
          <w:color w:val="1E3A5F"/>
          <w:sz w:val="18"/>
          <w:szCs w:val="18"/>
        </w:rPr>
        <w:t xml:space="preserve">SHARED="SHARED"</w:t>
      </w:r>
      <w:r>
        <w:rPr>
          <w:rFonts w:ascii="Calibri" w:cs="Calibri" w:eastAsia="Calibri" w:hAnsi="Calibri"/>
          <w:sz w:val="22"/>
          <w:szCs w:val="22"/>
        </w:rPr>
        <w:t xml:space="preserve"> on the FOLDER tag. This is not a working folder — it is a library of reusable objects. It contains standalone TRANSFORMATION and MAPPLET tags at folder level but no MAPPING tags. The parser searches for MAPPING children of FOLDER, finds none, reports 0 mappings, and exits. All the reusable objects — exp_TPR_AS_OF_DT, lkp_ETL_BATCH_RUN, mplt_PROCESS_FIELDS — are completely ignored.</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Before attempting to parse for mappings, detect the folder type from the SHARED attribute. If shared, switch to a registry-only parse mode that registers all objects without expecting any mappings: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parse(self, xml_path):</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 setup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folder = root.find('.//FOLDER')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Detect shared 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folder is not None: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shared = folder.get('SHARED', 'NOTSHARED')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shared == 'SHARED':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print(f'[SHARED] {xml_path} is a shared 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 '         Registering objects for reference.')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Parse only definitions — no mapping resolution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self._parse_sources(folder)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self._parse_targets(folder)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self._parse_global_maplets(folder)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self._parse_global_transforms(folder)  # NEW</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 Do not attempt to find mappings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Normal working folder parse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self._parse_sources(folder)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self._parse_targets(folder)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self._parse_global_maplets(folder)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self._parse_mappings(folder)</w:t>
      </w:r>
    </w:p>
    <w:p>
      <w:pPr>
        <w:spacing w:before="80" w:after="160"/>
      </w:pPr>
      <w:r>
        <w:rPr>
          <w:rFonts w:ascii="Calibri" w:cs="Calibri" w:eastAsia="Calibri" w:hAnsi="Calibri"/>
          <w:sz w:val="22"/>
          <w:szCs w:val="22"/>
        </w:rPr>
        <w:t xml:space="preserve">Add a new method _parse_global_transforms() that reads standalone TRANSFORMATION tags at folder level (those not inside any MAPPING) and registers them in a shared transformation registry, exactly as maplets are registered.</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3.2  —  Working Folder References Shared Objects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Shared Folder  |  IMPACT: High  |  FREQUENCY: All enterprise environments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A mapping in the working folder uses a source, transformation, or maplet that is defined in the shared folder. In the working folder XML, this appears either as a SHORTCUT tag or as an INSTANCE tag with a REFERENCEFOLDERNAME attribute pointing to the shared folder. The object definition is absent from the working folder XML. The parser finds the INSTANCE reference but cannot resolve it — it is not in the registry — and marks those lineage rows as UNCONNECTED.</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Support multi-file parsing. The parser's global registries persist across multiple parse() calls. Load the shared folder XML first to populate the registries, then load the working folder XML. When the working folder's INSTANCE tags are resolved, the shared objects are already in the registry: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Correct usage for an enterprise environment: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resolver = ParamResolver(['params_prod.par'])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parser   = MappingParser(resolver)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Step 1: Load shared folder first (populates global registries)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parser.parse('2_CRDM_Shared.xml')</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Step 2: Load working folder (resolves SHORTCUTs from registry)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parser.parse('3_CRDM_TPR.xml')</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Step 3: Generate output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writer = MappingExcelWriter('output.xlsx')</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writer.generate(parser)</w:t>
      </w:r>
    </w:p>
    <w:p>
      <w:pPr>
        <w:spacing w:before="80" w:after="160"/>
      </w:pPr>
      <w:r>
        <w:rPr>
          <w:rFonts w:ascii="Calibri" w:cs="Calibri" w:eastAsia="Calibri" w:hAnsi="Calibri"/>
          <w:sz w:val="22"/>
          <w:szCs w:val="22"/>
        </w:rPr>
        <w:t xml:space="preserve">Also handle the REFERENCEFOLDERNAME attribute during INSTANCE tag processing to detect cross-folder references explicitly: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for inst in mp.findall('INSTANCE'):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ref_folder = inst.get('REFERENCEFOLDERNAME',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ref_name   = inst.get('TRANSFORMATION_NAME',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ref_folder and ref_name not in self.maplets: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print(f'[WARN] Cross-folder ref: {ref_name}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f'from {ref_folder} — load that folder XML first')</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3.3  —  SHORTCUT Tag Form vs INSTANCE with REFERENCEFOLDERNAME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5A82" w:val="clear"/>
            <w:tcMar>
              <w:top w:type="dxa" w:w="120"/>
              <w:left w:type="dxa" w:w="200"/>
              <w:bottom w:type="dxa" w:w="120"/>
              <w:right w:type="dxa" w:w="140"/>
            </w:tcMar>
          </w:tcPr>
          <w:p>
            <w:r>
              <w:rPr>
                <w:rFonts w:ascii="Calibri" w:cs="Calibri" w:eastAsia="Calibri" w:hAnsi="Calibri"/>
                <w:b/>
                <w:bCs/>
                <w:color w:val="FFFFFF"/>
                <w:sz w:val="22"/>
                <w:szCs w:val="22"/>
              </w:rPr>
              <w:t xml:space="preserve">CATEGORY: Shared Folder  |  IMPACT: Medium  |  FREQUENCY: Varies by PC version</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Shared folder references appear in two different XML forms depending on the PowerCenter version and export method. In older versions a SHORTCUT tag appears directly inside FOLDER. In newer versions the reference appears as a regular INSTANCE tag with an additional REFERENCEFOLDERNAME attribute. The parser currently handles neither form explicitly.</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Handle both forms. During the folder-level scan, register any SHORTCUT tags encountered. During INSTANCE processing, check for REFERENCEFOLDERNAME. Both paths should attempt lookup in the shared registry and produce a clear warning if the object is not found: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Handle explicit SHORTCUT tags at folder level</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for sc in folder.findall('SHORTCUT'):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sc_name     = sc.get('NAME',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sc_ref_name = sc.get('REF_OBJECT_NAME', sc_name)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sc_folder   = sc.get('REF_FOLDER_NAME',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resolved = (self.maplets.get(sc_ref_name) or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self._g_sources.get(sc_ref_name) or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self._shared_transforms.get(sc_ref_name))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resolved: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self._shortcut_map[sc_name] = resolved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else: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print(f'[SHORTCUT] {sc_name} → {sc_ref_name}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f'in {sc_folder} — not found in registry')</w:t>
      </w:r>
    </w:p>
    <w:p>
      <w:pPr>
        <w:pBdr>
          <w:bottom w:val="single" w:color="CBD5E1" w:sz="3"/>
        </w:pBdr>
        <w:spacing w:before="200" w:after="200"/>
      </w:pPr>
      <w:r>
        <w:rPr>
          <w:rFonts w:ascii="Calibri" w:cs="Calibri" w:eastAsia="Calibri" w:hAnsi="Calibri"/>
          <w:sz w:val="22"/>
          <w:szCs w:val="22"/>
        </w:rPr>
        <w:t xml:space="preserve"/>
      </w:r>
    </w:p>
    <w:p>
      <w:pPr>
        <w:pStyle w:val="Heading1"/>
        <w:pageBreakBefore/>
        <w:spacing w:before="0" w:after="240"/>
      </w:pPr>
      <w:r>
        <w:rPr>
          <w:rFonts w:ascii="Calibri" w:cs="Calibri" w:eastAsia="Calibri" w:hAnsi="Calibri"/>
          <w:b/>
          <w:bCs/>
          <w:color w:val="0D1B2A"/>
          <w:sz w:val="44"/>
          <w:szCs w:val="44"/>
        </w:rPr>
        <w:t xml:space="preserve">Chapter 4  —  Recursive and Nested Logic Issues</w:t>
      </w:r>
    </w:p>
    <w:p>
      <w:pPr>
        <w:spacing w:before="80" w:after="160"/>
      </w:pPr>
      <w:r>
        <w:rPr>
          <w:rFonts w:ascii="Calibri" w:cs="Calibri" w:eastAsia="Calibri" w:hAnsi="Calibri"/>
          <w:sz w:val="22"/>
          <w:szCs w:val="22"/>
        </w:rPr>
        <w:t xml:space="preserve">These issues arise when the transformation logic is self-referential or deeply nested. Without proper guards, they cause infinite loops at runtime or produce incomplete logic strings that are impossible to trace manually.</w:t>
      </w:r>
    </w:p>
    <w:p>
      <w:pPr>
        <w:pStyle w:val="Heading2"/>
        <w:spacing w:before="360" w:after="160"/>
      </w:pPr>
      <w:r>
        <w:rPr>
          <w:rFonts w:ascii="Calibri" w:cs="Calibri" w:eastAsia="Calibri" w:hAnsi="Calibri"/>
          <w:b/>
          <w:bCs/>
          <w:color w:val="065A82"/>
          <w:sz w:val="30"/>
          <w:szCs w:val="30"/>
        </w:rPr>
        <w:t xml:space="preserve">Issue 4.1  —  Nested Maplets (Maplet Inside a Maplet)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Recursion  |  IMPACT: High  |  FREQUENCY: Complex shared maplets like mplt_PROCESS_FIELDS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Your mplt_PROCESS_FIELDS contains lkp_ETL_CODE and exp_TGT_ANCHOR as internal transformations. In more complex environments, a maplet contains another maplet as one of its internal elements. The current recursive resolver has a visited-set but does not track depth. At three or four levels of nesting, partial resolution occurs silently — some internal expressions are captured, others are not, and there is no indication that nesting was the cause.</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Implement explicit depth tracking and a resolution audit log. Every call to the maplet resolver should record what was resolved and at what depth:</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resolve_maplet(self, maplet_name, visited=None, depth=0):</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visited is None: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visited = set()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depth &gt; 5:</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print(f'[WARN] Maplet nesting depth &gt; 5: {maplet_name}')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 '       Stopping recursion. Manual review needed.')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None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maplet_name in visited: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print(f'[WARN] Circular maplet reference: {maplet_name}')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print( '       This maplet references itself — breaking cycle.')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None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visited.add(maplet_name)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 = self.maplets.get(maplet_name)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t is None: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None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Recursively resolve any nested maplet internals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for internal in t.maplet_internals: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internal.trans_type == 'Maplet':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nested = self.resolve_maplet(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internal.name, set(visited), depth + 1)</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nested: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internal.ports = nested.ports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t</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4.2  —  Self-Referencing Variable Ports (Recursive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20"/>
              <w:left w:type="dxa" w:w="200"/>
              <w:bottom w:type="dxa" w:w="120"/>
              <w:right w:type="dxa" w:w="140"/>
            </w:tcMar>
          </w:tcPr>
          <w:p>
            <w:r>
              <w:rPr>
                <w:rFonts w:ascii="Calibri" w:cs="Calibri" w:eastAsia="Calibri" w:hAnsi="Calibri"/>
                <w:b/>
                <w:bCs/>
                <w:color w:val="FFFFFF"/>
                <w:sz w:val="22"/>
                <w:szCs w:val="22"/>
              </w:rPr>
              <w:t xml:space="preserve">CATEGORY: Recursion  |  IMPACT: High  |  FREQUENCY: Aggregator and running total patterns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In Aggregator and Expression transformations, some variable ports reference themselves to implement running totals or cumulative calculations. For example: v_RUNNING_BAL = v_RUNNING_BAL + PAYMENT_AMT. This is valid Informatica syntax — the previous row's value is carried forward. But if the variable resolver substitutes this expression recursively, it enters an infinite loop since v_RUNNING_BAL references v_RUNNING_BAL in its own expression.</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Before recursively substituting a variable, check if the variable name appears in its own expression. If it does, it is a self-referencing pattern — do not expand it. Mark it clearly in the output instead: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resolve_variables(expression, var_dict, depth=0):</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depth &gt; 10:</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for var_name, var_expr in var_dict.items():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var_name not in 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continue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Self-reference check</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var_name in var_expr: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Running total / accumulator pattern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 = expression.replace(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var_name,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f'[RUNNING:{var_name}={var_expr}]')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continue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 = expression.replace(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var_name, f'({var_expr})')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 = resolve_variables(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expression, var_dict, depth + 1)</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expression</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4.3  —  Aggregator Group-By Ports vs Aggregate Output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5A82" w:val="clear"/>
            <w:tcMar>
              <w:top w:type="dxa" w:w="120"/>
              <w:left w:type="dxa" w:w="200"/>
              <w:bottom w:type="dxa" w:w="120"/>
              <w:right w:type="dxa" w:w="140"/>
            </w:tcMar>
          </w:tcPr>
          <w:p>
            <w:r>
              <w:rPr>
                <w:rFonts w:ascii="Calibri" w:cs="Calibri" w:eastAsia="Calibri" w:hAnsi="Calibri"/>
                <w:b/>
                <w:bCs/>
                <w:color w:val="FFFFFF"/>
                <w:sz w:val="22"/>
                <w:szCs w:val="22"/>
              </w:rPr>
              <w:t xml:space="preserve">CATEGORY: Recursion  |  IMPACT: Medium  |  FREQUENCY: Any mapping with Aggregator transformation</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In an Aggregator transformation, group-by ports and aggregate output ports both have PORTTYPE="INPUT/OUTPUT" or "OUTPUT" — they look identical in the XML. A group-by port simply passes data through with no calculation. An aggregate port has an expression like SUM(PAYMENT_AMT) or COUNT(*). Treating them the same causes group-by columns to appear as having a formula when they do not, misleading the business user about what calculation is applied.</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For Aggregator transformations specifically, check the IS_PARTITION_KEY attribute on each TRANSFORMFIELD. A value of 1 indicates a group-by port. Build the logic string accordingly: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build_logic_aggregator(self, port):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is_group_by = port.is_partition_key  # True/False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is_group_by: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'GROUP BY — pass-through (no aggregation)'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port.expression: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f'AGG: {port.expression}'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'Pass-through'</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In _parse_inline_transform(), capture IS_PARTITION_KEY: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for tf in el.findall('TRANSFORMFIELD'):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port = TransformPort(...)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port.is_partition_key = tf.get('IS_PARTITION_KEY','0') == '1'</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t.ports.append(port)</w:t>
      </w:r>
    </w:p>
    <w:p>
      <w:pPr>
        <w:pBdr>
          <w:bottom w:val="single" w:color="CBD5E1" w:sz="3"/>
        </w:pBdr>
        <w:spacing w:before="200" w:after="200"/>
      </w:pPr>
      <w:r>
        <w:rPr>
          <w:rFonts w:ascii="Calibri" w:cs="Calibri" w:eastAsia="Calibri" w:hAnsi="Calibri"/>
          <w:sz w:val="22"/>
          <w:szCs w:val="22"/>
        </w:rPr>
        <w:t xml:space="preserve"/>
      </w:r>
    </w:p>
    <w:p>
      <w:pPr>
        <w:pStyle w:val="Heading1"/>
        <w:pageBreakBefore/>
        <w:spacing w:before="0" w:after="240"/>
      </w:pPr>
      <w:r>
        <w:rPr>
          <w:rFonts w:ascii="Calibri" w:cs="Calibri" w:eastAsia="Calibri" w:hAnsi="Calibri"/>
          <w:b/>
          <w:bCs/>
          <w:color w:val="0D1B2A"/>
          <w:sz w:val="44"/>
          <w:szCs w:val="44"/>
        </w:rPr>
        <w:t xml:space="preserve">Chapter 5  —  Session and Execution Order Issues</w:t>
      </w:r>
    </w:p>
    <w:p>
      <w:pPr>
        <w:spacing w:before="80" w:after="160"/>
      </w:pPr>
      <w:r>
        <w:rPr>
          <w:rFonts w:ascii="Calibri" w:cs="Calibri" w:eastAsia="Calibri" w:hAnsi="Calibri"/>
          <w:sz w:val="22"/>
          <w:szCs w:val="22"/>
        </w:rPr>
        <w:t xml:space="preserve">These issues affect execution order detection — which transformations run in parallel versus sequentially. They do not break lineage column tracing but they produce incorrect or missing pipeline and stage information in the STTM output.</w:t>
      </w:r>
    </w:p>
    <w:p>
      <w:pPr>
        <w:pStyle w:val="Heading2"/>
        <w:spacing w:before="360" w:after="160"/>
      </w:pPr>
      <w:r>
        <w:rPr>
          <w:rFonts w:ascii="Calibri" w:cs="Calibri" w:eastAsia="Calibri" w:hAnsi="Calibri"/>
          <w:b/>
          <w:bCs/>
          <w:color w:val="065A82"/>
          <w:sz w:val="30"/>
          <w:szCs w:val="30"/>
        </w:rPr>
        <w:t xml:space="preserve">Issue 5.1  —  Multiple Sessions Pointing to the Same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5A82" w:val="clear"/>
            <w:tcMar>
              <w:top w:type="dxa" w:w="120"/>
              <w:left w:type="dxa" w:w="200"/>
              <w:bottom w:type="dxa" w:w="120"/>
              <w:right w:type="dxa" w:w="140"/>
            </w:tcMar>
          </w:tcPr>
          <w:p>
            <w:r>
              <w:rPr>
                <w:rFonts w:ascii="Calibri" w:cs="Calibri" w:eastAsia="Calibri" w:hAnsi="Calibri"/>
                <w:b/>
                <w:bCs/>
                <w:color w:val="FFFFFF"/>
                <w:sz w:val="22"/>
                <w:szCs w:val="22"/>
              </w:rPr>
              <w:t xml:space="preserve">CATEGORY: Session  |  IMPACT: Medium  |  FREQUENCY: Full load + incremental load patterns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In many ETL frameworks the same mapping is run by two sessions — one for full load (typically once monthly) and one for incremental load (daily). These two sessions may have different PIPELINE and STAGE configurations because they use different partition settings or different source filter conditions. The parser picks whichever session it encounters first in the XML and uses its PIPELINE/STAGE data for the entire mapping. The other session's execution structure is silently ignored.</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When multiple sessions point to the same mapping, detect this during session parsing and generate a separate execution order sheet for each session in the Excel output. Label each sheet clearly:</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During session parsing, build a dict: mapping_name → [session_list]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mapping_sessions = defaultdict(list)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for s_name, sess in parser.sessions.items():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mapping_sessions[sess.mapping_name].append(sess)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When generating exec order sheets: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for m_name, mapping in parser.mappings.items():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sessions = mapping_sessions.get(m_name,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len(sessions) &gt; 1:</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for sess in sessions: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safe_sess = sess.name[:10]</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sheet_name = f'{safe_m}_{safe_sess}_ExecOrd'</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Generate separate exec order for each session</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elif len(sessions) == 1:</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Normal single-session path</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Issue 5.2  —  Reusable Sessions Shared Across Multiple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5A82" w:val="clear"/>
            <w:tcMar>
              <w:top w:type="dxa" w:w="120"/>
              <w:left w:type="dxa" w:w="200"/>
              <w:bottom w:type="dxa" w:w="120"/>
              <w:right w:type="dxa" w:w="140"/>
            </w:tcMar>
          </w:tcPr>
          <w:p>
            <w:r>
              <w:rPr>
                <w:rFonts w:ascii="Calibri" w:cs="Calibri" w:eastAsia="Calibri" w:hAnsi="Calibri"/>
                <w:b/>
                <w:bCs/>
                <w:color w:val="FFFFFF"/>
                <w:sz w:val="22"/>
                <w:szCs w:val="22"/>
              </w:rPr>
              <w:t xml:space="preserve">CATEGORY: Session  |  IMPACT: Medium  |  FREQUENCY: Environments using reusable sessions</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A session marked REUSABLE="YES" can be placed in multiple workflows. When the parser searches for a session by name to get its PIPELINE/STAGE data, it may find multiple instances of the same session across different workflows. If it picks the wrong instance, the execution order shown in the STTM belongs to a different workflow than the one being documented.</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Scope session lookups to the specific workflow being processed. When resolving which session to use for a mapping's execution order, only consider sessions that are TASKINSTANCE children of the current workflow:</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find_session_for_mapping(self, mapping_name, workflow_name):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wf = self.workflows.get(workflow_name)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not wf:</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None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 Only look at sessions in THIS workflow</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for sess_name in wf.sessions: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sess = self.sessions.get(sess_name)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if sess and sess.mapping_name == mapping_name: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sess</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None</w:t>
      </w:r>
    </w:p>
    <w:p>
      <w:pPr>
        <w:pBdr>
          <w:bottom w:val="single" w:color="CBD5E1" w:sz="3"/>
        </w:pBdr>
        <w:spacing w:before="200" w:after="200"/>
      </w:pPr>
      <w:r>
        <w:rPr>
          <w:rFonts w:ascii="Calibri" w:cs="Calibri" w:eastAsia="Calibri" w:hAnsi="Calibri"/>
          <w:sz w:val="22"/>
          <w:szCs w:val="22"/>
        </w:rPr>
        <w:t xml:space="preserve"/>
      </w:r>
    </w:p>
    <w:p>
      <w:pPr>
        <w:pStyle w:val="Heading1"/>
        <w:pageBreakBefore/>
        <w:spacing w:before="0" w:after="240"/>
      </w:pPr>
      <w:r>
        <w:rPr>
          <w:rFonts w:ascii="Calibri" w:cs="Calibri" w:eastAsia="Calibri" w:hAnsi="Calibri"/>
          <w:b/>
          <w:bCs/>
          <w:color w:val="0D1B2A"/>
          <w:sz w:val="44"/>
          <w:szCs w:val="44"/>
        </w:rPr>
        <w:t xml:space="preserve">Chapter 6  —  Data Type and Display Issues</w:t>
      </w:r>
    </w:p>
    <w:p>
      <w:pPr>
        <w:spacing w:before="80" w:after="160"/>
      </w:pPr>
      <w:r>
        <w:rPr>
          <w:rFonts w:ascii="Calibri" w:cs="Calibri" w:eastAsia="Calibri" w:hAnsi="Calibri"/>
          <w:sz w:val="22"/>
          <w:szCs w:val="22"/>
        </w:rPr>
        <w:t xml:space="preserve">These issues do not affect the accuracy of lineage tracing but affect readability of the output for business users and data stewards who use the STTM as a reference document.</w:t>
      </w:r>
    </w:p>
    <w:p>
      <w:pPr>
        <w:pStyle w:val="Heading2"/>
        <w:spacing w:before="360" w:after="160"/>
      </w:pPr>
      <w:r>
        <w:rPr>
          <w:rFonts w:ascii="Calibri" w:cs="Calibri" w:eastAsia="Calibri" w:hAnsi="Calibri"/>
          <w:b/>
          <w:bCs/>
          <w:color w:val="065A82"/>
          <w:sz w:val="30"/>
          <w:szCs w:val="30"/>
        </w:rPr>
        <w:t xml:space="preserve">Issue 6.1  —  Informatica Internal Type Names vs Database Type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6534" w:val="clear"/>
            <w:tcMar>
              <w:top w:type="dxa" w:w="120"/>
              <w:left w:type="dxa" w:w="200"/>
              <w:bottom w:type="dxa" w:w="120"/>
              <w:right w:type="dxa" w:w="140"/>
            </w:tcMar>
          </w:tcPr>
          <w:p>
            <w:r>
              <w:rPr>
                <w:rFonts w:ascii="Calibri" w:cs="Calibri" w:eastAsia="Calibri" w:hAnsi="Calibri"/>
                <w:b/>
                <w:bCs/>
                <w:color w:val="FFFFFF"/>
                <w:sz w:val="22"/>
                <w:szCs w:val="22"/>
              </w:rPr>
              <w:t xml:space="preserve">CATEGORY: Data Types  |  IMPACT: Low  |  FREQUENCY: Every mapping</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What Happens</w:t>
      </w:r>
    </w:p>
    <w:p>
      <w:pPr>
        <w:spacing w:before="80" w:after="160"/>
      </w:pPr>
      <w:r>
        <w:rPr>
          <w:rFonts w:ascii="Calibri" w:cs="Calibri" w:eastAsia="Calibri" w:hAnsi="Calibri"/>
          <w:sz w:val="22"/>
          <w:szCs w:val="22"/>
        </w:rPr>
        <w:t xml:space="preserve">Informatica uses its own internal type system. TRANSFORMFIELD DATATYPE attributes contain Informatica type names like string, decimal, date/time, and integer. When these appear in the STTM output, business users and database developers see unfamiliar type names. They expect Oracle type names like VARCHAR2, NUMBER, DATE, and INTEGER. The lineage is correct but the STTM is not usable as a database design reference.</w:t>
      </w:r>
    </w:p>
    <w:p>
      <w:pPr>
        <w:pStyle w:val="Heading3"/>
        <w:spacing w:before="280" w:after="120"/>
      </w:pPr>
      <w:r>
        <w:rPr>
          <w:rFonts w:ascii="Calibri" w:cs="Calibri" w:eastAsia="Calibri" w:hAnsi="Calibri"/>
          <w:b/>
          <w:bCs/>
          <w:color w:val="0D1B2A"/>
          <w:sz w:val="24"/>
          <w:szCs w:val="24"/>
        </w:rPr>
        <w:t xml:space="preserve">The Fix</w:t>
      </w:r>
    </w:p>
    <w:p>
      <w:pPr>
        <w:spacing w:before="80" w:after="160"/>
      </w:pPr>
      <w:r>
        <w:rPr>
          <w:rFonts w:ascii="Calibri" w:cs="Calibri" w:eastAsia="Calibri" w:hAnsi="Calibri"/>
          <w:sz w:val="22"/>
          <w:szCs w:val="22"/>
        </w:rPr>
        <w:t xml:space="preserve">Maintain a type mapping dictionary and apply it when generating STTM output. Apply only in the display layer — store the original Informatica type in the data model:</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INFA_TO_ORACLE = {</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'string':         'VARCHAR2',</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'nstring':        'NVARCHAR2',</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'decimal':        'NUMBER',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'integer':        'INTEGER',</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'bigint':         'NUMBER(19)',</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'date/time':      'DATE',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'binary':         'RAW',</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'text':           'CLOB',</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'double':         'FLOAT',</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def display_type(infa_type, target_db='oracle'):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'''Convert Informatica type to database-native type name.'''</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mapping = INFA_TO_ORACLE   # extend for SQL Server, DB2 etc.</w:t>
      </w:r>
    </w:p>
    <w:p>
      <w:pPr>
        <w:pBdr>
          <w:left w:val="single" w:color="0284C7" w:sz="6"/>
        </w:pBdr>
        <w:shd w:fill="F8FAFC" w:val="clear"/>
        <w:spacing w:before="18" w:after="18"/>
        <w:ind w:left="560"/>
      </w:pPr>
      <w:r>
        <w:rPr>
          <w:rFonts w:ascii="Courier New" w:cs="Courier New" w:eastAsia="Courier New" w:hAnsi="Courier New"/>
          <w:color w:val="1E3A5F"/>
          <w:sz w:val="18"/>
          <w:szCs w:val="18"/>
        </w:rPr>
        <w:t xml:space="preserve">    return mapping.get(infa_type.lower(), infa_type)</w:t>
      </w:r>
    </w:p>
    <w:p>
      <w:pPr>
        <w:pBdr>
          <w:bottom w:val="single" w:color="CBD5E1" w:sz="3"/>
        </w:pBdr>
        <w:spacing w:before="200" w:after="200"/>
      </w:pPr>
      <w:r>
        <w:rPr>
          <w:rFonts w:ascii="Calibri" w:cs="Calibri" w:eastAsia="Calibri" w:hAnsi="Calibri"/>
          <w:sz w:val="22"/>
          <w:szCs w:val="22"/>
        </w:rPr>
        <w:t xml:space="preserve"/>
      </w:r>
    </w:p>
    <w:p>
      <w:pPr>
        <w:pStyle w:val="Heading1"/>
        <w:pageBreakBefore/>
        <w:spacing w:before="0" w:after="240"/>
      </w:pPr>
      <w:r>
        <w:rPr>
          <w:rFonts w:ascii="Calibri" w:cs="Calibri" w:eastAsia="Calibri" w:hAnsi="Calibri"/>
          <w:b/>
          <w:bCs/>
          <w:color w:val="0D1B2A"/>
          <w:sz w:val="44"/>
          <w:szCs w:val="44"/>
        </w:rPr>
        <w:t xml:space="preserve">Chapter 7  —  Complete Issue Summary Table</w:t>
      </w:r>
    </w:p>
    <w:p>
      <w:pPr>
        <w:spacing w:before="80" w:after="160"/>
      </w:pPr>
      <w:r>
        <w:rPr>
          <w:rFonts w:ascii="Calibri" w:cs="Calibri" w:eastAsia="Calibri" w:hAnsi="Calibri"/>
          <w:sz w:val="22"/>
          <w:szCs w:val="22"/>
        </w:rPr>
        <w:t xml:space="preserve">This table is the quick reference. When a parsing problem occurs, find the matching row and go to the corresponding chapter for the full fix.</w:t>
      </w:r>
    </w:p>
    <w:p>
      <w:pPr>
        <w:spacing w:before="0"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2400"/>
        <w:gridCol w:w="700"/>
        <w:gridCol w:w="4300"/>
      </w:tblGrid>
      <w:tr>
        <w:tc>
          <w:tcPr>
            <w:tcW w:type="dxa" w:w="5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w:t>
            </w:r>
          </w:p>
        </w:tc>
        <w:tc>
          <w:tcPr>
            <w:tcW w:type="dxa" w:w="1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Category</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Issue</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Impact</w:t>
            </w:r>
          </w:p>
        </w:tc>
        <w:tc>
          <w:tcPr>
            <w:tcW w:type="dxa" w:w="43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Fix Approach</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XML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Special characters — &amp;apos; &amp;amp; &amp;gt;</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html.unescape() + manual decode on every ET.get() call</w:t>
            </w:r>
          </w:p>
        </w:tc>
      </w:tr>
      <w:tr>
        <w:tc>
          <w:tcPr>
            <w:tcW w:type="dxa" w:w="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1.2</w:t>
            </w:r>
          </w:p>
        </w:tc>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XML Format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Multi-line SQL encoded as &amp;#xD;&amp;#xA;</w:t>
            </w:r>
          </w:p>
        </w:tc>
        <w:tc>
          <w:tcPr>
            <w:tcW w:type="dxa" w:w="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clean() decode + wrap_text=True with dynamic row height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XML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ISO-8859-1 encoding crash</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854D0E"/>
                <w:sz w:val="19"/>
                <w:szCs w:val="19"/>
              </w:rPr>
              <w:t xml:space="preserve">Medium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Never use open() — always pass path to ET.parse()</w:t>
            </w:r>
          </w:p>
        </w:tc>
      </w:tr>
      <w:tr>
        <w:tc>
          <w:tcPr>
            <w:tcW w:type="dxa" w:w="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2.1</w:t>
            </w:r>
          </w:p>
        </w:tc>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Port Naming</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SQ renames columns with i_ prefix</w:t>
            </w:r>
          </w:p>
        </w:tc>
        <w:tc>
          <w:tcPr>
            <w:tcW w:type="dxa" w:w="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Build graph from CONNECTORs only — never name matching</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Port Naming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i_/o_/v_ prefixes confuse users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854D0E"/>
                <w:sz w:val="19"/>
                <w:szCs w:val="19"/>
              </w:rPr>
              <w:t xml:space="preserve">Medium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Strip prefixes in display layer only — never in graph</w:t>
            </w:r>
          </w:p>
        </w:tc>
      </w:tr>
      <w:tr>
        <w:tc>
          <w:tcPr>
            <w:tcW w:type="dxa" w:w="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2.3</w:t>
            </w:r>
          </w:p>
        </w:tc>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Port Naming</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Variable ports not resolved in expressions</w:t>
            </w:r>
          </w:p>
        </w:tc>
        <w:tc>
          <w:tcPr>
            <w:tcW w:type="dxa" w:w="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Recursive variable substitution with depth guard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Shared Folder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Shared folder has no mappings — parser exits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Detect SHARED attribute — switch to registry-only mode</w:t>
            </w:r>
          </w:p>
        </w:tc>
      </w:tr>
      <w:tr>
        <w:tc>
          <w:tcPr>
            <w:tcW w:type="dxa" w:w="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3.2</w:t>
            </w:r>
          </w:p>
        </w:tc>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Shared Folder</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SHORTCUT objects not in current XML</w:t>
            </w:r>
          </w:p>
        </w:tc>
        <w:tc>
          <w:tcPr>
            <w:tcW w:type="dxa" w:w="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Multi-file parsing — load shared folder XML first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Shared Folder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REFERENCEFOLDERNAME form not detected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854D0E"/>
                <w:sz w:val="19"/>
                <w:szCs w:val="19"/>
              </w:rPr>
              <w:t xml:space="preserve">Medium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Check REFERENCEFOLDERNAME on every INSTANCE tag</w:t>
            </w:r>
          </w:p>
        </w:tc>
      </w:tr>
      <w:tr>
        <w:tc>
          <w:tcPr>
            <w:tcW w:type="dxa" w:w="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4.1</w:t>
            </w:r>
          </w:p>
        </w:tc>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Recursion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Nested maplets — partial resolution</w:t>
            </w:r>
          </w:p>
        </w:tc>
        <w:tc>
          <w:tcPr>
            <w:tcW w:type="dxa" w:w="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Depth-tracked recursive resolver, limit = 5</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Recursion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Self-referencing variable causes infinite loop</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991B1B"/>
                <w:sz w:val="19"/>
                <w:szCs w:val="19"/>
              </w:rPr>
              <w:t xml:space="preserve">High</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Self-reference check before recursive expand</w:t>
            </w:r>
          </w:p>
        </w:tc>
      </w:tr>
      <w:tr>
        <w:tc>
          <w:tcPr>
            <w:tcW w:type="dxa" w:w="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4.3</w:t>
            </w:r>
          </w:p>
        </w:tc>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Recursion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Aggregator group-by vs aggregate port confusion</w:t>
            </w:r>
          </w:p>
        </w:tc>
        <w:tc>
          <w:tcPr>
            <w:tcW w:type="dxa" w:w="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854D0E"/>
                <w:sz w:val="19"/>
                <w:szCs w:val="19"/>
              </w:rPr>
              <w:t xml:space="preserve">Medium</w:t>
            </w:r>
          </w:p>
        </w:tc>
        <w:tc>
          <w:tcPr>
            <w:tcW w:type="dxa" w:w="43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Check IS_PARTITION_KEY flag per port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5.1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Multiple sessions per mapping — wrong exec order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854D0E"/>
                <w:sz w:val="19"/>
                <w:szCs w:val="19"/>
              </w:rPr>
              <w:t xml:space="preserve">Medium</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Generate separate exec order sheet per session</w:t>
            </w:r>
          </w:p>
        </w:tc>
      </w:tr>
      <w:tr>
        <w:tc>
          <w:tcPr>
            <w:tcW w:type="dxa" w:w="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5.2</w:t>
            </w:r>
          </w:p>
        </w:tc>
        <w:tc>
          <w:tcPr>
            <w:tcW w:type="dxa" w:w="1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Session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Reusable session used in wrong workflow</w:t>
            </w:r>
          </w:p>
        </w:tc>
        <w:tc>
          <w:tcPr>
            <w:tcW w:type="dxa" w:w="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854D0E"/>
                <w:sz w:val="19"/>
                <w:szCs w:val="19"/>
              </w:rPr>
              <w:t xml:space="preserve">Medium</w:t>
            </w:r>
          </w:p>
        </w:tc>
        <w:tc>
          <w:tcPr>
            <w:tcW w:type="dxa" w:w="43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Scope session lookup to current workflow only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6.1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065A82"/>
                <w:sz w:val="19"/>
                <w:szCs w:val="19"/>
              </w:rPr>
              <w:t xml:space="preserve">Data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Informatica type names instead of DB types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166534"/>
                <w:sz w:val="19"/>
                <w:szCs w:val="19"/>
              </w:rPr>
              <w:t xml:space="preserve">Low</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Type mapping dictionary applied at display time</w:t>
            </w:r>
          </w:p>
        </w:tc>
      </w:tr>
    </w:tbl>
    <w:p>
      <w:pPr>
        <w:spacing w:before="0" w:after="60"/>
      </w:pPr>
      <w:r>
        <w:rPr>
          <w:rFonts w:ascii="Calibri" w:cs="Calibri" w:eastAsia="Calibri" w:hAnsi="Calibri"/>
          <w:sz w:val="22"/>
          <w:szCs w:val="22"/>
        </w:rPr>
        <w:t xml:space="preserve"/>
      </w:r>
    </w:p>
    <w:p>
      <w:pPr>
        <w:pStyle w:val="Heading1"/>
        <w:pageBreakBefore/>
        <w:spacing w:before="0" w:after="240"/>
      </w:pPr>
      <w:r>
        <w:rPr>
          <w:rFonts w:ascii="Calibri" w:cs="Calibri" w:eastAsia="Calibri" w:hAnsi="Calibri"/>
          <w:b/>
          <w:bCs/>
          <w:color w:val="0D1B2A"/>
          <w:sz w:val="44"/>
          <w:szCs w:val="44"/>
        </w:rPr>
        <w:t xml:space="preserve">Chapter 8  —  Implementation Priority Order</w:t>
      </w:r>
    </w:p>
    <w:p>
      <w:pPr>
        <w:spacing w:before="80" w:after="160"/>
      </w:pPr>
      <w:r>
        <w:rPr>
          <w:rFonts w:ascii="Calibri" w:cs="Calibri" w:eastAsia="Calibri" w:hAnsi="Calibri"/>
          <w:sz w:val="22"/>
          <w:szCs w:val="22"/>
        </w:rPr>
        <w:t xml:space="preserve">Not all fixes are equally urgent. This chapter gives the recommended order for implementing fixes when building the robust v5 parser, based on frequency of occurrence and severity of impact.</w:t>
      </w:r>
    </w:p>
    <w:p>
      <w:pPr>
        <w:spacing w:before="0" w:after="60"/>
      </w:pPr>
      <w:r>
        <w:rPr>
          <w:rFonts w:ascii="Calibri" w:cs="Calibri" w:eastAsia="Calibri" w:hAnsi="Calibri"/>
          <w:sz w:val="22"/>
          <w:szCs w:val="22"/>
        </w:rPr>
        <w:t xml:space="preserve"/>
      </w:r>
    </w:p>
    <w:p>
      <w:pPr>
        <w:spacing w:before="240" w:after="80"/>
      </w:pPr>
      <w:r>
        <w:rPr>
          <w:rFonts w:ascii="Calibri" w:cs="Calibri" w:eastAsia="Calibri" w:hAnsi="Calibri"/>
          <w:b/>
          <w:bCs/>
          <w:color w:val="991B1B"/>
          <w:sz w:val="22"/>
          <w:szCs w:val="22"/>
        </w:rPr>
        <w:t xml:space="preserve">Fix Immediately — These cause zero output or completely wrong output</w:t>
      </w:r>
    </w:p>
    <w:p>
      <w:pPr>
        <w:spacing w:before="80" w:after="160"/>
      </w:pPr>
      <w:r>
        <w:rPr>
          <w:rFonts w:ascii="Calibri" w:cs="Calibri" w:eastAsia="Calibri" w:hAnsi="Calibri"/>
          <w:b/>
          <w:bCs/>
          <w:sz w:val="22"/>
          <w:szCs w:val="22"/>
        </w:rPr>
        <w:t xml:space="preserve">1.1 Special characters</w:t>
      </w:r>
      <w:r>
        <w:rPr>
          <w:rFonts w:ascii="Calibri" w:cs="Calibri" w:eastAsia="Calibri" w:hAnsi="Calibri"/>
          <w:sz w:val="22"/>
          <w:szCs w:val="22"/>
        </w:rPr>
        <w:t xml:space="preserve"> — Every real XML file has &amp;apos; in date formats. Without this fix, all expressions are unreadable.</w:t>
      </w:r>
    </w:p>
    <w:p>
      <w:pPr>
        <w:spacing w:before="80" w:after="160"/>
      </w:pPr>
      <w:r>
        <w:rPr>
          <w:rFonts w:ascii="Calibri" w:cs="Calibri" w:eastAsia="Calibri" w:hAnsi="Calibri"/>
          <w:b/>
          <w:bCs/>
          <w:sz w:val="22"/>
          <w:szCs w:val="22"/>
        </w:rPr>
        <w:t xml:space="preserve">3.1 Shared folder detection</w:t>
      </w:r>
      <w:r>
        <w:rPr>
          <w:rFonts w:ascii="Calibri" w:cs="Calibri" w:eastAsia="Calibri" w:hAnsi="Calibri"/>
          <w:sz w:val="22"/>
          <w:szCs w:val="22"/>
        </w:rPr>
        <w:t xml:space="preserve"> — Without this, loading any shared folder XML crashes the parser with 0 mappings.</w:t>
      </w:r>
    </w:p>
    <w:p>
      <w:pPr>
        <w:spacing w:before="80" w:after="160"/>
      </w:pPr>
      <w:r>
        <w:rPr>
          <w:rFonts w:ascii="Calibri" w:cs="Calibri" w:eastAsia="Calibri" w:hAnsi="Calibri"/>
          <w:b/>
          <w:bCs/>
          <w:sz w:val="22"/>
          <w:szCs w:val="22"/>
        </w:rPr>
        <w:t xml:space="preserve">3.2 Multi-file parsing</w:t>
      </w:r>
      <w:r>
        <w:rPr>
          <w:rFonts w:ascii="Calibri" w:cs="Calibri" w:eastAsia="Calibri" w:hAnsi="Calibri"/>
          <w:sz w:val="22"/>
          <w:szCs w:val="22"/>
        </w:rPr>
        <w:t xml:space="preserve"> — Without this, every mapping that uses shared objects has UNCONNECTED lineage rows.</w:t>
      </w:r>
    </w:p>
    <w:p>
      <w:pPr>
        <w:spacing w:before="80" w:after="160"/>
      </w:pPr>
      <w:r>
        <w:rPr>
          <w:rFonts w:ascii="Calibri" w:cs="Calibri" w:eastAsia="Calibri" w:hAnsi="Calibri"/>
          <w:b/>
          <w:bCs/>
          <w:sz w:val="22"/>
          <w:szCs w:val="22"/>
        </w:rPr>
        <w:t xml:space="preserve">2.3 Variable port resolution</w:t>
      </w:r>
      <w:r>
        <w:rPr>
          <w:rFonts w:ascii="Calibri" w:cs="Calibri" w:eastAsia="Calibri" w:hAnsi="Calibri"/>
          <w:sz w:val="22"/>
          <w:szCs w:val="22"/>
        </w:rPr>
        <w:t xml:space="preserve"> — Without this, all intermediate expression logic is hidden from the STTM.</w:t>
      </w:r>
    </w:p>
    <w:p>
      <w:pPr>
        <w:spacing w:before="0" w:after="60"/>
      </w:pPr>
      <w:r>
        <w:rPr>
          <w:rFonts w:ascii="Calibri" w:cs="Calibri" w:eastAsia="Calibri" w:hAnsi="Calibri"/>
          <w:sz w:val="22"/>
          <w:szCs w:val="22"/>
        </w:rPr>
        <w:t xml:space="preserve"/>
      </w:r>
    </w:p>
    <w:p>
      <w:pPr>
        <w:spacing w:before="240" w:after="80"/>
      </w:pPr>
      <w:r>
        <w:rPr>
          <w:rFonts w:ascii="Calibri" w:cs="Calibri" w:eastAsia="Calibri" w:hAnsi="Calibri"/>
          <w:b/>
          <w:bCs/>
          <w:color w:val="854D0E"/>
          <w:sz w:val="22"/>
          <w:szCs w:val="22"/>
        </w:rPr>
        <w:t xml:space="preserve">Fix in Version 5 — These cause partial or misleading output</w:t>
      </w:r>
    </w:p>
    <w:p>
      <w:pPr>
        <w:spacing w:before="80" w:after="160"/>
      </w:pPr>
      <w:r>
        <w:rPr>
          <w:rFonts w:ascii="Calibri" w:cs="Calibri" w:eastAsia="Calibri" w:hAnsi="Calibri"/>
          <w:b/>
          <w:bCs/>
          <w:sz w:val="22"/>
          <w:szCs w:val="22"/>
        </w:rPr>
        <w:t xml:space="preserve">1.2 Multi-line SQL</w:t>
      </w:r>
      <w:r>
        <w:rPr>
          <w:rFonts w:ascii="Calibri" w:cs="Calibri" w:eastAsia="Calibri" w:hAnsi="Calibri"/>
          <w:sz w:val="22"/>
          <w:szCs w:val="22"/>
        </w:rPr>
        <w:t xml:space="preserve"> — Without this, SQL overrides appear as garbled single-line text in the STTM.</w:t>
      </w:r>
    </w:p>
    <w:p>
      <w:pPr>
        <w:spacing w:before="80" w:after="160"/>
      </w:pPr>
      <w:r>
        <w:rPr>
          <w:rFonts w:ascii="Calibri" w:cs="Calibri" w:eastAsia="Calibri" w:hAnsi="Calibri"/>
          <w:b/>
          <w:bCs/>
          <w:sz w:val="22"/>
          <w:szCs w:val="22"/>
        </w:rPr>
        <w:t xml:space="preserve">2.1 Connector-only graph</w:t>
      </w:r>
      <w:r>
        <w:rPr>
          <w:rFonts w:ascii="Calibri" w:cs="Calibri" w:eastAsia="Calibri" w:hAnsi="Calibri"/>
          <w:sz w:val="22"/>
          <w:szCs w:val="22"/>
        </w:rPr>
        <w:t xml:space="preserve"> — Without this, i_/o_ renamed ports break lineage chains.</w:t>
      </w:r>
    </w:p>
    <w:p>
      <w:pPr>
        <w:spacing w:before="80" w:after="160"/>
      </w:pPr>
      <w:r>
        <w:rPr>
          <w:rFonts w:ascii="Calibri" w:cs="Calibri" w:eastAsia="Calibri" w:hAnsi="Calibri"/>
          <w:b/>
          <w:bCs/>
          <w:sz w:val="22"/>
          <w:szCs w:val="22"/>
        </w:rPr>
        <w:t xml:space="preserve">4.1 Nested maplet depth</w:t>
      </w:r>
      <w:r>
        <w:rPr>
          <w:rFonts w:ascii="Calibri" w:cs="Calibri" w:eastAsia="Calibri" w:hAnsi="Calibri"/>
          <w:sz w:val="22"/>
          <w:szCs w:val="22"/>
        </w:rPr>
        <w:t xml:space="preserve"> — Without this, complex maplets like mplt_PROCESS_FIELDS partially resolve.</w:t>
      </w:r>
    </w:p>
    <w:p>
      <w:pPr>
        <w:spacing w:before="80" w:after="160"/>
      </w:pPr>
      <w:r>
        <w:rPr>
          <w:rFonts w:ascii="Calibri" w:cs="Calibri" w:eastAsia="Calibri" w:hAnsi="Calibri"/>
          <w:b/>
          <w:bCs/>
          <w:sz w:val="22"/>
          <w:szCs w:val="22"/>
        </w:rPr>
        <w:t xml:space="preserve">4.2 Self-referencing variables</w:t>
      </w:r>
      <w:r>
        <w:rPr>
          <w:rFonts w:ascii="Calibri" w:cs="Calibri" w:eastAsia="Calibri" w:hAnsi="Calibri"/>
          <w:sz w:val="22"/>
          <w:szCs w:val="22"/>
        </w:rPr>
        <w:t xml:space="preserve"> — Without this, Aggregator running total patterns cause infinite loops.</w:t>
      </w:r>
    </w:p>
    <w:p>
      <w:pPr>
        <w:spacing w:before="0" w:after="60"/>
      </w:pPr>
      <w:r>
        <w:rPr>
          <w:rFonts w:ascii="Calibri" w:cs="Calibri" w:eastAsia="Calibri" w:hAnsi="Calibri"/>
          <w:sz w:val="22"/>
          <w:szCs w:val="22"/>
        </w:rPr>
        <w:t xml:space="preserve"/>
      </w:r>
    </w:p>
    <w:p>
      <w:pPr>
        <w:spacing w:before="240" w:after="80"/>
      </w:pPr>
      <w:r>
        <w:rPr>
          <w:rFonts w:ascii="Calibri" w:cs="Calibri" w:eastAsia="Calibri" w:hAnsi="Calibri"/>
          <w:b/>
          <w:bCs/>
          <w:color w:val="166534"/>
          <w:sz w:val="22"/>
          <w:szCs w:val="22"/>
        </w:rPr>
        <w:t xml:space="preserve">Fix When Time Allows — These affect polish and completeness</w:t>
      </w:r>
    </w:p>
    <w:p>
      <w:pPr>
        <w:spacing w:before="80" w:after="160"/>
      </w:pPr>
      <w:r>
        <w:rPr>
          <w:rFonts w:ascii="Calibri" w:cs="Calibri" w:eastAsia="Calibri" w:hAnsi="Calibri"/>
          <w:b/>
          <w:bCs/>
          <w:sz w:val="22"/>
          <w:szCs w:val="22"/>
        </w:rPr>
        <w:t xml:space="preserve">1.3 Encoding handling</w:t>
      </w:r>
      <w:r>
        <w:rPr>
          <w:rFonts w:ascii="Calibri" w:cs="Calibri" w:eastAsia="Calibri" w:hAnsi="Calibri"/>
          <w:sz w:val="22"/>
          <w:szCs w:val="22"/>
        </w:rPr>
        <w:t xml:space="preserve"> — Already partially handled by lxml recover=True but explicit is better.</w:t>
      </w:r>
    </w:p>
    <w:p>
      <w:pPr>
        <w:spacing w:before="80" w:after="160"/>
      </w:pPr>
      <w:r>
        <w:rPr>
          <w:rFonts w:ascii="Calibri" w:cs="Calibri" w:eastAsia="Calibri" w:hAnsi="Calibri"/>
          <w:b/>
          <w:bCs/>
          <w:sz w:val="22"/>
          <w:szCs w:val="22"/>
        </w:rPr>
        <w:t xml:space="preserve">2.2 Prefix stripping</w:t>
      </w:r>
      <w:r>
        <w:rPr>
          <w:rFonts w:ascii="Calibri" w:cs="Calibri" w:eastAsia="Calibri" w:hAnsi="Calibri"/>
          <w:sz w:val="22"/>
          <w:szCs w:val="22"/>
        </w:rPr>
        <w:t xml:space="preserve"> — Cosmetic — does not affect accuracy, only readability.</w:t>
      </w:r>
    </w:p>
    <w:p>
      <w:pPr>
        <w:spacing w:before="80" w:after="160"/>
      </w:pPr>
      <w:r>
        <w:rPr>
          <w:rFonts w:ascii="Calibri" w:cs="Calibri" w:eastAsia="Calibri" w:hAnsi="Calibri"/>
          <w:b/>
          <w:bCs/>
          <w:sz w:val="22"/>
          <w:szCs w:val="22"/>
        </w:rPr>
        <w:t xml:space="preserve">3.3 SHORTCUT tag form</w:t>
      </w:r>
      <w:r>
        <w:rPr>
          <w:rFonts w:ascii="Calibri" w:cs="Calibri" w:eastAsia="Calibri" w:hAnsi="Calibri"/>
          <w:sz w:val="22"/>
          <w:szCs w:val="22"/>
        </w:rPr>
        <w:t xml:space="preserve"> — Covered by multi-file parsing if shared XMLs are loaded first.</w:t>
      </w:r>
    </w:p>
    <w:p>
      <w:pPr>
        <w:spacing w:before="80" w:after="160"/>
      </w:pPr>
      <w:r>
        <w:rPr>
          <w:rFonts w:ascii="Calibri" w:cs="Calibri" w:eastAsia="Calibri" w:hAnsi="Calibri"/>
          <w:b/>
          <w:bCs/>
          <w:sz w:val="22"/>
          <w:szCs w:val="22"/>
        </w:rPr>
        <w:t xml:space="preserve">4.3 Aggregator port classification</w:t>
      </w:r>
      <w:r>
        <w:rPr>
          <w:rFonts w:ascii="Calibri" w:cs="Calibri" w:eastAsia="Calibri" w:hAnsi="Calibri"/>
          <w:sz w:val="22"/>
          <w:szCs w:val="22"/>
        </w:rPr>
        <w:t xml:space="preserve"> — Affects label accuracy in STTM, not lineage correctness.</w:t>
      </w:r>
    </w:p>
    <w:p>
      <w:pPr>
        <w:spacing w:before="80" w:after="160"/>
      </w:pPr>
      <w:r>
        <w:rPr>
          <w:rFonts w:ascii="Calibri" w:cs="Calibri" w:eastAsia="Calibri" w:hAnsi="Calibri"/>
          <w:b/>
          <w:bCs/>
          <w:sz w:val="22"/>
          <w:szCs w:val="22"/>
        </w:rPr>
        <w:t xml:space="preserve">5.1 Multiple sessions</w:t>
      </w:r>
      <w:r>
        <w:rPr>
          <w:rFonts w:ascii="Calibri" w:cs="Calibri" w:eastAsia="Calibri" w:hAnsi="Calibri"/>
          <w:sz w:val="22"/>
          <w:szCs w:val="22"/>
        </w:rPr>
        <w:t xml:space="preserve"> — Only relevant when same mapping has full + incremental sessions.</w:t>
      </w:r>
    </w:p>
    <w:p>
      <w:pPr>
        <w:spacing w:before="80" w:after="160"/>
      </w:pPr>
      <w:r>
        <w:rPr>
          <w:rFonts w:ascii="Calibri" w:cs="Calibri" w:eastAsia="Calibri" w:hAnsi="Calibri"/>
          <w:b/>
          <w:bCs/>
          <w:sz w:val="22"/>
          <w:szCs w:val="22"/>
        </w:rPr>
        <w:t xml:space="preserve">5.2 Reusable session scoping</w:t>
      </w:r>
      <w:r>
        <w:rPr>
          <w:rFonts w:ascii="Calibri" w:cs="Calibri" w:eastAsia="Calibri" w:hAnsi="Calibri"/>
          <w:sz w:val="22"/>
          <w:szCs w:val="22"/>
        </w:rPr>
        <w:t xml:space="preserve"> — Only relevant in environments using REUSABLE=YES sessions.</w:t>
      </w:r>
    </w:p>
    <w:p>
      <w:pPr>
        <w:spacing w:before="80" w:after="160"/>
      </w:pPr>
      <w:r>
        <w:rPr>
          <w:rFonts w:ascii="Calibri" w:cs="Calibri" w:eastAsia="Calibri" w:hAnsi="Calibri"/>
          <w:b/>
          <w:bCs/>
          <w:sz w:val="22"/>
          <w:szCs w:val="22"/>
        </w:rPr>
        <w:t xml:space="preserve">6.1 Type name mapping</w:t>
      </w:r>
      <w:r>
        <w:rPr>
          <w:rFonts w:ascii="Calibri" w:cs="Calibri" w:eastAsia="Calibri" w:hAnsi="Calibri"/>
          <w:sz w:val="22"/>
          <w:szCs w:val="22"/>
        </w:rPr>
        <w:t xml:space="preserve"> — Cosmetic — improves STTM readability for DB developers.</w:t>
      </w:r>
    </w:p>
    <w:p>
      <w:pPr>
        <w:pBdr>
          <w:bottom w:val="single" w:color="CBD5E1" w:sz="3"/>
        </w:pBdr>
        <w:spacing w:before="200" w:after="200"/>
      </w:pPr>
      <w:r>
        <w:rPr>
          <w:rFonts w:ascii="Calibri" w:cs="Calibri" w:eastAsia="Calibri" w:hAnsi="Calibri"/>
          <w:sz w:val="22"/>
          <w:szCs w:val="22"/>
        </w:rPr>
        <w:t xml:space="preserve"/>
      </w:r>
    </w:p>
    <w:p>
      <w:pPr>
        <w:spacing w:before="0" w:after="60"/>
      </w:pPr>
      <w:r>
        <w:rPr>
          <w:rFonts w:ascii="Calibri" w:cs="Calibri" w:eastAsia="Calibri" w:hAnsi="Calibri"/>
          <w:sz w:val="22"/>
          <w:szCs w:val="22"/>
        </w:rPr>
        <w:t xml:space="preserve"/>
      </w:r>
    </w:p>
    <w:p>
      <w:pPr>
        <w:spacing w:before="400" w:after="200"/>
        <w:jc w:val="center"/>
      </w:pPr>
      <w:r>
        <w:rPr>
          <w:rFonts w:ascii="Calibri" w:cs="Calibri" w:eastAsia="Calibri" w:hAnsi="Calibri"/>
          <w:i/>
          <w:iCs/>
          <w:color w:val="64748B"/>
          <w:sz w:val="22"/>
          <w:szCs w:val="22"/>
        </w:rPr>
        <w:t xml:space="preserve">— End of Document —</w:t>
      </w:r>
    </w:p>
    <w:p>
      <w:pPr>
        <w:jc w:val="center"/>
      </w:pPr>
      <w:r>
        <w:rPr>
          <w:rFonts w:ascii="Calibri" w:cs="Calibri" w:eastAsia="Calibri" w:hAnsi="Calibri"/>
          <w:color w:val="64748B"/>
          <w:sz w:val="18"/>
          <w:szCs w:val="18"/>
        </w:rPr>
        <w:t xml:space="preserve">LineageIQ Project  ·  Data Engineering Team  ·  March 2026</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spacing w:before="0"/>
      <w:jc w:val="right"/>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LineageIQ Project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spacing w:after="0"/>
    </w:pPr>
    <w:r>
      <w:rPr>
        <w:rFonts w:ascii="Calibri" w:cs="Calibri" w:eastAsia="Calibri" w:hAnsi="Calibri"/>
        <w:color w:val="64748B"/>
        <w:sz w:val="18"/>
        <w:szCs w:val="18"/>
      </w:rPr>
      <w:t xml:space="preserve">LineageIQ — Informatica Parsing Issues &amp; Solutions  </w:t>
    </w:r>
    <w:r>
      <w:rPr>
        <w:rFonts w:ascii="Calibri" w:cs="Calibri" w:eastAsia="Calibri" w:hAnsi="Calibri"/>
        <w:b/>
        <w:bCs/>
        <w:color w:val="065A82"/>
        <w:sz w:val="18"/>
        <w:szCs w:val="18"/>
      </w:rPr>
      <w:t xml:space="preserve">Robustness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65A82"/>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Calibri" w:cs="Calibri" w:eastAsia="Calibri" w:hAnsi="Calibri"/>
      <w:b/>
      <w:bCs/>
      <w:color w:val="0D1B2A"/>
      <w:sz w:val="44"/>
      <w:szCs w:val="44"/>
    </w:rPr>
  </w:style>
  <w:style w:type="paragraph" w:styleId="Heading2">
    <w:name w:val="Heading 2"/>
    <w:basedOn w:val="Normal"/>
    <w:next w:val="Normal"/>
    <w:qFormat/>
    <w:pPr>
      <w:spacing w:before="360" w:after="160"/>
      <w:outlineLvl w:val="1"/>
    </w:pPr>
    <w:rPr>
      <w:rFonts w:ascii="Calibri" w:cs="Calibri" w:eastAsia="Calibri" w:hAnsi="Calibri"/>
      <w:b/>
      <w:bCs/>
      <w:color w:val="065A82"/>
      <w:sz w:val="30"/>
      <w:szCs w:val="30"/>
    </w:rPr>
  </w:style>
  <w:style w:type="paragraph" w:styleId="Heading3">
    <w:name w:val="Heading 3"/>
    <w:basedOn w:val="Normal"/>
    <w:next w:val="Normal"/>
    <w:qFormat/>
    <w:pPr>
      <w:spacing w:before="280" w:after="120"/>
      <w:outlineLvl w:val="2"/>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2026-03-25T11:46:07.443Z</dcterms:created>
  <dcterms:modified xsi:type="dcterms:W3CDTF">2026-03-25T11:46:07.443Z</dcterms:modified>
</cp:coreProperties>
</file>

<file path=docProps/custom.xml><?xml version="1.0" encoding="utf-8"?>
<Properties xmlns="http://schemas.openxmlformats.org/officeDocument/2006/custom-properties" xmlns:vt="http://schemas.openxmlformats.org/officeDocument/2006/docPropsVTypes"/>
</file>