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06F02" w14:textId="77777777" w:rsidR="00A32A9C" w:rsidRDefault="00A32A9C" w:rsidP="00A32A9C">
      <w:pPr>
        <w:jc w:val="both"/>
      </w:pPr>
      <w:r>
        <w:t>(Agent-Based Systems) – Initial Post</w:t>
      </w:r>
    </w:p>
    <w:p w14:paraId="739F4F44" w14:textId="77777777" w:rsidR="00A32A9C" w:rsidRDefault="00A32A9C" w:rsidP="00A32A9C">
      <w:pPr>
        <w:jc w:val="both"/>
      </w:pPr>
    </w:p>
    <w:p w14:paraId="41B0DA5A" w14:textId="77777777" w:rsidR="00A32A9C" w:rsidRDefault="00A32A9C" w:rsidP="00A32A9C">
      <w:pPr>
        <w:jc w:val="both"/>
      </w:pPr>
      <w:r>
        <w:t>The emergence of Agent-Based Systems (ABS) in engineering has been driven by the increasing complexity, decentralization, and heterogeneity of modern systems (Jennings, 2000; Petrie, 2001). Traditional centralised approaches to monitoring and control struggle to cope with large-scale, dynamic environments such as smart grids, industrial IoT, and distributed energy systems. Advances in artificial intelligence, multi-agent coordination, and communication technologies have enabled autonomous agents to operate collaboratively, making localised decisions while contributing to global objectives. Additionally, the need for real-time responsiveness and scalability has further accelerated the adoption of ABS.</w:t>
      </w:r>
    </w:p>
    <w:p w14:paraId="280178E8" w14:textId="77777777" w:rsidR="00A32A9C" w:rsidRDefault="00A32A9C" w:rsidP="00A32A9C">
      <w:pPr>
        <w:jc w:val="both"/>
      </w:pPr>
      <w:r>
        <w:t>In condition monitoring, ABS offers several key benefits. First, it enables distributed intelligence, where individual agents monitor specific components and detect anomalies locally, reducing data bottlenecks. Second, ABS improves system robustness and fault tolerance, as the failure of one agent does not compromise the entire system. Third, it supports adaptive and scalable monitoring, allowing new components or sensors to be integrated seamlessly. Finally, agents can cooperate to perform advanced diagnostics and prognostics, enhancing predictive maintenance strategies and reducing downtime (</w:t>
      </w:r>
      <w:proofErr w:type="spellStart"/>
      <w:r>
        <w:t>Izmirlioglu</w:t>
      </w:r>
      <w:proofErr w:type="spellEnd"/>
      <w:r>
        <w:t xml:space="preserve"> et al., 2024).</w:t>
      </w:r>
    </w:p>
    <w:p w14:paraId="12FB9BA9" w14:textId="77777777" w:rsidR="00A32A9C" w:rsidRDefault="00A32A9C" w:rsidP="00A32A9C">
      <w:pPr>
        <w:jc w:val="both"/>
      </w:pPr>
      <w:r>
        <w:t>Overall, ABS provides a flexible and efficient framework for modern condition monitoring applications.</w:t>
      </w:r>
    </w:p>
    <w:p w14:paraId="15813CA6" w14:textId="77777777" w:rsidR="00A32A9C" w:rsidRDefault="00A32A9C" w:rsidP="00A32A9C">
      <w:pPr>
        <w:jc w:val="both"/>
      </w:pPr>
      <w:r>
        <w:t>References</w:t>
      </w:r>
    </w:p>
    <w:p w14:paraId="1A6778D7" w14:textId="77777777" w:rsidR="00A32A9C" w:rsidRDefault="00A32A9C" w:rsidP="00A32A9C">
      <w:pPr>
        <w:jc w:val="both"/>
      </w:pPr>
      <w:r>
        <w:t>Jennings, N. R. (2000). On agent-based software engineering, Artificial Intelligence, Vol. 117, Issue 2, pp. 277-296, ISSN 0004-3702, https://doi.org/10.1016/S0004-3702(99)00107-1.</w:t>
      </w:r>
    </w:p>
    <w:p w14:paraId="4F537876" w14:textId="77777777" w:rsidR="00A32A9C" w:rsidRDefault="00A32A9C" w:rsidP="00A32A9C">
      <w:pPr>
        <w:jc w:val="both"/>
      </w:pPr>
      <w:r>
        <w:t>Petrie, C. (2001). Agent-Based Software Engineering. In: Ciancarini, P., Wooldridge, M.J. (eds) Agent-Oriented Software Engineering. AOSE 2000. Lecture Notes in Computer Science, vol 1957. Springer, Berlin, Heidelberg. https://doi.org/10.1007/3-540-44564-1_4.</w:t>
      </w:r>
    </w:p>
    <w:p w14:paraId="5A2208ED" w14:textId="6C6E3E7C" w:rsidR="00EA6CB7" w:rsidRPr="00DB34E3" w:rsidRDefault="00A32A9C" w:rsidP="00A32A9C">
      <w:pPr>
        <w:jc w:val="both"/>
      </w:pPr>
      <w:proofErr w:type="spellStart"/>
      <w:r w:rsidRPr="00A32A9C">
        <w:rPr>
          <w:lang w:val="fr-CD"/>
        </w:rPr>
        <w:t>Izmirlioglu</w:t>
      </w:r>
      <w:proofErr w:type="spellEnd"/>
      <w:r w:rsidRPr="00A32A9C">
        <w:rPr>
          <w:lang w:val="fr-CD"/>
        </w:rPr>
        <w:t xml:space="preserve">, Y., Pham, L., Son, T. C., &amp; Pontelli, E. (2024). </w:t>
      </w:r>
      <w:r>
        <w:t>A Survey of Multi-Agent Systems for Smart grids. Energies, 17(15), 3620. https://doi.org/10.3390/en17153620.</w:t>
      </w:r>
    </w:p>
    <w:p w14:paraId="1C6F88CA" w14:textId="538F6E6D" w:rsidR="004C3CE8" w:rsidRDefault="004C3CE8" w:rsidP="00ED2DED">
      <w:pPr>
        <w:jc w:val="both"/>
      </w:pPr>
      <w:r w:rsidRPr="00DB34E3">
        <w:t xml:space="preserve"> </w:t>
      </w:r>
      <w:r w:rsidR="00DB34E3" w:rsidRPr="00DB34E3">
        <w:t>Peer-R</w:t>
      </w:r>
      <w:r w:rsidR="00DB34E3">
        <w:t>esponse 1</w:t>
      </w:r>
      <w:r w:rsidR="00A77DA3">
        <w:t xml:space="preserve"> (Lauretta)</w:t>
      </w:r>
    </w:p>
    <w:p w14:paraId="65CCEFBB" w14:textId="1106BAA8" w:rsidR="007D1DB5" w:rsidRDefault="007D1DB5" w:rsidP="007D1DB5">
      <w:pPr>
        <w:jc w:val="both"/>
      </w:pPr>
      <w:r>
        <w:t>Your discussion presents a coherent and well-informed analysis of the evolution and growing importance of agent-based systems, particularly in overcoming the limitations of earlier artificial intelligence approaches. The connection drawn between the constraints of traditional reinforcement learning and the need for more adaptive, autonomous agents is convincing and consistent with developments in distributed AI (</w:t>
      </w:r>
      <w:proofErr w:type="spellStart"/>
      <w:r>
        <w:t>Piccialli</w:t>
      </w:r>
      <w:proofErr w:type="spellEnd"/>
      <w:r>
        <w:t xml:space="preserve"> et al., </w:t>
      </w:r>
      <w:r w:rsidR="003867C6">
        <w:t>2025; Terven, 2025</w:t>
      </w:r>
      <w:r>
        <w:t>). The focus on decentralisation and scalability clearly explains why agent-based paradigms are increasingly adopted in complex environments such as Industry 4.0.</w:t>
      </w:r>
    </w:p>
    <w:p w14:paraId="17D98C30" w14:textId="7F459DF6" w:rsidR="007D1DB5" w:rsidRDefault="007D1DB5" w:rsidP="007D1DB5">
      <w:pPr>
        <w:jc w:val="both"/>
      </w:pPr>
      <w:r>
        <w:t>The incorporation of the Belief–Desire–Intention architecture is especially well presented, notably in the context of integrating symbolic reasoning with data-driven methods such as large language models. This hybrid approach represents a meaningful advancement in AI, supporting both explainability and adaptability—key requirements for real-world applications (</w:t>
      </w:r>
      <w:r w:rsidR="00DB606C">
        <w:t>De et al</w:t>
      </w:r>
      <w:r w:rsidR="00661F13">
        <w:t>., 2020</w:t>
      </w:r>
      <w:r>
        <w:t>). Furthermore, the inclusion of human-in-the-loop interaction strengthens the argument by highlighting the importance of transparency, trust, and user control in intelligent systems.</w:t>
      </w:r>
    </w:p>
    <w:p w14:paraId="30A8EB75" w14:textId="76F93418" w:rsidR="007D1DB5" w:rsidRDefault="007D1DB5" w:rsidP="007D1DB5">
      <w:pPr>
        <w:jc w:val="both"/>
      </w:pPr>
      <w:r>
        <w:lastRenderedPageBreak/>
        <w:t>Your discussion on agent-based models as decision-support tools is also particularly strong. Emphasising their role in scenario analysis, policy evaluation, and stakeholder engagement demonstrates their practical relevance beyond technical implementation (</w:t>
      </w:r>
      <w:r w:rsidR="00E60E99" w:rsidRPr="00E60E99">
        <w:t>Gregory</w:t>
      </w:r>
      <w:r w:rsidR="00E60E99">
        <w:t xml:space="preserve"> et al.</w:t>
      </w:r>
      <w:r>
        <w:t>, 202</w:t>
      </w:r>
      <w:r w:rsidR="00E60E99">
        <w:t>0</w:t>
      </w:r>
      <w:r>
        <w:t>).</w:t>
      </w:r>
    </w:p>
    <w:p w14:paraId="367042E9" w14:textId="77777777" w:rsidR="007D1DB5" w:rsidRDefault="007D1DB5" w:rsidP="007D1DB5">
      <w:pPr>
        <w:jc w:val="both"/>
      </w:pPr>
      <w:r>
        <w:t>To further enhance the discussion, it would be beneficial to acknowledge potential challenges, such as computational overhead and coordination complexity among agents.</w:t>
      </w:r>
    </w:p>
    <w:p w14:paraId="6CC06BA0" w14:textId="77777777" w:rsidR="007D1DB5" w:rsidRPr="008B7C93" w:rsidRDefault="007D1DB5" w:rsidP="007D1DB5">
      <w:pPr>
        <w:jc w:val="both"/>
        <w:rPr>
          <w:lang w:val="it-IT"/>
        </w:rPr>
      </w:pPr>
      <w:r w:rsidRPr="008B7C93">
        <w:rPr>
          <w:lang w:val="it-IT"/>
        </w:rPr>
        <w:t>References</w:t>
      </w:r>
    </w:p>
    <w:p w14:paraId="05C7D109" w14:textId="259959DF" w:rsidR="00C36779" w:rsidRDefault="00C36779" w:rsidP="008B7C93">
      <w:pPr>
        <w:jc w:val="both"/>
      </w:pPr>
      <w:r w:rsidRPr="00C36779">
        <w:rPr>
          <w:lang w:val="it-IT"/>
        </w:rPr>
        <w:t xml:space="preserve">De, T., Giri, P., Mevawala, A.,  Nemani, R., Deo, A. (2020). </w:t>
      </w:r>
      <w:r w:rsidRPr="00C36779">
        <w:t xml:space="preserve">Explainable AI: A Hybrid Approach to Generate Human-Interpretable Explanation for Deep Learning Prediction, Procedia Computer Science, Vol. 168, pp. 40-48, ISSN 1877-0509, </w:t>
      </w:r>
      <w:hyperlink r:id="rId5" w:history="1">
        <w:r w:rsidR="00007541" w:rsidRPr="00E06993">
          <w:rPr>
            <w:rStyle w:val="Hyperlink"/>
          </w:rPr>
          <w:t>https://doi.org/10.1016/j.procs.2020.02.255</w:t>
        </w:r>
      </w:hyperlink>
      <w:r w:rsidRPr="00C36779">
        <w:t>.</w:t>
      </w:r>
    </w:p>
    <w:p w14:paraId="4EE0A9C9" w14:textId="4EB9A9F9" w:rsidR="00E51F34" w:rsidRDefault="00E51F34" w:rsidP="008B7C93">
      <w:pPr>
        <w:jc w:val="both"/>
      </w:pPr>
      <w:r w:rsidRPr="00E51F34">
        <w:t>Gregory, A. J., Atkins, J. P., Midgley, G. &amp; Hodgson, A. M. (2020). Stakeholder identification and engagement in problem structuring interventions, European Journal of Operational Research, Vol</w:t>
      </w:r>
      <w:r w:rsidR="00E60E99">
        <w:t>.</w:t>
      </w:r>
      <w:r w:rsidRPr="00E51F34">
        <w:t xml:space="preserve"> 283, Issue 1, </w:t>
      </w:r>
      <w:r w:rsidR="00E60E99">
        <w:t>pp.</w:t>
      </w:r>
      <w:r w:rsidRPr="00E51F34">
        <w:t xml:space="preserve"> 321-340, ISSN 0377-2217, </w:t>
      </w:r>
      <w:hyperlink r:id="rId6" w:history="1">
        <w:r w:rsidRPr="00E06993">
          <w:rPr>
            <w:rStyle w:val="Hyperlink"/>
          </w:rPr>
          <w:t>https://doi.org/10.1016/j.ejor.2019.10.044</w:t>
        </w:r>
      </w:hyperlink>
      <w:r w:rsidRPr="00E51F34">
        <w:t>.</w:t>
      </w:r>
    </w:p>
    <w:p w14:paraId="5F0F0A12" w14:textId="421DA175" w:rsidR="008B7C93" w:rsidRDefault="008B7C93" w:rsidP="008B7C93">
      <w:pPr>
        <w:jc w:val="both"/>
      </w:pPr>
      <w:r w:rsidRPr="008B7C93">
        <w:rPr>
          <w:lang w:val="it-IT"/>
        </w:rPr>
        <w:t>Piccialli,</w:t>
      </w:r>
      <w:r>
        <w:rPr>
          <w:lang w:val="it-IT"/>
        </w:rPr>
        <w:t xml:space="preserve"> F.</w:t>
      </w:r>
      <w:r w:rsidR="00961D57">
        <w:rPr>
          <w:lang w:val="it-IT"/>
        </w:rPr>
        <w:t xml:space="preserve">, </w:t>
      </w:r>
      <w:r w:rsidRPr="008B7C93">
        <w:rPr>
          <w:lang w:val="it-IT"/>
        </w:rPr>
        <w:t xml:space="preserve">Chiaro, </w:t>
      </w:r>
      <w:r>
        <w:rPr>
          <w:lang w:val="it-IT"/>
        </w:rPr>
        <w:t xml:space="preserve">D., </w:t>
      </w:r>
      <w:r w:rsidRPr="008B7C93">
        <w:rPr>
          <w:lang w:val="it-IT"/>
        </w:rPr>
        <w:t xml:space="preserve">Sarwar, </w:t>
      </w:r>
      <w:r w:rsidR="00961D57">
        <w:rPr>
          <w:lang w:val="it-IT"/>
        </w:rPr>
        <w:t xml:space="preserve">S., </w:t>
      </w:r>
      <w:r w:rsidRPr="008B7C93">
        <w:rPr>
          <w:lang w:val="it-IT"/>
        </w:rPr>
        <w:t xml:space="preserve">Cerciello, </w:t>
      </w:r>
      <w:r w:rsidR="00961D57">
        <w:rPr>
          <w:lang w:val="it-IT"/>
        </w:rPr>
        <w:t xml:space="preserve">D., </w:t>
      </w:r>
      <w:r w:rsidRPr="008B7C93">
        <w:rPr>
          <w:lang w:val="it-IT"/>
        </w:rPr>
        <w:t xml:space="preserve">Qi, </w:t>
      </w:r>
      <w:r w:rsidR="00961D57">
        <w:rPr>
          <w:lang w:val="it-IT"/>
        </w:rPr>
        <w:t xml:space="preserve">P., </w:t>
      </w:r>
      <w:r w:rsidRPr="008B7C93">
        <w:rPr>
          <w:lang w:val="it-IT"/>
        </w:rPr>
        <w:t>Mele,</w:t>
      </w:r>
      <w:r w:rsidR="00961D57">
        <w:rPr>
          <w:lang w:val="it-IT"/>
        </w:rPr>
        <w:t xml:space="preserve"> V.</w:t>
      </w:r>
      <w:r w:rsidR="003F4BD9">
        <w:rPr>
          <w:lang w:val="it-IT"/>
        </w:rPr>
        <w:t xml:space="preserve"> (2025). </w:t>
      </w:r>
      <w:r>
        <w:t>Agent</w:t>
      </w:r>
      <w:r w:rsidR="003F4BD9">
        <w:t xml:space="preserve"> </w:t>
      </w:r>
      <w:r>
        <w:t>AI: A comprehensive survey on autonomous agents in distributed AI for industry 4.0,</w:t>
      </w:r>
      <w:r w:rsidR="003F4BD9">
        <w:t xml:space="preserve"> </w:t>
      </w:r>
      <w:r>
        <w:t>Expert Systems with Applications,</w:t>
      </w:r>
      <w:r w:rsidR="003F4BD9">
        <w:t xml:space="preserve"> </w:t>
      </w:r>
      <w:r>
        <w:t>Vol</w:t>
      </w:r>
      <w:r w:rsidR="003F4BD9">
        <w:t>.</w:t>
      </w:r>
      <w:r>
        <w:t xml:space="preserve"> 291,</w:t>
      </w:r>
      <w:r w:rsidR="003F4BD9">
        <w:t xml:space="preserve"> </w:t>
      </w:r>
      <w:r>
        <w:t>ISSN 0957-4174,</w:t>
      </w:r>
      <w:r w:rsidR="003F4BD9">
        <w:t xml:space="preserve"> </w:t>
      </w:r>
      <w:hyperlink r:id="rId7" w:history="1">
        <w:r w:rsidR="003F4BD9" w:rsidRPr="00E06993">
          <w:rPr>
            <w:rStyle w:val="Hyperlink"/>
          </w:rPr>
          <w:t>https://doi.org/10.1016/j.eswa.2025.128404</w:t>
        </w:r>
      </w:hyperlink>
      <w:r>
        <w:t>.</w:t>
      </w:r>
    </w:p>
    <w:p w14:paraId="008D8984" w14:textId="632AA5C9" w:rsidR="003F4BD9" w:rsidRDefault="00422455" w:rsidP="008B7C93">
      <w:pPr>
        <w:jc w:val="both"/>
      </w:pPr>
      <w:r w:rsidRPr="00422455">
        <w:t xml:space="preserve">Terven, J. (2025). Deep Reinforcement Learning: A Chronological Overview and Methods. AI, 6(3), 46. </w:t>
      </w:r>
      <w:hyperlink r:id="rId8" w:history="1">
        <w:r w:rsidRPr="00E06993">
          <w:rPr>
            <w:rStyle w:val="Hyperlink"/>
          </w:rPr>
          <w:t>https://doi.org/10.3390/ai6030046</w:t>
        </w:r>
      </w:hyperlink>
      <w:r>
        <w:t>.</w:t>
      </w:r>
    </w:p>
    <w:p w14:paraId="3C297873" w14:textId="77777777" w:rsidR="001531D1" w:rsidRDefault="001531D1" w:rsidP="001531D1">
      <w:pPr>
        <w:jc w:val="both"/>
      </w:pPr>
    </w:p>
    <w:p w14:paraId="7815B992" w14:textId="4C959387" w:rsidR="00291B1C" w:rsidRDefault="00291B1C" w:rsidP="001531D1">
      <w:pPr>
        <w:jc w:val="both"/>
      </w:pPr>
      <w:r>
        <w:t>Peer-Response 2</w:t>
      </w:r>
      <w:r w:rsidR="00A32A9C">
        <w:t xml:space="preserve"> (Thompson)</w:t>
      </w:r>
    </w:p>
    <w:p w14:paraId="720B5CA5" w14:textId="49493E01" w:rsidR="00B86CFA" w:rsidRDefault="00B86CFA" w:rsidP="00B86CFA">
      <w:pPr>
        <w:jc w:val="both"/>
      </w:pPr>
      <w:r>
        <w:t xml:space="preserve">Your discussion provides a clear and well-grounded explanation of the growing relevance of agent-based systems in addressing the limitations of traditional centralized architectures. The contrast you draw between centralized control and decentralized autonomy is particularly </w:t>
      </w:r>
      <w:r w:rsidR="0050061F">
        <w:t>effective and</w:t>
      </w:r>
      <w:r>
        <w:t xml:space="preserve"> aligns well with foundational perspectives in artificial intelligence (</w:t>
      </w:r>
      <w:r w:rsidR="00F87FD6">
        <w:t>A</w:t>
      </w:r>
      <w:r w:rsidR="001E2BB0">
        <w:t>l Jasem et al., 2025)</w:t>
      </w:r>
      <w:r>
        <w:t>. The emphasis on distributed problem solving is also appropriate, as it captures one of the key motivations behind the adoption of agent-based approaches in complex, large-scale environments.</w:t>
      </w:r>
    </w:p>
    <w:p w14:paraId="23232C3A" w14:textId="4966C28B" w:rsidR="00B86CFA" w:rsidRDefault="00B86CFA" w:rsidP="00B86CFA">
      <w:pPr>
        <w:jc w:val="both"/>
      </w:pPr>
      <w:r>
        <w:t xml:space="preserve">Your discussion of scalability, flexibility, and autonomy is well supported and consistent with the work of </w:t>
      </w:r>
      <w:r w:rsidR="00764C69">
        <w:t>Hadzic et al</w:t>
      </w:r>
      <w:r w:rsidR="001F7CA9">
        <w:t>. (2009)</w:t>
      </w:r>
      <w:r>
        <w:t>, particularly in highlighting how agents can operate independently while contributing to system-wide objectives. The point on robustness is especially important, as decentralised decision-making enhances fault tolerance and system resilience in dynamic environments.</w:t>
      </w:r>
    </w:p>
    <w:p w14:paraId="0103CA98" w14:textId="06422185" w:rsidR="00B86CFA" w:rsidRDefault="00B86CFA" w:rsidP="00B86CFA">
      <w:pPr>
        <w:jc w:val="both"/>
      </w:pPr>
      <w:r>
        <w:t>The inclusion of different agent models, especially the Belief–Desire–Intention architecture, adds strong theoretical depth to your response. This demonstrates a good understanding of how agent architectures support reasoning and planning.</w:t>
      </w:r>
    </w:p>
    <w:p w14:paraId="0B6D3161" w14:textId="77777777" w:rsidR="00B86CFA" w:rsidRDefault="00B86CFA" w:rsidP="00B86CFA">
      <w:pPr>
        <w:jc w:val="both"/>
      </w:pPr>
      <w:r>
        <w:t>To further strengthen your discussion, you could briefly consider potential challenges such as coordination complexity or communication overhead among agents.</w:t>
      </w:r>
    </w:p>
    <w:p w14:paraId="770C1F07" w14:textId="77777777" w:rsidR="00B86CFA" w:rsidRDefault="00B86CFA" w:rsidP="00B86CFA">
      <w:pPr>
        <w:jc w:val="both"/>
      </w:pPr>
    </w:p>
    <w:p w14:paraId="270F4E5C" w14:textId="77777777" w:rsidR="00B86CFA" w:rsidRDefault="00B86CFA" w:rsidP="00B86CFA">
      <w:pPr>
        <w:jc w:val="both"/>
      </w:pPr>
      <w:r>
        <w:t>References</w:t>
      </w:r>
    </w:p>
    <w:p w14:paraId="6223984F" w14:textId="188B222A" w:rsidR="00DB1E5A" w:rsidRDefault="00DB1E5A" w:rsidP="00B86CFA">
      <w:pPr>
        <w:jc w:val="both"/>
      </w:pPr>
      <w:r w:rsidRPr="00DB1E5A">
        <w:rPr>
          <w:lang w:val="fr-CD"/>
        </w:rPr>
        <w:lastRenderedPageBreak/>
        <w:t xml:space="preserve">Al Jasem, M. S., De Clark, T., &amp; Shrestha, A. K. (2025). </w:t>
      </w:r>
      <w:r w:rsidRPr="00DB1E5A">
        <w:t xml:space="preserve">Toward Decentralized Intelligence: A Systematic Literature Review of Blockchain-Enabled AI Systems. Information, 16(9), 765. </w:t>
      </w:r>
      <w:hyperlink r:id="rId9" w:history="1">
        <w:r w:rsidR="002F3080" w:rsidRPr="00E06993">
          <w:rPr>
            <w:rStyle w:val="Hyperlink"/>
          </w:rPr>
          <w:t>https://doi.org/10.3390/info16090765</w:t>
        </w:r>
      </w:hyperlink>
      <w:r>
        <w:t>.</w:t>
      </w:r>
    </w:p>
    <w:p w14:paraId="380EC199" w14:textId="4F08AD0C" w:rsidR="009C1962" w:rsidRDefault="009C1962" w:rsidP="00B86CFA">
      <w:pPr>
        <w:jc w:val="both"/>
      </w:pPr>
      <w:r w:rsidRPr="009C1962">
        <w:t xml:space="preserve">Hadzic, M., </w:t>
      </w:r>
      <w:proofErr w:type="spellStart"/>
      <w:r w:rsidRPr="009C1962">
        <w:t>Wongthongtham</w:t>
      </w:r>
      <w:proofErr w:type="spellEnd"/>
      <w:r w:rsidRPr="009C1962">
        <w:t xml:space="preserve">, P., Dillon, T., Chang, E. (2009). Introduction to Multi-Agent Systems. In: Ontology-Based Multi-Agent Systems. Studies in Computational Intelligence, vol 219. Springer, Berlin, Heidelberg. </w:t>
      </w:r>
      <w:hyperlink r:id="rId10" w:history="1">
        <w:r w:rsidRPr="00AA646E">
          <w:rPr>
            <w:rStyle w:val="Hyperlink"/>
          </w:rPr>
          <w:t>https://doi.org/10.1007/978-3-642-01904-3_2</w:t>
        </w:r>
      </w:hyperlink>
      <w:r>
        <w:t>.</w:t>
      </w:r>
    </w:p>
    <w:p w14:paraId="23B4C205" w14:textId="306DB14A" w:rsidR="004450C7" w:rsidRDefault="004450C7" w:rsidP="00B86CFA">
      <w:pPr>
        <w:jc w:val="both"/>
      </w:pPr>
      <w:r>
        <w:t>Summary Post</w:t>
      </w:r>
    </w:p>
    <w:p w14:paraId="0EBF1039" w14:textId="5C24A07E" w:rsidR="004450C7" w:rsidRPr="004450C7" w:rsidRDefault="004450C7" w:rsidP="004450C7">
      <w:pPr>
        <w:jc w:val="both"/>
      </w:pPr>
      <w:r w:rsidRPr="004450C7">
        <w:t>Agent-Based Systems (ABS) have emerged as a powerful paradigm for addressing the increasing complexity, decentralization, and heterogeneity of modern engineering systems. As highlighted by Jennings (2000) and Petrie (2001), traditional centralized approaches are often inadequate for large-scale, dynamic environments such as smart grids, industrial IoT, and distributed energy networks. ABS overcome these limitations by distributing intelligence across autonomous agents capable of local decision-making while contributing to global system objectives. Advances in artificial intelligence and multi-agent coordination have further accelerated their adoption, particularly in contexts requiring scalability and real-time responsiveness.</w:t>
      </w:r>
    </w:p>
    <w:p w14:paraId="52DE19F2" w14:textId="77777777" w:rsidR="004450C7" w:rsidRPr="004450C7" w:rsidRDefault="004450C7" w:rsidP="004450C7">
      <w:pPr>
        <w:jc w:val="both"/>
      </w:pPr>
      <w:r w:rsidRPr="004450C7">
        <w:t>In condition monitoring applications, ABS offer several notable advantages. They enable distributed intelligence, where agents monitor individual components and detect anomalies locally, thereby reducing communication overhead and data bottlenecks. Additionally, ABS enhance system robustness and fault tolerance, as the failure of a single agent does not compromise the entire system. Their inherent scalability allows seamless integration of new sensors or components, making them highly adaptable to evolving system requirements. Furthermore, agents can collaborate to perform advanced diagnostics and prognostics, improving predictive maintenance and minimizing downtime (</w:t>
      </w:r>
      <w:proofErr w:type="spellStart"/>
      <w:r w:rsidRPr="004450C7">
        <w:t>Izmirlioglu</w:t>
      </w:r>
      <w:proofErr w:type="spellEnd"/>
      <w:r w:rsidRPr="004450C7">
        <w:t xml:space="preserve"> et al., 2024).</w:t>
      </w:r>
    </w:p>
    <w:p w14:paraId="2D963E71" w14:textId="77777777" w:rsidR="004450C7" w:rsidRPr="004450C7" w:rsidRDefault="004450C7" w:rsidP="004450C7">
      <w:pPr>
        <w:jc w:val="both"/>
      </w:pPr>
      <w:r w:rsidRPr="004450C7">
        <w:t>Peer discussions further emphasize the relevance of ABS in Industry 4.0 and decision-support contexts, where decentralization, adaptability, and stakeholder engagement are critical (</w:t>
      </w:r>
      <w:proofErr w:type="spellStart"/>
      <w:r w:rsidRPr="004450C7">
        <w:t>Piccialli</w:t>
      </w:r>
      <w:proofErr w:type="spellEnd"/>
      <w:r w:rsidRPr="004450C7">
        <w:t xml:space="preserve"> et al., 2025; Gregory et al., 2020). However, challenges such as coordination complexity and computational overhead remain important considerations (Al Jasem et al., 2025).</w:t>
      </w:r>
    </w:p>
    <w:p w14:paraId="77E6539B" w14:textId="77777777" w:rsidR="004450C7" w:rsidRPr="004450C7" w:rsidRDefault="004450C7" w:rsidP="004450C7">
      <w:pPr>
        <w:jc w:val="both"/>
      </w:pPr>
      <w:r w:rsidRPr="004450C7">
        <w:t>Overall, ABS provide a flexible, resilient, and scalable framework for modern engineering applications, particularly in intelligent monitoring systems.</w:t>
      </w:r>
    </w:p>
    <w:p w14:paraId="222D41EE" w14:textId="77777777" w:rsidR="004450C7" w:rsidRDefault="004450C7" w:rsidP="004450C7">
      <w:pPr>
        <w:jc w:val="both"/>
      </w:pPr>
      <w:r w:rsidRPr="004450C7">
        <w:rPr>
          <w:b/>
          <w:bCs/>
        </w:rPr>
        <w:t>References</w:t>
      </w:r>
      <w:r w:rsidRPr="004450C7">
        <w:br/>
      </w:r>
    </w:p>
    <w:p w14:paraId="5E6B6137" w14:textId="6FE17F28" w:rsidR="00560389" w:rsidRDefault="00560389" w:rsidP="004450C7">
      <w:pPr>
        <w:jc w:val="both"/>
      </w:pPr>
      <w:r w:rsidRPr="00560389">
        <w:t xml:space="preserve">Gregory, A. J., Atkins, J. P., Midgley, G. &amp; Hodgson, A. M. (2020). Stakeholder identification and engagement in problem structuring interventions, European Journal of Operational Research, Vol. 283, Issue 1, pp. 321-340, ISSN 0377-2217, </w:t>
      </w:r>
      <w:hyperlink r:id="rId11" w:history="1">
        <w:r w:rsidRPr="00AA646E">
          <w:rPr>
            <w:rStyle w:val="Hyperlink"/>
          </w:rPr>
          <w:t>https://doi.org/10.1016/j.ejor.2019.10.044</w:t>
        </w:r>
      </w:hyperlink>
      <w:r w:rsidRPr="00560389">
        <w:t>.</w:t>
      </w:r>
    </w:p>
    <w:p w14:paraId="5FF62DCC" w14:textId="1164CFB3" w:rsidR="00DF4FC7" w:rsidRDefault="00DF4FC7" w:rsidP="004450C7">
      <w:pPr>
        <w:jc w:val="both"/>
      </w:pPr>
      <w:r w:rsidRPr="00DF4FC7">
        <w:t xml:space="preserve">Jennings, N. R. (2000). On agent-based software engineering, Artificial Intelligence, Vol. 117, Issue 2, pp. 277-296, ISSN 0004-3702, </w:t>
      </w:r>
      <w:hyperlink r:id="rId12" w:history="1">
        <w:r w:rsidRPr="00AA646E">
          <w:rPr>
            <w:rStyle w:val="Hyperlink"/>
          </w:rPr>
          <w:t>https://doi.org/10.1016/S0004-3702(99)00107-1</w:t>
        </w:r>
      </w:hyperlink>
      <w:r w:rsidRPr="00DF4FC7">
        <w:t>.</w:t>
      </w:r>
    </w:p>
    <w:p w14:paraId="2975ABAA" w14:textId="411D758C" w:rsidR="001614CB" w:rsidRDefault="001614CB" w:rsidP="004450C7">
      <w:pPr>
        <w:jc w:val="both"/>
      </w:pPr>
      <w:proofErr w:type="spellStart"/>
      <w:r w:rsidRPr="001614CB">
        <w:rPr>
          <w:lang w:val="fr-CD"/>
        </w:rPr>
        <w:t>Izmirlioglu</w:t>
      </w:r>
      <w:proofErr w:type="spellEnd"/>
      <w:r w:rsidRPr="001614CB">
        <w:rPr>
          <w:lang w:val="fr-CD"/>
        </w:rPr>
        <w:t xml:space="preserve">, Y., Pham, L., Son, T. C., &amp; Pontelli, E. (2024). </w:t>
      </w:r>
      <w:r w:rsidRPr="001614CB">
        <w:t xml:space="preserve">A Survey of Multi-Agent Systems for Smart grids. Energies, 17(15), 3620. </w:t>
      </w:r>
      <w:hyperlink r:id="rId13" w:history="1">
        <w:r w:rsidRPr="00AA646E">
          <w:rPr>
            <w:rStyle w:val="Hyperlink"/>
          </w:rPr>
          <w:t>https://doi.org/10.3390/en17153620</w:t>
        </w:r>
      </w:hyperlink>
      <w:r w:rsidRPr="001614CB">
        <w:t>.</w:t>
      </w:r>
    </w:p>
    <w:p w14:paraId="49B28A33" w14:textId="553562AB" w:rsidR="00F23497" w:rsidRPr="00D21F80" w:rsidRDefault="00F23497" w:rsidP="004450C7">
      <w:pPr>
        <w:jc w:val="both"/>
        <w:rPr>
          <w:lang w:val="it-IT"/>
        </w:rPr>
      </w:pPr>
      <w:r w:rsidRPr="00F23497">
        <w:t xml:space="preserve">Petrie, C. (2001). Agent-Based Software Engineering. In: Ciancarini, P., Wooldridge, M.J. (eds) Agent-Oriented Software Engineering. AOSE 2000. Lecture Notes in Computer Science, vol 1957. Springer, Berlin, Heidelberg. </w:t>
      </w:r>
      <w:hyperlink r:id="rId14" w:history="1">
        <w:r w:rsidRPr="00D21F80">
          <w:rPr>
            <w:rStyle w:val="Hyperlink"/>
            <w:lang w:val="it-IT"/>
          </w:rPr>
          <w:t>https://doi.org/10.1007/3-540-44564-1_4</w:t>
        </w:r>
      </w:hyperlink>
      <w:r w:rsidRPr="00D21F80">
        <w:rPr>
          <w:lang w:val="it-IT"/>
        </w:rPr>
        <w:t>.</w:t>
      </w:r>
    </w:p>
    <w:p w14:paraId="54FE340E" w14:textId="100FB0DA" w:rsidR="00D21F80" w:rsidRDefault="00D21F80" w:rsidP="004450C7">
      <w:pPr>
        <w:jc w:val="both"/>
      </w:pPr>
      <w:r w:rsidRPr="00D21F80">
        <w:rPr>
          <w:lang w:val="it-IT"/>
        </w:rPr>
        <w:lastRenderedPageBreak/>
        <w:t xml:space="preserve">Piccialli, F., Chiaro, D., Sarwar, S., Cerciello, D., Qi, P., Mele, V. (2025). </w:t>
      </w:r>
      <w:r w:rsidRPr="00D21F80">
        <w:t xml:space="preserve">Agent AI: A comprehensive survey on autonomous agents in distributed AI for industry 4.0, Expert Systems with Applications, Vol. 291, ISSN 0957-4174, </w:t>
      </w:r>
      <w:hyperlink r:id="rId15" w:history="1">
        <w:r w:rsidRPr="00AA646E">
          <w:rPr>
            <w:rStyle w:val="Hyperlink"/>
          </w:rPr>
          <w:t>https://doi.org/10.1016/j.eswa.2025.128404</w:t>
        </w:r>
      </w:hyperlink>
      <w:r w:rsidRPr="00D21F80">
        <w:t>.</w:t>
      </w:r>
    </w:p>
    <w:p w14:paraId="0E81B3D3" w14:textId="0EE2B4B4" w:rsidR="004450C7" w:rsidRDefault="00170D81" w:rsidP="00B86CFA">
      <w:pPr>
        <w:jc w:val="both"/>
      </w:pPr>
      <w:r w:rsidRPr="00170D81">
        <w:rPr>
          <w:lang w:val="fr-CD"/>
        </w:rPr>
        <w:t xml:space="preserve">Al Jasem, M. S., De Clark, T., &amp; Shrestha, A. K. (2025). </w:t>
      </w:r>
      <w:r w:rsidRPr="00170D81">
        <w:t xml:space="preserve">Toward Decentralized Intelligence: A Systematic Literature Review of Blockchain-Enabled AI Systems. Information, 16(9), 765. </w:t>
      </w:r>
      <w:hyperlink r:id="rId16" w:history="1">
        <w:r w:rsidRPr="00AA646E">
          <w:rPr>
            <w:rStyle w:val="Hyperlink"/>
          </w:rPr>
          <w:t>https://doi.org/10.3390/info16090765</w:t>
        </w:r>
      </w:hyperlink>
      <w:r w:rsidRPr="00170D81">
        <w:t>.</w:t>
      </w:r>
    </w:p>
    <w:p w14:paraId="0EDFC371" w14:textId="77777777" w:rsidR="00170D81" w:rsidRPr="00D21F80" w:rsidRDefault="00170D81" w:rsidP="00B86CFA">
      <w:pPr>
        <w:jc w:val="both"/>
        <w:rPr>
          <w:lang w:val="fr-CD"/>
        </w:rPr>
      </w:pPr>
    </w:p>
    <w:p w14:paraId="53E7D3D6" w14:textId="77777777" w:rsidR="009C1962" w:rsidRPr="00D21F80" w:rsidRDefault="009C1962" w:rsidP="00B86CFA">
      <w:pPr>
        <w:jc w:val="both"/>
        <w:rPr>
          <w:lang w:val="fr-CD"/>
        </w:rPr>
      </w:pPr>
    </w:p>
    <w:p w14:paraId="3B911083" w14:textId="77777777" w:rsidR="002F3080" w:rsidRPr="00D21F80" w:rsidRDefault="002F3080" w:rsidP="00B86CFA">
      <w:pPr>
        <w:jc w:val="both"/>
        <w:rPr>
          <w:lang w:val="fr-CD"/>
        </w:rPr>
      </w:pPr>
    </w:p>
    <w:p w14:paraId="575F45AB" w14:textId="77777777" w:rsidR="00C86951" w:rsidRPr="00D21F80" w:rsidRDefault="00C86951" w:rsidP="006527FA">
      <w:pPr>
        <w:jc w:val="both"/>
        <w:rPr>
          <w:lang w:val="fr-CD"/>
        </w:rPr>
      </w:pPr>
    </w:p>
    <w:p w14:paraId="103D62FD" w14:textId="77777777" w:rsidR="00422455" w:rsidRPr="00D21F80" w:rsidRDefault="00422455" w:rsidP="008B7C93">
      <w:pPr>
        <w:jc w:val="both"/>
        <w:rPr>
          <w:lang w:val="fr-CD"/>
        </w:rPr>
      </w:pPr>
    </w:p>
    <w:p w14:paraId="715E150C" w14:textId="77777777" w:rsidR="008B7C93" w:rsidRPr="00D21F80" w:rsidRDefault="008B7C93" w:rsidP="007D1DB5">
      <w:pPr>
        <w:jc w:val="both"/>
        <w:rPr>
          <w:lang w:val="fr-CD"/>
        </w:rPr>
      </w:pPr>
    </w:p>
    <w:p w14:paraId="41DCE515" w14:textId="77777777" w:rsidR="008B7C93" w:rsidRPr="00D21F80" w:rsidRDefault="008B7C93" w:rsidP="007D1DB5">
      <w:pPr>
        <w:jc w:val="both"/>
        <w:rPr>
          <w:lang w:val="fr-CD"/>
        </w:rPr>
      </w:pPr>
    </w:p>
    <w:p w14:paraId="7F4895EF" w14:textId="77777777" w:rsidR="004C3CE8" w:rsidRPr="00D21F80" w:rsidRDefault="004C3CE8" w:rsidP="00ED2DED">
      <w:pPr>
        <w:jc w:val="both"/>
        <w:rPr>
          <w:lang w:val="fr-CD"/>
        </w:rPr>
      </w:pPr>
    </w:p>
    <w:p w14:paraId="24DBC9BE" w14:textId="77777777" w:rsidR="00ED2DED" w:rsidRPr="00D21F80" w:rsidRDefault="00ED2DED" w:rsidP="00ED2DED">
      <w:pPr>
        <w:jc w:val="both"/>
        <w:rPr>
          <w:lang w:val="fr-CD"/>
        </w:rPr>
      </w:pPr>
    </w:p>
    <w:sectPr w:rsidR="00ED2DED" w:rsidRPr="00D21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ED"/>
    <w:rsid w:val="00007541"/>
    <w:rsid w:val="001531D1"/>
    <w:rsid w:val="001614CB"/>
    <w:rsid w:val="00170D81"/>
    <w:rsid w:val="001E2BB0"/>
    <w:rsid w:val="001E337F"/>
    <w:rsid w:val="001F7CA9"/>
    <w:rsid w:val="0021596D"/>
    <w:rsid w:val="00291B1C"/>
    <w:rsid w:val="002A2648"/>
    <w:rsid w:val="002F3080"/>
    <w:rsid w:val="00361ED0"/>
    <w:rsid w:val="003867C6"/>
    <w:rsid w:val="003D768E"/>
    <w:rsid w:val="003F4BD9"/>
    <w:rsid w:val="00402C78"/>
    <w:rsid w:val="00422455"/>
    <w:rsid w:val="004450C7"/>
    <w:rsid w:val="004C3CE8"/>
    <w:rsid w:val="0050061F"/>
    <w:rsid w:val="005461B8"/>
    <w:rsid w:val="00560389"/>
    <w:rsid w:val="006527FA"/>
    <w:rsid w:val="00661F13"/>
    <w:rsid w:val="0069662E"/>
    <w:rsid w:val="00764C69"/>
    <w:rsid w:val="00765876"/>
    <w:rsid w:val="007761E1"/>
    <w:rsid w:val="007D1DB5"/>
    <w:rsid w:val="007F6DC2"/>
    <w:rsid w:val="0089795F"/>
    <w:rsid w:val="008B7C93"/>
    <w:rsid w:val="008D2163"/>
    <w:rsid w:val="00961D57"/>
    <w:rsid w:val="00995529"/>
    <w:rsid w:val="009C1962"/>
    <w:rsid w:val="00A32A9C"/>
    <w:rsid w:val="00A6323E"/>
    <w:rsid w:val="00A63FEF"/>
    <w:rsid w:val="00A77DA3"/>
    <w:rsid w:val="00AD73E7"/>
    <w:rsid w:val="00AF4DEA"/>
    <w:rsid w:val="00B209F3"/>
    <w:rsid w:val="00B30685"/>
    <w:rsid w:val="00B55643"/>
    <w:rsid w:val="00B86CFA"/>
    <w:rsid w:val="00C1251C"/>
    <w:rsid w:val="00C36779"/>
    <w:rsid w:val="00C37013"/>
    <w:rsid w:val="00C86951"/>
    <w:rsid w:val="00CD759B"/>
    <w:rsid w:val="00CF51DA"/>
    <w:rsid w:val="00D07016"/>
    <w:rsid w:val="00D21F80"/>
    <w:rsid w:val="00D27325"/>
    <w:rsid w:val="00DA4440"/>
    <w:rsid w:val="00DB1E5A"/>
    <w:rsid w:val="00DB34E3"/>
    <w:rsid w:val="00DB606C"/>
    <w:rsid w:val="00DF4FC7"/>
    <w:rsid w:val="00E07572"/>
    <w:rsid w:val="00E51F34"/>
    <w:rsid w:val="00E60E99"/>
    <w:rsid w:val="00EA6CB7"/>
    <w:rsid w:val="00ED2DED"/>
    <w:rsid w:val="00EF66C8"/>
    <w:rsid w:val="00F17DE8"/>
    <w:rsid w:val="00F23497"/>
    <w:rsid w:val="00F87FD6"/>
    <w:rsid w:val="00F9142E"/>
    <w:rsid w:val="00FB17A9"/>
    <w:rsid w:val="00FC3B10"/>
    <w:rsid w:val="00FE45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8DF1"/>
  <w15:chartTrackingRefBased/>
  <w15:docId w15:val="{2970C6A2-DC4F-4E18-9764-7572CB21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DED"/>
    <w:rPr>
      <w:rFonts w:eastAsiaTheme="majorEastAsia" w:cstheme="majorBidi"/>
      <w:color w:val="272727" w:themeColor="text1" w:themeTint="D8"/>
    </w:rPr>
  </w:style>
  <w:style w:type="paragraph" w:styleId="Title">
    <w:name w:val="Title"/>
    <w:basedOn w:val="Normal"/>
    <w:next w:val="Normal"/>
    <w:link w:val="TitleChar"/>
    <w:uiPriority w:val="10"/>
    <w:qFormat/>
    <w:rsid w:val="00ED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DED"/>
    <w:pPr>
      <w:spacing w:before="160"/>
      <w:jc w:val="center"/>
    </w:pPr>
    <w:rPr>
      <w:i/>
      <w:iCs/>
      <w:color w:val="404040" w:themeColor="text1" w:themeTint="BF"/>
    </w:rPr>
  </w:style>
  <w:style w:type="character" w:customStyle="1" w:styleId="QuoteChar">
    <w:name w:val="Quote Char"/>
    <w:basedOn w:val="DefaultParagraphFont"/>
    <w:link w:val="Quote"/>
    <w:uiPriority w:val="29"/>
    <w:rsid w:val="00ED2DED"/>
    <w:rPr>
      <w:i/>
      <w:iCs/>
      <w:color w:val="404040" w:themeColor="text1" w:themeTint="BF"/>
    </w:rPr>
  </w:style>
  <w:style w:type="paragraph" w:styleId="ListParagraph">
    <w:name w:val="List Paragraph"/>
    <w:basedOn w:val="Normal"/>
    <w:uiPriority w:val="34"/>
    <w:qFormat/>
    <w:rsid w:val="00ED2DED"/>
    <w:pPr>
      <w:ind w:left="720"/>
      <w:contextualSpacing/>
    </w:pPr>
  </w:style>
  <w:style w:type="character" w:styleId="IntenseEmphasis">
    <w:name w:val="Intense Emphasis"/>
    <w:basedOn w:val="DefaultParagraphFont"/>
    <w:uiPriority w:val="21"/>
    <w:qFormat/>
    <w:rsid w:val="00ED2DED"/>
    <w:rPr>
      <w:i/>
      <w:iCs/>
      <w:color w:val="0F4761" w:themeColor="accent1" w:themeShade="BF"/>
    </w:rPr>
  </w:style>
  <w:style w:type="paragraph" w:styleId="IntenseQuote">
    <w:name w:val="Intense Quote"/>
    <w:basedOn w:val="Normal"/>
    <w:next w:val="Normal"/>
    <w:link w:val="IntenseQuoteChar"/>
    <w:uiPriority w:val="30"/>
    <w:qFormat/>
    <w:rsid w:val="00ED2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DED"/>
    <w:rPr>
      <w:i/>
      <w:iCs/>
      <w:color w:val="0F4761" w:themeColor="accent1" w:themeShade="BF"/>
    </w:rPr>
  </w:style>
  <w:style w:type="character" w:styleId="IntenseReference">
    <w:name w:val="Intense Reference"/>
    <w:basedOn w:val="DefaultParagraphFont"/>
    <w:uiPriority w:val="32"/>
    <w:qFormat/>
    <w:rsid w:val="00ED2DED"/>
    <w:rPr>
      <w:b/>
      <w:bCs/>
      <w:smallCaps/>
      <w:color w:val="0F4761" w:themeColor="accent1" w:themeShade="BF"/>
      <w:spacing w:val="5"/>
    </w:rPr>
  </w:style>
  <w:style w:type="character" w:styleId="Hyperlink">
    <w:name w:val="Hyperlink"/>
    <w:basedOn w:val="DefaultParagraphFont"/>
    <w:uiPriority w:val="99"/>
    <w:unhideWhenUsed/>
    <w:rsid w:val="00ED2DED"/>
    <w:rPr>
      <w:color w:val="467886" w:themeColor="hyperlink"/>
      <w:u w:val="single"/>
    </w:rPr>
  </w:style>
  <w:style w:type="character" w:styleId="UnresolvedMention">
    <w:name w:val="Unresolved Mention"/>
    <w:basedOn w:val="DefaultParagraphFont"/>
    <w:uiPriority w:val="99"/>
    <w:semiHidden/>
    <w:unhideWhenUsed/>
    <w:rsid w:val="00ED2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i6030046" TargetMode="External"/><Relationship Id="rId13" Type="http://schemas.openxmlformats.org/officeDocument/2006/relationships/hyperlink" Target="https://doi.org/10.3390/en1715362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eswa.2025.128404" TargetMode="External"/><Relationship Id="rId12" Type="http://schemas.openxmlformats.org/officeDocument/2006/relationships/hyperlink" Target="https://doi.org/10.1016/S0004-3702(99)00107-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90/info16090765" TargetMode="External"/><Relationship Id="rId1" Type="http://schemas.openxmlformats.org/officeDocument/2006/relationships/customXml" Target="../customXml/item1.xml"/><Relationship Id="rId6" Type="http://schemas.openxmlformats.org/officeDocument/2006/relationships/hyperlink" Target="https://doi.org/10.1016/j.ejor.2019.10.044" TargetMode="External"/><Relationship Id="rId11" Type="http://schemas.openxmlformats.org/officeDocument/2006/relationships/hyperlink" Target="https://doi.org/10.1016/j.ejor.2019.10.044" TargetMode="External"/><Relationship Id="rId5" Type="http://schemas.openxmlformats.org/officeDocument/2006/relationships/hyperlink" Target="https://doi.org/10.1016/j.procs.2020.02.255" TargetMode="External"/><Relationship Id="rId15" Type="http://schemas.openxmlformats.org/officeDocument/2006/relationships/hyperlink" Target="https://doi.org/10.1016/j.eswa.2025.128404" TargetMode="External"/><Relationship Id="rId10" Type="http://schemas.openxmlformats.org/officeDocument/2006/relationships/hyperlink" Target="https://doi.org/10.1007/978-3-642-01904-3_2" TargetMode="External"/><Relationship Id="rId4" Type="http://schemas.openxmlformats.org/officeDocument/2006/relationships/webSettings" Target="webSettings.xml"/><Relationship Id="rId9" Type="http://schemas.openxmlformats.org/officeDocument/2006/relationships/hyperlink" Target="https://doi.org/10.3390/info16090765" TargetMode="External"/><Relationship Id="rId14" Type="http://schemas.openxmlformats.org/officeDocument/2006/relationships/hyperlink" Target="https://doi.org/10.1007/3-540-44564-1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C5685-A901-4499-9421-5B7F0C42E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4</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64</cp:revision>
  <dcterms:created xsi:type="dcterms:W3CDTF">2026-04-17T18:06:00Z</dcterms:created>
  <dcterms:modified xsi:type="dcterms:W3CDTF">2026-04-18T00:55:00Z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2026-04-17T18:52:16Z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17a74db2-e137-4c31-9f9c-900c8f137ebf</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