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08E5" w14:textId="07C9A3F2" w:rsidR="002A2648" w:rsidRDefault="002A2648" w:rsidP="00ED2DED">
      <w:pPr>
        <w:jc w:val="both"/>
      </w:pPr>
      <w:r>
        <w:t xml:space="preserve">Assignment </w:t>
      </w:r>
      <w:r w:rsidR="0021596D">
        <w:t>2</w:t>
      </w:r>
      <w:r>
        <w:t xml:space="preserve"> </w:t>
      </w:r>
      <w:r w:rsidR="00995529">
        <w:t>(Agent</w:t>
      </w:r>
      <w:r w:rsidR="00D27325">
        <w:t xml:space="preserve"> Communication Languages</w:t>
      </w:r>
      <w:r w:rsidR="00995529">
        <w:t>)</w:t>
      </w:r>
      <w:r w:rsidR="008D2163">
        <w:t xml:space="preserve"> – Initial Post</w:t>
      </w:r>
    </w:p>
    <w:p w14:paraId="65A8E4D2" w14:textId="5C86669A" w:rsidR="0021596D" w:rsidRDefault="0021596D" w:rsidP="0021596D">
      <w:pPr>
        <w:jc w:val="both"/>
      </w:pPr>
      <w:r>
        <w:t>Agent Communication Languages (ACLs) such as Knowledge Query and Manipulation Language (KQML) offer several advantages in distributed intelligent systems</w:t>
      </w:r>
      <w:r w:rsidR="00B209F3">
        <w:t xml:space="preserve"> (</w:t>
      </w:r>
      <w:r w:rsidR="00B209F3" w:rsidRPr="00B209F3">
        <w:t>Balaji</w:t>
      </w:r>
      <w:r w:rsidR="00DA4440">
        <w:t xml:space="preserve"> </w:t>
      </w:r>
      <w:r w:rsidR="00B209F3" w:rsidRPr="00B209F3">
        <w:t>&amp; Srinivasan, 2010)</w:t>
      </w:r>
      <w:r>
        <w:t>. One key benefit is interoperability: agents developed in different programming languages or platforms can communicate through standardi</w:t>
      </w:r>
      <w:r w:rsidR="00D07016">
        <w:t>s</w:t>
      </w:r>
      <w:r>
        <w:t>ed performatives</w:t>
      </w:r>
      <w:r w:rsidR="00765876">
        <w:t xml:space="preserve"> (</w:t>
      </w:r>
      <w:r w:rsidR="00765876" w:rsidRPr="00765876">
        <w:t>Calegari</w:t>
      </w:r>
      <w:r w:rsidR="00765876">
        <w:t xml:space="preserve"> et al</w:t>
      </w:r>
      <w:r w:rsidR="00AF4DEA">
        <w:t>., 2021)</w:t>
      </w:r>
      <w:r>
        <w:t>. This makes KQML particularly suitable for heterogeneous environments such as multi-agent condition monitoring systems</w:t>
      </w:r>
      <w:r w:rsidR="004C3CE8">
        <w:t xml:space="preserve"> (</w:t>
      </w:r>
      <w:r w:rsidR="004C3CE8" w:rsidRPr="004C3CE8">
        <w:t>González-Briones</w:t>
      </w:r>
      <w:r w:rsidR="004C3CE8">
        <w:t>, 2018)</w:t>
      </w:r>
      <w:r>
        <w:t>. Additionally, ACLs support high-level, semantically rich communication, enabling agents to exchange intentions, beliefs, and goals rather than just raw data. This abstraction facilitates flexible coordination, negotiation, and dynamic task allocation. Furthermore, ACLs promote loose coupling, allowing agents to operate autonomously and evolve independently without tightly binding system components.</w:t>
      </w:r>
    </w:p>
    <w:p w14:paraId="2EE45387" w14:textId="69A8401C" w:rsidR="0021596D" w:rsidRDefault="0021596D" w:rsidP="0021596D">
      <w:pPr>
        <w:jc w:val="both"/>
      </w:pPr>
      <w:r>
        <w:t>However, ACLs also present limitations. Their abstraction introduces computational overhead and complexity in parsing and interpreting messages. Standardi</w:t>
      </w:r>
      <w:r w:rsidR="00402C78">
        <w:t>s</w:t>
      </w:r>
      <w:r>
        <w:t>ation issues and ambiguity in semantics can lead to interoperability challenges in practice. Moreover, debugging and performance optimi</w:t>
      </w:r>
      <w:r w:rsidR="007761E1">
        <w:t>s</w:t>
      </w:r>
      <w:r>
        <w:t>ation can be more difficult compared to traditional programming paradigms.</w:t>
      </w:r>
    </w:p>
    <w:p w14:paraId="7793D003" w14:textId="21E571CB" w:rsidR="002A2648" w:rsidRDefault="0021596D" w:rsidP="0021596D">
      <w:pPr>
        <w:jc w:val="both"/>
      </w:pPr>
      <w:r>
        <w:t>In contrast, method invocation in languages like Python or Java is more efficient and straightforward, relying on direct function calls with well-defined interfaces</w:t>
      </w:r>
      <w:r w:rsidR="00A63FEF">
        <w:t xml:space="preserve"> </w:t>
      </w:r>
      <w:r w:rsidR="00CF51DA">
        <w:t>(</w:t>
      </w:r>
      <w:r w:rsidR="00CF51DA" w:rsidRPr="00CF51DA">
        <w:t>Kone</w:t>
      </w:r>
      <w:r w:rsidR="00CF51DA">
        <w:t xml:space="preserve"> et al., 2000)</w:t>
      </w:r>
      <w:r>
        <w:t>. While this ensures speed and simplicity, it lacks the flexibility, autonomy, and semantic richness of ACLs. Thus, ACLs are better suited for distributed intelligent systems, whereas method invocation is preferable for tightly integrated applications.</w:t>
      </w:r>
    </w:p>
    <w:p w14:paraId="64C29C5D" w14:textId="77777777" w:rsidR="007761E1" w:rsidRDefault="007761E1" w:rsidP="00ED2DED">
      <w:pPr>
        <w:jc w:val="both"/>
      </w:pPr>
    </w:p>
    <w:p w14:paraId="7A7F54D2" w14:textId="76B04E8E" w:rsidR="00ED2DED" w:rsidRDefault="00ED2DED" w:rsidP="00ED2DED">
      <w:pPr>
        <w:jc w:val="both"/>
      </w:pPr>
      <w:r>
        <w:t>References</w:t>
      </w:r>
    </w:p>
    <w:p w14:paraId="3AE2F731" w14:textId="52BDF02C" w:rsidR="00CD759B" w:rsidRDefault="00C37013" w:rsidP="00ED2DED">
      <w:pPr>
        <w:jc w:val="both"/>
      </w:pPr>
      <w:r w:rsidRPr="00C37013">
        <w:t>Balaji, P.G.</w:t>
      </w:r>
      <w:r w:rsidR="00FB17A9">
        <w:t xml:space="preserve"> &amp; </w:t>
      </w:r>
      <w:r w:rsidRPr="00C37013">
        <w:t xml:space="preserve">Srinivasan, D. (2010). An Introduction to Multi-Agent Systems. In: Srinivasan, D., Jain, L.C. (eds) Innovations in Multi-Agent Systems and Applications - 1. Studies in Computational Intelligence, vol 310. Springer, Berlin, Heidelberg. </w:t>
      </w:r>
      <w:hyperlink r:id="rId5" w:history="1">
        <w:r w:rsidR="00CD759B" w:rsidRPr="00D74391">
          <w:rPr>
            <w:rStyle w:val="Hyperlink"/>
          </w:rPr>
          <w:t>https://doi.org/10.1007/978-3-642-14435-6_1</w:t>
        </w:r>
      </w:hyperlink>
      <w:r w:rsidR="00CD759B">
        <w:t>.</w:t>
      </w:r>
    </w:p>
    <w:p w14:paraId="446FEFC0" w14:textId="4E9E6B74" w:rsidR="00CF51DA" w:rsidRDefault="00CF51DA" w:rsidP="00ED2DED">
      <w:pPr>
        <w:jc w:val="both"/>
      </w:pPr>
      <w:r w:rsidRPr="00CF51DA">
        <w:rPr>
          <w:lang w:val="it-IT"/>
        </w:rPr>
        <w:t xml:space="preserve">Calegari, R., Ciatto, G., Mascardi, V. et al. </w:t>
      </w:r>
      <w:r w:rsidRPr="00CF51DA">
        <w:t xml:space="preserve">(2021). Logic-based technologies for multi-agent systems: a systematic literature review. Auton Agent Multi-Agent Syst. 35, 1. </w:t>
      </w:r>
      <w:hyperlink r:id="rId6" w:history="1">
        <w:r w:rsidRPr="00D74391">
          <w:rPr>
            <w:rStyle w:val="Hyperlink"/>
          </w:rPr>
          <w:t>https://doi.org/10.1007/s10458-020-09478-3</w:t>
        </w:r>
      </w:hyperlink>
      <w:r w:rsidRPr="00CF51DA">
        <w:t>.</w:t>
      </w:r>
    </w:p>
    <w:p w14:paraId="393A7A0C" w14:textId="346C93D4" w:rsidR="004C3CE8" w:rsidRPr="00A6323E" w:rsidRDefault="004C3CE8" w:rsidP="00ED2DED">
      <w:pPr>
        <w:jc w:val="both"/>
        <w:rPr>
          <w:lang w:val="it-IT"/>
        </w:rPr>
      </w:pPr>
      <w:r w:rsidRPr="004C3CE8">
        <w:t xml:space="preserve">González-Briones, A., De La Prieta, F., Mohamad, M. S., Omatu, S., &amp; Corchado, J. M. (2018). Multi-Agent Systems Applications in Energy Optimization Problems: A State-of-the-Art Review. </w:t>
      </w:r>
      <w:r w:rsidRPr="004C3CE8">
        <w:rPr>
          <w:lang w:val="fr-CD"/>
        </w:rPr>
        <w:t xml:space="preserve">Energies, 11(8), 1928. </w:t>
      </w:r>
      <w:hyperlink r:id="rId7" w:history="1">
        <w:r w:rsidRPr="00A6323E">
          <w:rPr>
            <w:rStyle w:val="Hyperlink"/>
            <w:lang w:val="it-IT"/>
          </w:rPr>
          <w:t>https://doi.org/10.3390/en11081928</w:t>
        </w:r>
      </w:hyperlink>
      <w:r w:rsidRPr="00A6323E">
        <w:rPr>
          <w:lang w:val="it-IT"/>
        </w:rPr>
        <w:t>.</w:t>
      </w:r>
    </w:p>
    <w:p w14:paraId="2962578C" w14:textId="0A1105C9" w:rsidR="00A6323E" w:rsidRPr="005070AD" w:rsidRDefault="00EA6CB7" w:rsidP="00ED2DED">
      <w:pPr>
        <w:jc w:val="both"/>
      </w:pPr>
      <w:r w:rsidRPr="00EA6CB7">
        <w:t>Kone, M., Shimazu, A. &amp; Nakajima, T.</w:t>
      </w:r>
      <w:r w:rsidR="00A63FEF">
        <w:t xml:space="preserve"> (2000).</w:t>
      </w:r>
      <w:r w:rsidRPr="00EA6CB7">
        <w:t xml:space="preserve"> The State of the Art in Agent Communication Languages. </w:t>
      </w:r>
      <w:r w:rsidRPr="00A63FEF">
        <w:t xml:space="preserve">Knowledge and Information Systems 2, 259–284. </w:t>
      </w:r>
      <w:hyperlink r:id="rId8" w:history="1">
        <w:r w:rsidRPr="005070AD">
          <w:rPr>
            <w:rStyle w:val="Hyperlink"/>
          </w:rPr>
          <w:t>https://doi.org/10.1007/PL00013712</w:t>
        </w:r>
      </w:hyperlink>
      <w:r w:rsidRPr="005070AD">
        <w:t>.</w:t>
      </w:r>
    </w:p>
    <w:p w14:paraId="5A2208ED" w14:textId="77777777" w:rsidR="00EA6CB7" w:rsidRPr="005070AD" w:rsidRDefault="00EA6CB7" w:rsidP="00ED2DED">
      <w:pPr>
        <w:jc w:val="both"/>
      </w:pPr>
    </w:p>
    <w:p w14:paraId="1C6F88CA" w14:textId="3BD71204" w:rsidR="004C3CE8" w:rsidRPr="005070AD" w:rsidRDefault="004C3CE8" w:rsidP="00ED2DED">
      <w:pPr>
        <w:jc w:val="both"/>
      </w:pPr>
      <w:r w:rsidRPr="005070AD">
        <w:t xml:space="preserve"> </w:t>
      </w:r>
      <w:r w:rsidR="00EA625B">
        <w:t>Peer Response</w:t>
      </w:r>
      <w:r w:rsidR="000C42E4" w:rsidRPr="005070AD">
        <w:t xml:space="preserve"> 1 </w:t>
      </w:r>
      <w:r w:rsidR="008755EA" w:rsidRPr="005070AD">
        <w:t>(Gaya</w:t>
      </w:r>
      <w:r w:rsidR="005070AD" w:rsidRPr="005070AD">
        <w:t>thridevi)</w:t>
      </w:r>
      <w:r w:rsidR="000C42E4" w:rsidRPr="005070AD">
        <w:t>:</w:t>
      </w:r>
    </w:p>
    <w:p w14:paraId="6D9E5693" w14:textId="03A97377" w:rsidR="00AC26A5" w:rsidRDefault="00AC26A5" w:rsidP="00AC26A5">
      <w:pPr>
        <w:jc w:val="both"/>
      </w:pPr>
      <w:r>
        <w:t xml:space="preserve">The discussion effectively underscores the semantic richness of Agent Communication Languages (ACLs), which closely aligns with advanced AI paradigms such as the Belief–Desire–Intention architecture. ACLs, including KQML, provide a robust abstraction layer for </w:t>
      </w:r>
      <w:r>
        <w:lastRenderedPageBreak/>
        <w:t>communication in multi-agent systems, particularly in contexts requiring autonomy and distributed intelligence</w:t>
      </w:r>
      <w:r w:rsidR="00691FBB">
        <w:t xml:space="preserve"> (</w:t>
      </w:r>
      <w:r w:rsidR="00691FBB" w:rsidRPr="00691FBB">
        <w:t>Dixit</w:t>
      </w:r>
      <w:r w:rsidR="00691FBB">
        <w:t xml:space="preserve"> </w:t>
      </w:r>
      <w:r w:rsidR="00691FBB" w:rsidRPr="00691FBB">
        <w:t>&amp; Silakari, 2021)</w:t>
      </w:r>
      <w:r>
        <w:t>. By embedding communicative intent within messages, ACLs enable more than simple data exchange; they support reasoning, negotiation, and coordinated decision-making among agents operating in complex and dynamic environments. This capability makes them highly suitable for applications such as condition monitoring in smart grids and industrial systems, where decentralized control is critical (</w:t>
      </w:r>
      <w:r w:rsidR="001B115A">
        <w:t>Powel</w:t>
      </w:r>
      <w:r w:rsidR="00086719">
        <w:t xml:space="preserve"> et al., 2024</w:t>
      </w:r>
      <w:r>
        <w:t>).</w:t>
      </w:r>
    </w:p>
    <w:p w14:paraId="47C03F32" w14:textId="0F2567C5" w:rsidR="00AC26A5" w:rsidRDefault="00AC26A5" w:rsidP="00AC26A5">
      <w:pPr>
        <w:jc w:val="both"/>
      </w:pPr>
      <w:r>
        <w:t>Nevertheless, the associated limitations are significant. The computational overhead involved in message parsing and the potential ambiguity in semantic interpretation can negatively impact system performance and interoperability. In practice, inconsistent implementations and the absence of rigorous standardization—despite initiatives by organizations such as the Foundation for Intelligent Physical Agents—have constrained broader industrial adoption (</w:t>
      </w:r>
      <w:r w:rsidR="00856B61" w:rsidRPr="00856B61">
        <w:t>Zhao</w:t>
      </w:r>
      <w:r w:rsidR="00856B61">
        <w:t xml:space="preserve"> et al.</w:t>
      </w:r>
      <w:r>
        <w:t>, 20</w:t>
      </w:r>
      <w:r w:rsidR="00856B61">
        <w:t>25</w:t>
      </w:r>
      <w:r>
        <w:t>). Mitigation strategies, including the use of shared ontologies and middleware frameworks, are therefore essential and reflect current research directions.</w:t>
      </w:r>
    </w:p>
    <w:p w14:paraId="3F0343DC" w14:textId="77777777" w:rsidR="00AC26A5" w:rsidRDefault="00AC26A5" w:rsidP="00AC26A5">
      <w:pPr>
        <w:jc w:val="both"/>
      </w:pPr>
      <w:r>
        <w:t>By comparison, method invocation in Python or Java offers greater efficiency for tightly coupled systems but lacks the flexibility required for distributed, intelligent environments.</w:t>
      </w:r>
    </w:p>
    <w:p w14:paraId="258861C6" w14:textId="77777777" w:rsidR="00AC26A5" w:rsidRDefault="00AC26A5" w:rsidP="00AC26A5">
      <w:pPr>
        <w:jc w:val="both"/>
      </w:pPr>
      <w:r>
        <w:t>References</w:t>
      </w:r>
    </w:p>
    <w:p w14:paraId="69E1D3BE" w14:textId="32F02928" w:rsidR="005070AD" w:rsidRDefault="008962AC" w:rsidP="008962AC">
      <w:pPr>
        <w:jc w:val="both"/>
      </w:pPr>
      <w:r>
        <w:t xml:space="preserve">Dixit, </w:t>
      </w:r>
      <w:r w:rsidR="00FC1377">
        <w:t xml:space="preserve">P. &amp; </w:t>
      </w:r>
      <w:r>
        <w:t>Silakari,</w:t>
      </w:r>
      <w:r w:rsidR="00FC1377">
        <w:t xml:space="preserve"> S.</w:t>
      </w:r>
      <w:r w:rsidR="0005050F">
        <w:t xml:space="preserve"> (2021). </w:t>
      </w:r>
      <w:r>
        <w:t>Deep Learning Algorithms for Cybersecurity Applications: A Technological and Status Review,</w:t>
      </w:r>
      <w:r w:rsidR="0005050F">
        <w:t xml:space="preserve"> </w:t>
      </w:r>
      <w:r>
        <w:t>Computer Science Review,</w:t>
      </w:r>
      <w:r w:rsidR="0005050F">
        <w:t xml:space="preserve"> </w:t>
      </w:r>
      <w:r>
        <w:t>Vol</w:t>
      </w:r>
      <w:r w:rsidR="0005050F">
        <w:t>.</w:t>
      </w:r>
      <w:r>
        <w:t xml:space="preserve"> 39,</w:t>
      </w:r>
      <w:r w:rsidR="0005050F">
        <w:t xml:space="preserve"> </w:t>
      </w:r>
      <w:r>
        <w:t>2021,</w:t>
      </w:r>
      <w:r w:rsidR="00A23622">
        <w:t xml:space="preserve"> </w:t>
      </w:r>
      <w:r>
        <w:t>ISSN 1574-0137,</w:t>
      </w:r>
      <w:r w:rsidR="00A23622">
        <w:t xml:space="preserve"> </w:t>
      </w:r>
      <w:hyperlink r:id="rId9" w:history="1">
        <w:r w:rsidR="00A23622" w:rsidRPr="00D74391">
          <w:rPr>
            <w:rStyle w:val="Hyperlink"/>
          </w:rPr>
          <w:t>https://doi.org/10.1016/j.cosrev.2020.100317</w:t>
        </w:r>
      </w:hyperlink>
      <w:r>
        <w:t>.</w:t>
      </w:r>
    </w:p>
    <w:p w14:paraId="6F44C2D4" w14:textId="173D06C6" w:rsidR="00105A93" w:rsidRDefault="00DB4F9A" w:rsidP="00DB4F9A">
      <w:pPr>
        <w:jc w:val="both"/>
      </w:pPr>
      <w:r>
        <w:t xml:space="preserve">Powell, </w:t>
      </w:r>
      <w:r>
        <w:t xml:space="preserve">P., </w:t>
      </w:r>
      <w:r>
        <w:t xml:space="preserve">McCafferty-Leroux, </w:t>
      </w:r>
      <w:r>
        <w:t xml:space="preserve">A., </w:t>
      </w:r>
      <w:r>
        <w:t xml:space="preserve">Hilal, </w:t>
      </w:r>
      <w:r w:rsidR="00633C7F">
        <w:t xml:space="preserve">W., &amp; </w:t>
      </w:r>
      <w:r>
        <w:t>Andrew Gadsden,</w:t>
      </w:r>
      <w:r w:rsidR="00633C7F">
        <w:t xml:space="preserve"> S. (2024)</w:t>
      </w:r>
      <w:r w:rsidR="00DB23A0">
        <w:t xml:space="preserve">. </w:t>
      </w:r>
      <w:r>
        <w:t>Smart grids: A comprehensive survey of challenges, industry applications, and future trends,</w:t>
      </w:r>
      <w:r w:rsidR="00DB23A0">
        <w:t xml:space="preserve"> </w:t>
      </w:r>
      <w:r>
        <w:t>Energy Reports,</w:t>
      </w:r>
      <w:r w:rsidR="00DB23A0">
        <w:t xml:space="preserve"> </w:t>
      </w:r>
      <w:r>
        <w:t>Vol</w:t>
      </w:r>
      <w:r w:rsidR="00DB23A0">
        <w:t>.</w:t>
      </w:r>
      <w:r>
        <w:t xml:space="preserve"> 11,</w:t>
      </w:r>
      <w:r w:rsidR="00DB23A0">
        <w:t xml:space="preserve"> </w:t>
      </w:r>
      <w:r w:rsidR="0018010E">
        <w:t>pp</w:t>
      </w:r>
      <w:r>
        <w:t xml:space="preserve"> 5760-5785,</w:t>
      </w:r>
      <w:r w:rsidR="0018010E">
        <w:t xml:space="preserve"> </w:t>
      </w:r>
      <w:r>
        <w:t>ISSN 2352-4847,</w:t>
      </w:r>
      <w:r w:rsidR="0018010E">
        <w:t xml:space="preserve"> </w:t>
      </w:r>
      <w:hyperlink r:id="rId10" w:history="1">
        <w:r w:rsidR="0018010E" w:rsidRPr="00D74391">
          <w:rPr>
            <w:rStyle w:val="Hyperlink"/>
          </w:rPr>
          <w:t>https://doi.org/10.1016/j.egyr.2024.05.051</w:t>
        </w:r>
      </w:hyperlink>
      <w:r>
        <w:t>.</w:t>
      </w:r>
    </w:p>
    <w:p w14:paraId="308FDED4" w14:textId="4114AF83" w:rsidR="00154A66" w:rsidRPr="00F31F5B" w:rsidRDefault="00154A66" w:rsidP="00154A66">
      <w:pPr>
        <w:jc w:val="both"/>
      </w:pPr>
      <w:r>
        <w:t xml:space="preserve">Zhao, </w:t>
      </w:r>
      <w:r>
        <w:t xml:space="preserve">S., </w:t>
      </w:r>
      <w:r>
        <w:t xml:space="preserve">Liu, </w:t>
      </w:r>
      <w:r w:rsidR="00D60CB2">
        <w:t xml:space="preserve">S., </w:t>
      </w:r>
      <w:r>
        <w:t>Jiang,</w:t>
      </w:r>
      <w:r w:rsidR="00D60CB2">
        <w:t xml:space="preserve"> Y., </w:t>
      </w:r>
      <w:r>
        <w:t>Zhao,</w:t>
      </w:r>
      <w:r w:rsidR="00D60CB2">
        <w:t xml:space="preserve"> B., </w:t>
      </w:r>
      <w:r>
        <w:t>Youlong Lv, Zhang,</w:t>
      </w:r>
      <w:r w:rsidR="005F283A">
        <w:t xml:space="preserve"> J.,</w:t>
      </w:r>
      <w:r>
        <w:t xml:space="preserve"> Wang, </w:t>
      </w:r>
      <w:r w:rsidR="005F283A">
        <w:t xml:space="preserve">L. &amp; </w:t>
      </w:r>
      <w:r>
        <w:t>Zhong,</w:t>
      </w:r>
      <w:r w:rsidR="004A76E6">
        <w:t xml:space="preserve"> </w:t>
      </w:r>
      <w:r w:rsidR="005F283A">
        <w:t xml:space="preserve">R. </w:t>
      </w:r>
      <w:r w:rsidR="004A76E6">
        <w:t xml:space="preserve">Y. </w:t>
      </w:r>
      <w:r w:rsidR="00B96993">
        <w:t xml:space="preserve">(2025). </w:t>
      </w:r>
      <w:r>
        <w:t>Industrial Foundation Models (IFMs) for intelligent manufacturing: A systematic review,</w:t>
      </w:r>
      <w:r w:rsidR="00B96993">
        <w:t xml:space="preserve"> </w:t>
      </w:r>
      <w:r>
        <w:t>Journal of Manufacturing Systems,</w:t>
      </w:r>
      <w:r w:rsidR="00B96993">
        <w:t xml:space="preserve"> </w:t>
      </w:r>
      <w:r>
        <w:t>Vol</w:t>
      </w:r>
      <w:r w:rsidR="00F31F5B">
        <w:t>.</w:t>
      </w:r>
      <w:r>
        <w:t xml:space="preserve"> 82,</w:t>
      </w:r>
      <w:r w:rsidR="00F31F5B">
        <w:t xml:space="preserve"> pp.</w:t>
      </w:r>
      <w:r w:rsidRPr="00F31F5B">
        <w:t xml:space="preserve"> 420-448,</w:t>
      </w:r>
      <w:r w:rsidR="00F31F5B">
        <w:t xml:space="preserve"> </w:t>
      </w:r>
      <w:r w:rsidRPr="00F31F5B">
        <w:t>ISSN 0278-6125,</w:t>
      </w:r>
      <w:r w:rsidR="00F31F5B" w:rsidRPr="00F31F5B">
        <w:t xml:space="preserve"> </w:t>
      </w:r>
      <w:hyperlink r:id="rId11" w:history="1">
        <w:r w:rsidR="00F31F5B" w:rsidRPr="00F31F5B">
          <w:rPr>
            <w:rStyle w:val="Hyperlink"/>
          </w:rPr>
          <w:t>https://doi.org/10.1016/j.jmsy.2025.06.011</w:t>
        </w:r>
      </w:hyperlink>
      <w:r w:rsidRPr="00F31F5B">
        <w:t>.</w:t>
      </w:r>
    </w:p>
    <w:p w14:paraId="7F4895EF" w14:textId="477EAF0B" w:rsidR="004C3CE8" w:rsidRPr="00BC36E8" w:rsidRDefault="00D72A6F" w:rsidP="00ED2DED">
      <w:pPr>
        <w:jc w:val="both"/>
      </w:pPr>
      <w:r>
        <w:t>Peer Response 2</w:t>
      </w:r>
      <w:r w:rsidR="00A2151A">
        <w:t xml:space="preserve"> (Fatema</w:t>
      </w:r>
      <w:r w:rsidR="008A6598">
        <w:t xml:space="preserve"> Mohammed)</w:t>
      </w:r>
    </w:p>
    <w:p w14:paraId="48151DB4" w14:textId="67744A19" w:rsidR="00CE205A" w:rsidRDefault="00CE205A" w:rsidP="00CE205A">
      <w:pPr>
        <w:jc w:val="both"/>
      </w:pPr>
      <w:r>
        <w:t xml:space="preserve">Agent Communication Languages (ACLs), such as KQML, are appropriately described as fundamental enablers of communication in distributed multi-agent systems. The discussion accurately emphasizes their ability to support semantically rich, high-level interactions, allowing agents to exchange not only data but also intentions and knowledge. This aligns with the foundational work of </w:t>
      </w:r>
      <w:r w:rsidR="00F466DE">
        <w:t>Palensky (1999)</w:t>
      </w:r>
      <w:r>
        <w:t>, who highlight how KQML facilitates flexible communication in heterogeneous environments. The focus on interoperability is also well justified, as ACLs enable agents developed in different languages or platforms to collaborate effectively</w:t>
      </w:r>
      <w:r w:rsidR="00CF5AE5">
        <w:t xml:space="preserve"> (Labrou,</w:t>
      </w:r>
      <w:r w:rsidR="00C04FC4">
        <w:t xml:space="preserve"> 2001)</w:t>
      </w:r>
      <w:r>
        <w:t xml:space="preserve">. Furthermore, the use of performatives to encode communicative intent is a key strength, as discussed by </w:t>
      </w:r>
      <w:r w:rsidR="00F07879">
        <w:t>Hadzic et al</w:t>
      </w:r>
      <w:r w:rsidR="006C3D40">
        <w:t>. (2009)</w:t>
      </w:r>
      <w:r>
        <w:t>.</w:t>
      </w:r>
    </w:p>
    <w:p w14:paraId="35C1DF40" w14:textId="77777777" w:rsidR="00CE205A" w:rsidRDefault="00CE205A" w:rsidP="00CE205A">
      <w:pPr>
        <w:jc w:val="both"/>
      </w:pPr>
      <w:r>
        <w:t>However, the limitations outlined are equally valid. The complexity of ACLs, including the need to understand supporting formalisms like KIF, increases development effort. In addition, message parsing and interpretation introduce computational overhead, which can be problematic in time-sensitive applications.</w:t>
      </w:r>
    </w:p>
    <w:p w14:paraId="7DE6F2E3" w14:textId="77777777" w:rsidR="00CE205A" w:rsidRDefault="00CE205A" w:rsidP="00CE205A">
      <w:pPr>
        <w:jc w:val="both"/>
      </w:pPr>
      <w:r>
        <w:lastRenderedPageBreak/>
        <w:t>The comparison with method invocation in Python and Java is accurate: while these approaches offer efficiency and simplicity, they lack the autonomy and semantic expressiveness required in distributed intelligent systems.</w:t>
      </w:r>
    </w:p>
    <w:p w14:paraId="2000EF1E" w14:textId="77777777" w:rsidR="00CE205A" w:rsidRDefault="00CE205A" w:rsidP="00CE205A">
      <w:pPr>
        <w:jc w:val="both"/>
      </w:pPr>
    </w:p>
    <w:p w14:paraId="5EE22717" w14:textId="77777777" w:rsidR="00CE205A" w:rsidRDefault="00CE205A" w:rsidP="00CE205A">
      <w:pPr>
        <w:jc w:val="both"/>
      </w:pPr>
      <w:r>
        <w:t>References</w:t>
      </w:r>
    </w:p>
    <w:p w14:paraId="7474BAFE" w14:textId="6B22E44E" w:rsidR="00036959" w:rsidRDefault="00036959" w:rsidP="00A2151A">
      <w:pPr>
        <w:jc w:val="both"/>
      </w:pPr>
      <w:r w:rsidRPr="00036959">
        <w:t xml:space="preserve">Hadzic, M., Wongthongtham, P., Dillon, T., Chang, E. (2009). Introduction to Multi-Agent Systems. In: Ontology-Based Multi-Agent Systems. Studies in Computational Intelligence, vol 219. Springer, Berlin, Heidelberg. </w:t>
      </w:r>
      <w:hyperlink r:id="rId12" w:history="1">
        <w:r w:rsidRPr="00D74391">
          <w:rPr>
            <w:rStyle w:val="Hyperlink"/>
          </w:rPr>
          <w:t>https://doi.org/10.1007/978-3-642-01904-3_2</w:t>
        </w:r>
      </w:hyperlink>
      <w:r>
        <w:t>.</w:t>
      </w:r>
    </w:p>
    <w:p w14:paraId="72B252F4" w14:textId="32A4C19D" w:rsidR="0008162A" w:rsidRDefault="0008162A" w:rsidP="00A2151A">
      <w:pPr>
        <w:jc w:val="both"/>
      </w:pPr>
      <w:r w:rsidRPr="0008162A">
        <w:t>Labrou, Y. (2001). Standardi</w:t>
      </w:r>
      <w:r w:rsidR="00A40501">
        <w:t>s</w:t>
      </w:r>
      <w:r w:rsidRPr="0008162A">
        <w:t xml:space="preserve">ing Agent Communication. In: Luck, M., Mařík, V., Štěpánková, O., Trappl, R. (eds) Multi-Agent Systems and Applications. ACAI 2001. Lecture Notes in Computer Science, vol 2086. Springer, Berlin, Heidelberg. </w:t>
      </w:r>
      <w:hyperlink r:id="rId13" w:history="1">
        <w:r w:rsidRPr="00D74391">
          <w:rPr>
            <w:rStyle w:val="Hyperlink"/>
          </w:rPr>
          <w:t>https://doi.org/10.1007/3-540-47745-4_4</w:t>
        </w:r>
      </w:hyperlink>
      <w:r>
        <w:t>.</w:t>
      </w:r>
    </w:p>
    <w:p w14:paraId="4787D95C" w14:textId="35C21BD4" w:rsidR="00BA1B70" w:rsidRDefault="00BA1B70" w:rsidP="00A2151A">
      <w:pPr>
        <w:jc w:val="both"/>
      </w:pPr>
      <w:r w:rsidRPr="00BA1B70">
        <w:t xml:space="preserve">Palensky, P. (1999). On Interoperability and Intelligent Software Agents for Field Area Networks. In: Dietrich, D., Schweinzer, H., Neumann, P. (eds) Fieldbus Technology. Springer, Vienna. </w:t>
      </w:r>
      <w:hyperlink r:id="rId14" w:history="1">
        <w:r w:rsidRPr="00D74391">
          <w:rPr>
            <w:rStyle w:val="Hyperlink"/>
          </w:rPr>
          <w:t>https://doi.org/10.1007/978-3-7091-6421-1_42</w:t>
        </w:r>
      </w:hyperlink>
      <w:r>
        <w:t>.</w:t>
      </w:r>
    </w:p>
    <w:p w14:paraId="63612DCA" w14:textId="77777777" w:rsidR="00660DA0" w:rsidRDefault="00660DA0" w:rsidP="00A2151A">
      <w:pPr>
        <w:jc w:val="both"/>
      </w:pPr>
    </w:p>
    <w:p w14:paraId="7FEB5AE8" w14:textId="5CFCA560" w:rsidR="006F07E8" w:rsidRDefault="00C840A6" w:rsidP="00A2151A">
      <w:pPr>
        <w:jc w:val="both"/>
      </w:pPr>
      <w:r>
        <w:t>Summary Post</w:t>
      </w:r>
    </w:p>
    <w:p w14:paraId="2A1D8335" w14:textId="77777777" w:rsidR="00AE60F1" w:rsidRDefault="00AE60F1" w:rsidP="00AE60F1">
      <w:pPr>
        <w:jc w:val="both"/>
      </w:pPr>
      <w:r>
        <w:t>Agent Communication Languages (ACLs), particularly KQML, play a central role in enabling communication within distributed intelligent systems. As highlighted in the initial post, ACLs provide interoperability by allowing agents built on different platforms to interact through standardized performatives, which encode communicative intent (Balaji &amp; Srinivasan, 2010; Calegari et al., 2021). This capability is especially valuable in heterogeneous environments such as energy systems and condition monitoring applications, where decentralized coordination is essential (González-Briones et al., 2018). Moreover, ACLs support semantically rich communication, enabling agents to exchange beliefs, goals, and intentions rather than simple data, aligning with advanced AI paradigms like the Belief–Desire–Intention architecture.</w:t>
      </w:r>
    </w:p>
    <w:p w14:paraId="1F3B890C" w14:textId="77777777" w:rsidR="00AE60F1" w:rsidRDefault="00AE60F1" w:rsidP="00AE60F1">
      <w:pPr>
        <w:jc w:val="both"/>
      </w:pPr>
      <w:r>
        <w:t>The peer responses further reinforce these strengths by emphasizing the role of ACLs in supporting reasoning, negotiation, and adaptive coordination in dynamic systems (Dixit &amp; Silakari, 2021; Powell et al., 2024). However, both the original discussion and peer contributions consistently identify key limitations. These include computational overhead due to message parsing, semantic ambiguity, and challenges in standardization despite efforts by the Foundation for Intelligent Physical Agents (Zhao et al., 2025). Such issues can hinder performance and limit industrial adoption.</w:t>
      </w:r>
    </w:p>
    <w:p w14:paraId="4C199EC5" w14:textId="77777777" w:rsidR="00AE60F1" w:rsidRDefault="00AE60F1" w:rsidP="00AE60F1">
      <w:pPr>
        <w:jc w:val="both"/>
      </w:pPr>
      <w:r>
        <w:t>In contrast, method invocation in Python or Java offers efficiency and simplicity through direct function calls (Kone et al., 2000), but lacks the flexibility and autonomy required in distributed agent-based systems. Overall, ACLs remain more suitable for complex, intelligent environments, provided their limitations are addressed through improved standardization and supporting frameworks.</w:t>
      </w:r>
    </w:p>
    <w:p w14:paraId="0DECC303" w14:textId="77777777" w:rsidR="00AE60F1" w:rsidRDefault="00AE60F1" w:rsidP="00AE60F1">
      <w:pPr>
        <w:jc w:val="both"/>
      </w:pPr>
    </w:p>
    <w:p w14:paraId="4F01FC97" w14:textId="77777777" w:rsidR="00AE60F1" w:rsidRDefault="00AE60F1" w:rsidP="00AE60F1">
      <w:pPr>
        <w:jc w:val="both"/>
      </w:pPr>
      <w:r>
        <w:t>References</w:t>
      </w:r>
    </w:p>
    <w:p w14:paraId="64654CCE" w14:textId="1E0B9439" w:rsidR="00220FCF" w:rsidRDefault="00220FCF" w:rsidP="00220FCF">
      <w:pPr>
        <w:jc w:val="both"/>
      </w:pPr>
      <w:r>
        <w:t xml:space="preserve">Balaji, P.G. &amp; Srinivasan, D. (2010). An Introduction to Multi-Agent Systems. In: Srinivasan, D., Jain, L.C. (eds) Innovations in Multi-Agent Systems and Applications - 1. Studies in </w:t>
      </w:r>
      <w:r>
        <w:lastRenderedPageBreak/>
        <w:t xml:space="preserve">Computational Intelligence, vol 310. Springer, Berlin, Heidelberg. </w:t>
      </w:r>
      <w:hyperlink r:id="rId15" w:history="1">
        <w:r w:rsidR="00516DBF" w:rsidRPr="00D74391">
          <w:rPr>
            <w:rStyle w:val="Hyperlink"/>
          </w:rPr>
          <w:t>https://doi.org/10.1007/978-3-642-14435-6_1</w:t>
        </w:r>
      </w:hyperlink>
      <w:r>
        <w:t>.</w:t>
      </w:r>
    </w:p>
    <w:p w14:paraId="1D4060AA" w14:textId="6B35A5C5" w:rsidR="00220FCF" w:rsidRPr="003609A9" w:rsidRDefault="00220FCF" w:rsidP="00220FCF">
      <w:pPr>
        <w:jc w:val="both"/>
      </w:pPr>
      <w:r w:rsidRPr="00220FCF">
        <w:rPr>
          <w:lang w:val="it-IT"/>
        </w:rPr>
        <w:t xml:space="preserve">Calegari, R., Ciatto, G., Mascardi, V. et al. </w:t>
      </w:r>
      <w:r>
        <w:t xml:space="preserve">(2021). Logic-based technologies for multi-agent systems: a systematic literature review. </w:t>
      </w:r>
      <w:r w:rsidRPr="00220FCF">
        <w:rPr>
          <w:lang w:val="fr-CD"/>
        </w:rPr>
        <w:t xml:space="preserve">Auton Agent Multi-Agent Syst. 35, 1. </w:t>
      </w:r>
      <w:hyperlink r:id="rId16" w:history="1">
        <w:r w:rsidR="003609A9" w:rsidRPr="003609A9">
          <w:rPr>
            <w:rStyle w:val="Hyperlink"/>
          </w:rPr>
          <w:t>https://doi.org/10.1007/s10458-020-09478-3</w:t>
        </w:r>
      </w:hyperlink>
      <w:r w:rsidRPr="003609A9">
        <w:t>.</w:t>
      </w:r>
    </w:p>
    <w:p w14:paraId="2972F61C" w14:textId="605ECB12" w:rsidR="003609A9" w:rsidRDefault="003609A9" w:rsidP="003609A9">
      <w:pPr>
        <w:jc w:val="both"/>
      </w:pPr>
      <w:r>
        <w:t xml:space="preserve">Dixit, P. &amp; Silakari, S. (2021). Deep Learning Algorithms for Cybersecurity Applications: A Technological and Status Review, Computer Science Review, Vol. 39, 2021, ISSN 1574-0137, </w:t>
      </w:r>
      <w:hyperlink r:id="rId17" w:history="1">
        <w:r w:rsidRPr="00D74391">
          <w:rPr>
            <w:rStyle w:val="Hyperlink"/>
          </w:rPr>
          <w:t>https://doi.org/10.1016/j.cosrev.2020.100317</w:t>
        </w:r>
      </w:hyperlink>
      <w:r>
        <w:t>.</w:t>
      </w:r>
    </w:p>
    <w:p w14:paraId="49C92DD4" w14:textId="44D4F764" w:rsidR="00220FCF" w:rsidRDefault="00220FCF" w:rsidP="00220FCF">
      <w:pPr>
        <w:jc w:val="both"/>
      </w:pPr>
      <w:r w:rsidRPr="00220FCF">
        <w:rPr>
          <w:lang w:val="fr-CD"/>
        </w:rPr>
        <w:t xml:space="preserve">González-Briones, A., De La Prieta, F., Mohamad, M. S., Omatu, S., &amp; Corchado, J. M. (2018). </w:t>
      </w:r>
      <w:r>
        <w:t xml:space="preserve">Multi-Agent Systems Applications in Energy Optimization Problems: A State-of-the-Art Review. Energies, 11(8), 1928. </w:t>
      </w:r>
      <w:hyperlink r:id="rId18" w:history="1">
        <w:r w:rsidR="003609A9" w:rsidRPr="00D74391">
          <w:rPr>
            <w:rStyle w:val="Hyperlink"/>
          </w:rPr>
          <w:t>https://doi.org/10.3390/en11081928</w:t>
        </w:r>
      </w:hyperlink>
      <w:r>
        <w:t>.</w:t>
      </w:r>
    </w:p>
    <w:p w14:paraId="7C823744" w14:textId="4EF7DDF7" w:rsidR="00C840A6" w:rsidRDefault="00220FCF" w:rsidP="00220FCF">
      <w:pPr>
        <w:jc w:val="both"/>
      </w:pPr>
      <w:r>
        <w:t xml:space="preserve">Kone, M., Shimazu, A. &amp; Nakajima, T. (2000). The State of the Art in Agent Communication Languages. Knowledge and Information Systems 2, 259–284. </w:t>
      </w:r>
      <w:hyperlink r:id="rId19" w:history="1">
        <w:r w:rsidR="00093B44" w:rsidRPr="00D74391">
          <w:rPr>
            <w:rStyle w:val="Hyperlink"/>
          </w:rPr>
          <w:t>https://doi.org/10.1007/PL00013712</w:t>
        </w:r>
      </w:hyperlink>
      <w:r>
        <w:t>.</w:t>
      </w:r>
    </w:p>
    <w:p w14:paraId="423F1481" w14:textId="2F194750" w:rsidR="00093B44" w:rsidRDefault="00093B44" w:rsidP="00093B44">
      <w:pPr>
        <w:jc w:val="both"/>
      </w:pPr>
      <w:r>
        <w:t xml:space="preserve">Powell, P., McCafferty-Leroux, A., Hilal, W., &amp; Andrew Gadsden, S. (2024). Smart grids: A comprehensive survey of challenges, industry applications, and future trends, Energy Reports, Vol. 11, pp 5760-5785, ISSN 2352-4847, </w:t>
      </w:r>
      <w:hyperlink r:id="rId20" w:history="1">
        <w:r w:rsidR="003609A9" w:rsidRPr="00D74391">
          <w:rPr>
            <w:rStyle w:val="Hyperlink"/>
          </w:rPr>
          <w:t>https://doi.org/10.1016/j.egyr.2024.05.051</w:t>
        </w:r>
      </w:hyperlink>
      <w:r>
        <w:t>.</w:t>
      </w:r>
    </w:p>
    <w:p w14:paraId="6B321CEE" w14:textId="41BC9D83" w:rsidR="00093B44" w:rsidRDefault="00093B44" w:rsidP="00093B44">
      <w:pPr>
        <w:jc w:val="both"/>
      </w:pPr>
      <w:r>
        <w:t xml:space="preserve">Zhao, S., Liu, S., Jiang, Y., Zhao, B., Youlong Lv, Zhang, J., Wang, L. &amp; Zhong, R. Y. (2025). Industrial Foundation Models (IFMs) for intelligent manufacturing: A systematic review, Journal of Manufacturing Systems, Vol. 82, pp. 420-448, ISSN 0278-6125, </w:t>
      </w:r>
      <w:hyperlink r:id="rId21" w:history="1">
        <w:r w:rsidR="003609A9" w:rsidRPr="00D74391">
          <w:rPr>
            <w:rStyle w:val="Hyperlink"/>
          </w:rPr>
          <w:t>https://doi.org/10.1016/j.jmsy.2025.06.011</w:t>
        </w:r>
      </w:hyperlink>
      <w:r>
        <w:t>.</w:t>
      </w:r>
    </w:p>
    <w:p w14:paraId="27A9DC0F" w14:textId="77777777" w:rsidR="003609A9" w:rsidRDefault="003609A9" w:rsidP="00093B44">
      <w:pPr>
        <w:jc w:val="both"/>
      </w:pPr>
    </w:p>
    <w:sectPr w:rsidR="003609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ED"/>
    <w:rsid w:val="00036959"/>
    <w:rsid w:val="0005050F"/>
    <w:rsid w:val="0008162A"/>
    <w:rsid w:val="00086719"/>
    <w:rsid w:val="00093B44"/>
    <w:rsid w:val="000C42E4"/>
    <w:rsid w:val="00105A93"/>
    <w:rsid w:val="00154A66"/>
    <w:rsid w:val="0018010E"/>
    <w:rsid w:val="001B115A"/>
    <w:rsid w:val="001E337F"/>
    <w:rsid w:val="0021596D"/>
    <w:rsid w:val="00220FCF"/>
    <w:rsid w:val="002A2648"/>
    <w:rsid w:val="003609A9"/>
    <w:rsid w:val="00361ED0"/>
    <w:rsid w:val="00402C78"/>
    <w:rsid w:val="004A76E6"/>
    <w:rsid w:val="004C3CE8"/>
    <w:rsid w:val="005070AD"/>
    <w:rsid w:val="00516DBF"/>
    <w:rsid w:val="005461B8"/>
    <w:rsid w:val="005D7738"/>
    <w:rsid w:val="005F283A"/>
    <w:rsid w:val="00633C7F"/>
    <w:rsid w:val="00660DA0"/>
    <w:rsid w:val="00691FBB"/>
    <w:rsid w:val="0069662E"/>
    <w:rsid w:val="006C3D40"/>
    <w:rsid w:val="006F07E8"/>
    <w:rsid w:val="00765876"/>
    <w:rsid w:val="007761E1"/>
    <w:rsid w:val="007F6DC2"/>
    <w:rsid w:val="00856B61"/>
    <w:rsid w:val="008755EA"/>
    <w:rsid w:val="008962AC"/>
    <w:rsid w:val="008A6598"/>
    <w:rsid w:val="008D2163"/>
    <w:rsid w:val="00995529"/>
    <w:rsid w:val="00A2151A"/>
    <w:rsid w:val="00A23622"/>
    <w:rsid w:val="00A40501"/>
    <w:rsid w:val="00A6323E"/>
    <w:rsid w:val="00A63FEF"/>
    <w:rsid w:val="00AC26A5"/>
    <w:rsid w:val="00AD73E7"/>
    <w:rsid w:val="00AE60F1"/>
    <w:rsid w:val="00AF4DEA"/>
    <w:rsid w:val="00B209F3"/>
    <w:rsid w:val="00B747C7"/>
    <w:rsid w:val="00B96993"/>
    <w:rsid w:val="00BA1B70"/>
    <w:rsid w:val="00BC36E8"/>
    <w:rsid w:val="00C04FC4"/>
    <w:rsid w:val="00C1251C"/>
    <w:rsid w:val="00C37013"/>
    <w:rsid w:val="00C840A6"/>
    <w:rsid w:val="00CD759B"/>
    <w:rsid w:val="00CE205A"/>
    <w:rsid w:val="00CF51DA"/>
    <w:rsid w:val="00CF5AE5"/>
    <w:rsid w:val="00D07016"/>
    <w:rsid w:val="00D27325"/>
    <w:rsid w:val="00D60CB2"/>
    <w:rsid w:val="00D72A6F"/>
    <w:rsid w:val="00DA4440"/>
    <w:rsid w:val="00DB23A0"/>
    <w:rsid w:val="00DB4F9A"/>
    <w:rsid w:val="00EA625B"/>
    <w:rsid w:val="00EA6CB7"/>
    <w:rsid w:val="00ED2DED"/>
    <w:rsid w:val="00EF66C8"/>
    <w:rsid w:val="00F07879"/>
    <w:rsid w:val="00F17DE8"/>
    <w:rsid w:val="00F31F5B"/>
    <w:rsid w:val="00F35C3C"/>
    <w:rsid w:val="00F466DE"/>
    <w:rsid w:val="00FB17A9"/>
    <w:rsid w:val="00FC13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98DF1"/>
  <w15:chartTrackingRefBased/>
  <w15:docId w15:val="{2970C6A2-DC4F-4E18-9764-7572CB21F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DED"/>
    <w:rPr>
      <w:rFonts w:eastAsiaTheme="majorEastAsia" w:cstheme="majorBidi"/>
      <w:color w:val="272727" w:themeColor="text1" w:themeTint="D8"/>
    </w:rPr>
  </w:style>
  <w:style w:type="paragraph" w:styleId="Title">
    <w:name w:val="Title"/>
    <w:basedOn w:val="Normal"/>
    <w:next w:val="Normal"/>
    <w:link w:val="TitleChar"/>
    <w:uiPriority w:val="10"/>
    <w:qFormat/>
    <w:rsid w:val="00ED2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DED"/>
    <w:pPr>
      <w:spacing w:before="160"/>
      <w:jc w:val="center"/>
    </w:pPr>
    <w:rPr>
      <w:i/>
      <w:iCs/>
      <w:color w:val="404040" w:themeColor="text1" w:themeTint="BF"/>
    </w:rPr>
  </w:style>
  <w:style w:type="character" w:customStyle="1" w:styleId="QuoteChar">
    <w:name w:val="Quote Char"/>
    <w:basedOn w:val="DefaultParagraphFont"/>
    <w:link w:val="Quote"/>
    <w:uiPriority w:val="29"/>
    <w:rsid w:val="00ED2DED"/>
    <w:rPr>
      <w:i/>
      <w:iCs/>
      <w:color w:val="404040" w:themeColor="text1" w:themeTint="BF"/>
    </w:rPr>
  </w:style>
  <w:style w:type="paragraph" w:styleId="ListParagraph">
    <w:name w:val="List Paragraph"/>
    <w:basedOn w:val="Normal"/>
    <w:uiPriority w:val="34"/>
    <w:qFormat/>
    <w:rsid w:val="00ED2DED"/>
    <w:pPr>
      <w:ind w:left="720"/>
      <w:contextualSpacing/>
    </w:pPr>
  </w:style>
  <w:style w:type="character" w:styleId="IntenseEmphasis">
    <w:name w:val="Intense Emphasis"/>
    <w:basedOn w:val="DefaultParagraphFont"/>
    <w:uiPriority w:val="21"/>
    <w:qFormat/>
    <w:rsid w:val="00ED2DED"/>
    <w:rPr>
      <w:i/>
      <w:iCs/>
      <w:color w:val="0F4761" w:themeColor="accent1" w:themeShade="BF"/>
    </w:rPr>
  </w:style>
  <w:style w:type="paragraph" w:styleId="IntenseQuote">
    <w:name w:val="Intense Quote"/>
    <w:basedOn w:val="Normal"/>
    <w:next w:val="Normal"/>
    <w:link w:val="IntenseQuoteChar"/>
    <w:uiPriority w:val="30"/>
    <w:qFormat/>
    <w:rsid w:val="00ED2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DED"/>
    <w:rPr>
      <w:i/>
      <w:iCs/>
      <w:color w:val="0F4761" w:themeColor="accent1" w:themeShade="BF"/>
    </w:rPr>
  </w:style>
  <w:style w:type="character" w:styleId="IntenseReference">
    <w:name w:val="Intense Reference"/>
    <w:basedOn w:val="DefaultParagraphFont"/>
    <w:uiPriority w:val="32"/>
    <w:qFormat/>
    <w:rsid w:val="00ED2DED"/>
    <w:rPr>
      <w:b/>
      <w:bCs/>
      <w:smallCaps/>
      <w:color w:val="0F4761" w:themeColor="accent1" w:themeShade="BF"/>
      <w:spacing w:val="5"/>
    </w:rPr>
  </w:style>
  <w:style w:type="character" w:styleId="Hyperlink">
    <w:name w:val="Hyperlink"/>
    <w:basedOn w:val="DefaultParagraphFont"/>
    <w:uiPriority w:val="99"/>
    <w:unhideWhenUsed/>
    <w:rsid w:val="00ED2DED"/>
    <w:rPr>
      <w:color w:val="467886" w:themeColor="hyperlink"/>
      <w:u w:val="single"/>
    </w:rPr>
  </w:style>
  <w:style w:type="character" w:styleId="UnresolvedMention">
    <w:name w:val="Unresolved Mention"/>
    <w:basedOn w:val="DefaultParagraphFont"/>
    <w:uiPriority w:val="99"/>
    <w:semiHidden/>
    <w:unhideWhenUsed/>
    <w:rsid w:val="00ED2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PL00013712" TargetMode="External"/><Relationship Id="rId13" Type="http://schemas.openxmlformats.org/officeDocument/2006/relationships/hyperlink" Target="https://doi.org/10.1007/3-540-47745-4_4" TargetMode="External"/><Relationship Id="rId18" Type="http://schemas.openxmlformats.org/officeDocument/2006/relationships/hyperlink" Target="https://doi.org/10.3390/en11081928" TargetMode="External"/><Relationship Id="rId3" Type="http://schemas.openxmlformats.org/officeDocument/2006/relationships/settings" Target="settings.xml"/><Relationship Id="rId21" Type="http://schemas.openxmlformats.org/officeDocument/2006/relationships/hyperlink" Target="https://doi.org/10.1016/j.jmsy.2025.06.011" TargetMode="External"/><Relationship Id="rId7" Type="http://schemas.openxmlformats.org/officeDocument/2006/relationships/hyperlink" Target="https://doi.org/10.3390/en11081928" TargetMode="External"/><Relationship Id="rId12" Type="http://schemas.openxmlformats.org/officeDocument/2006/relationships/hyperlink" Target="https://doi.org/10.1007/978-3-642-01904-3_2" TargetMode="External"/><Relationship Id="rId17" Type="http://schemas.openxmlformats.org/officeDocument/2006/relationships/hyperlink" Target="https://doi.org/10.1016/j.cosrev.2020.100317" TargetMode="External"/><Relationship Id="rId2" Type="http://schemas.openxmlformats.org/officeDocument/2006/relationships/styles" Target="styles.xml"/><Relationship Id="rId16" Type="http://schemas.openxmlformats.org/officeDocument/2006/relationships/hyperlink" Target="https://doi.org/10.1007/s10458-020-09478-3" TargetMode="External"/><Relationship Id="rId20" Type="http://schemas.openxmlformats.org/officeDocument/2006/relationships/hyperlink" Target="https://doi.org/10.1016/j.egyr.2024.05.051" TargetMode="External"/><Relationship Id="rId1" Type="http://schemas.openxmlformats.org/officeDocument/2006/relationships/customXml" Target="../customXml/item1.xml"/><Relationship Id="rId6" Type="http://schemas.openxmlformats.org/officeDocument/2006/relationships/hyperlink" Target="https://doi.org/10.1007/s10458-020-09478-3" TargetMode="External"/><Relationship Id="rId11" Type="http://schemas.openxmlformats.org/officeDocument/2006/relationships/hyperlink" Target="https://doi.org/10.1016/j.jmsy.2025.06.011" TargetMode="External"/><Relationship Id="rId5" Type="http://schemas.openxmlformats.org/officeDocument/2006/relationships/hyperlink" Target="https://doi.org/10.1007/978-3-642-14435-6_1" TargetMode="External"/><Relationship Id="rId15" Type="http://schemas.openxmlformats.org/officeDocument/2006/relationships/hyperlink" Target="https://doi.org/10.1007/978-3-642-14435-6_1" TargetMode="External"/><Relationship Id="rId23" Type="http://schemas.openxmlformats.org/officeDocument/2006/relationships/theme" Target="theme/theme1.xml"/><Relationship Id="rId10" Type="http://schemas.openxmlformats.org/officeDocument/2006/relationships/hyperlink" Target="https://doi.org/10.1016/j.egyr.2024.05.051" TargetMode="External"/><Relationship Id="rId19" Type="http://schemas.openxmlformats.org/officeDocument/2006/relationships/hyperlink" Target="https://doi.org/10.1007/PL00013712" TargetMode="External"/><Relationship Id="rId4" Type="http://schemas.openxmlformats.org/officeDocument/2006/relationships/webSettings" Target="webSettings.xml"/><Relationship Id="rId9" Type="http://schemas.openxmlformats.org/officeDocument/2006/relationships/hyperlink" Target="https://doi.org/10.1016/j.cosrev.2020.100317" TargetMode="External"/><Relationship Id="rId14" Type="http://schemas.openxmlformats.org/officeDocument/2006/relationships/hyperlink" Target="https://doi.org/10.1007/978-3-7091-6421-1_4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C5685-A901-4499-9421-5B7F0C42E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Pages>
  <Words>1763</Words>
  <Characters>10052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Bokoro, Pitshou</dc:creator>
  <cp:keywords/>
  <dc:description/>
  <cp:lastModifiedBy>Bokoro, Pitshou</cp:lastModifiedBy>
  <cp:revision>50</cp:revision>
  <dcterms:created xsi:type="dcterms:W3CDTF">2026-04-17T21:03:00Z</dcterms:created>
  <dcterms:modified xsi:type="dcterms:W3CDTF">2026-04-17T23:30:00Z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2026-04-17T18:52:16Z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17a74db2-e137-4c31-9f9c-900c8f137ebf</vt:lpwstr>
  </property>
  <property fmtid="{D5CDD505-2E9C-101B-9397-08002B2CF9AE}" pid="8" name="MSIP_Label_b0d31be4-bb77-46d3-b866-62153466896a_ContentBits">
    <vt:lpwstr>0</vt:lpwstr>
  </property>
  <property fmtid="{D5CDD505-2E9C-101B-9397-08002B2CF9AE}" pid="9" name="MSIP_Label_b0d31be4-bb77-46d3-b866-62153466896a_Tag">
    <vt:lpwstr>10, 3, 0, 1</vt:lpwstr>
  </property>
</Properties>
</file>