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35B48" w14:textId="77777777" w:rsidR="00F22E64" w:rsidRDefault="00F22E64" w:rsidP="00F22E64">
      <w:r>
        <w:t>Individual Reflection on Intelligent Agents</w:t>
      </w:r>
    </w:p>
    <w:p w14:paraId="37CC282B" w14:textId="2EBAB186" w:rsidR="002C7B23" w:rsidRDefault="002C7B23" w:rsidP="002C7B23">
      <w:pPr>
        <w:jc w:val="both"/>
      </w:pPr>
      <w:r>
        <w:t xml:space="preserve">Intelligent agents represent a foundational concept in artificial intelligence (AI), shaping how modern systems perceive, reason, and act within dynamic and often uncertain environments. An intelligent agent can be broadly defined as an autonomous entity that perceives its environment through sensors and acts upon it using actuators to achieve specific goals (Russell &amp; Norvig, 2003; </w:t>
      </w:r>
      <w:proofErr w:type="spellStart"/>
      <w:r>
        <w:t>Tirulo</w:t>
      </w:r>
      <w:proofErr w:type="spellEnd"/>
      <w:r>
        <w:t xml:space="preserve"> et al., 2026). This paradigm is central to AI because it provides a structured and scalable framework for designing systems capable of decision-making, learning, and interaction. As emphasized by Wooldridge (2009), intelligent agents are characterized not only by autonomy but also by reactivity, proactiveness, and social ability, making them particularly effective in distributed and complex environments.</w:t>
      </w:r>
    </w:p>
    <w:p w14:paraId="42B985DE" w14:textId="4A96A932" w:rsidR="00A30607" w:rsidRDefault="00A30607" w:rsidP="002C7B23">
      <w:pPr>
        <w:jc w:val="both"/>
      </w:pPr>
      <w:r w:rsidRPr="00A30607">
        <w:t>From a personal perspective, studying intelligent agents has significantly deepened my understanding of how modern engineering systems</w:t>
      </w:r>
      <w:r>
        <w:t xml:space="preserve"> </w:t>
      </w:r>
      <w:r w:rsidRPr="00A30607">
        <w:t>—</w:t>
      </w:r>
      <w:r>
        <w:t xml:space="preserve"> </w:t>
      </w:r>
      <w:r w:rsidRPr="00A30607">
        <w:t>particularly smart grids and distributed energy systems</w:t>
      </w:r>
      <w:r>
        <w:t xml:space="preserve"> </w:t>
      </w:r>
      <w:r w:rsidRPr="00A30607">
        <w:t>—</w:t>
      </w:r>
      <w:r>
        <w:t xml:space="preserve"> </w:t>
      </w:r>
      <w:r w:rsidRPr="00A30607">
        <w:t>can operate more efficiently and resiliently. Traditional centrali</w:t>
      </w:r>
      <w:r>
        <w:t>s</w:t>
      </w:r>
      <w:r w:rsidRPr="00A30607">
        <w:t>ed control approaches often struggle to cope with the scale, uncertainty, and variability inherent in these systems, especially with the increasing integration of renewable energy sources. In contrast, agent-based thinking promotes decentralized decision-making, where multiple autonomous agents operate independently while coordinating to achieve global system objectives. This paradigm enables greater flexibility, scalability, and fault tolerance, as individual agents can respond locally to disturbances without requiring a complete system-wide reconfiguration. Moreover, such an approach aligns well with real-world operational needs, where systems must continuously adapt to dynamic conditions, fluctuating demand, and unforeseen events. It also enhances robustness by reducing single points of failure, making it particularly suitable for critical infrastructure applications.</w:t>
      </w:r>
    </w:p>
    <w:p w14:paraId="1D3E6126" w14:textId="6B13C18A" w:rsidR="002C7B23" w:rsidRDefault="002C7B23" w:rsidP="002C7B23">
      <w:pPr>
        <w:jc w:val="both"/>
      </w:pPr>
      <w:r>
        <w:t>The concept of multi-agent systems (MAS) further reinforces this perspective by demonstrating how complex problems can be decomposed into smaller, manageable tasks assigned to individual agents. Each agent can specialize in a particular function—such as monitoring, control, or optimization</w:t>
      </w:r>
      <w:r w:rsidR="00A30607">
        <w:t xml:space="preserve"> </w:t>
      </w:r>
      <w:r>
        <w:t>—</w:t>
      </w:r>
      <w:r w:rsidR="00A30607">
        <w:t xml:space="preserve"> </w:t>
      </w:r>
      <w:r>
        <w:t xml:space="preserve">while communicating and collaborating with others. This modularity not only improves scalability but also enhances system robustness, as the failure of one agent does not necessarily compromise the entire system. In the context of condition monitoring, for example, distributed agents can independently analyse sensor data, detect </w:t>
      </w:r>
      <w:r w:rsidR="0065450B">
        <w:t xml:space="preserve">operational </w:t>
      </w:r>
      <w:r>
        <w:t>anomalies, and coordinate maintenance decisions in real time.</w:t>
      </w:r>
    </w:p>
    <w:p w14:paraId="0E1C38AD" w14:textId="77777777" w:rsidR="002C7B23" w:rsidRDefault="002C7B23" w:rsidP="002C7B23">
      <w:pPr>
        <w:jc w:val="both"/>
      </w:pPr>
      <w:r>
        <w:t>A key insight from this reflection is the importance of agent architectures in determining system performance and behaviour. Reactive agents, which respond directly to environmental stimuli, are suitable for time-critical applications but lack long-term planning capabilities. Deliberative agents, on the other hand, maintain internal models of the environment and can reason about future actions, though they may be computationally intensive. Hybrid architectures combine the strengths of both approaches, offering a balance between responsiveness and reasoning. Among these, the Belief–Desire–Intention architecture stands out as particularly compelling. By modelling beliefs (information about the world), desires (objectives), and intentions (committed actions), BDI agents enable structured, goal-oriented reasoning that closely resembles human decision-making processes. This makes them especially suitable for applications requiring adaptability and contextual awareness, such as predictive maintenance and intelligent energy management.</w:t>
      </w:r>
    </w:p>
    <w:p w14:paraId="6766C28B" w14:textId="77777777" w:rsidR="002C7B23" w:rsidRDefault="002C7B23" w:rsidP="002C7B23">
      <w:pPr>
        <w:jc w:val="both"/>
      </w:pPr>
      <w:r>
        <w:t xml:space="preserve">Despite these advantages, the deployment of intelligent agents introduces several challenges. Coordination among agents can become complex, particularly in environments where agents </w:t>
      </w:r>
      <w:r>
        <w:lastRenderedPageBreak/>
        <w:t xml:space="preserve">have competing objectives or incomplete information. Designing effective communication protocols and ensuring convergence toward optimal system behaviour remain open research problems. Additionally, as agents become more autonomous, issues of trust, transparency, and accountability become increasingly important. In safety-critical domains such as power systems or healthcare, it is essential to ensure that agent decisions are explainable and aligned with human values. As noted by </w:t>
      </w:r>
      <w:proofErr w:type="spellStart"/>
      <w:r>
        <w:t>Soorati</w:t>
      </w:r>
      <w:proofErr w:type="spellEnd"/>
      <w:r>
        <w:t xml:space="preserve"> et al. (2022), there is a growing need for human-centred and trustworthy multi-agent systems that incorporate ethical considerations into their design.</w:t>
      </w:r>
    </w:p>
    <w:p w14:paraId="44D81176" w14:textId="77777777" w:rsidR="002C7B23" w:rsidRDefault="002C7B23" w:rsidP="002C7B23">
      <w:pPr>
        <w:jc w:val="both"/>
      </w:pPr>
      <w:r>
        <w:t>Another important dimension of this reflection is the convergence between intelligent agents and emerging AI technologies, particularly machine learning and large language models. This integration significantly enhances the capabilities of agents, enabling them to learn from data, adapt to new situations, and interact with users in more natural and intuitive ways. For instance, learning-enabled agents can improve fault detection accuracy in condition monitoring by identifying subtle patterns in sensor data. Similarly, language-capable agents can facilitate human–machine interaction, allowing operators to query system status or issue commands using natural language.</w:t>
      </w:r>
    </w:p>
    <w:p w14:paraId="3E0C3927" w14:textId="321E8E88" w:rsidR="002C7B23" w:rsidRDefault="0065450B" w:rsidP="002C7B23">
      <w:pPr>
        <w:jc w:val="both"/>
      </w:pPr>
      <w:r w:rsidRPr="0065450B">
        <w:t>However, this convergence also introduces new and increasingly complex risks. Machine learning models, which underpin many intelligent agents, may inherit biases present in their training data, potentially leading to unfair, inaccurate, or even unsafe decisions in critical applications. This is particularly concerning in domains such as energy systems or infrastructure monitoring, where decisions can have significant real-world consequences. Furthermore, over-reliance on automated agents may reduce human oversight and situational awareness, making it more difficult for operators to detect anomalies or intervene effectively when systems behave unexpectedly. Security vulnerabilities also pose a major challenge, as interconnected agents operating in distributed environments can become targets for cyberattacks, potentially compromising the integrity, confidentiality, and availability of the entire system. These risks underscore the need for rigorous validation procedures, continuous system monitoring, robust cybersecurity measures, and the integration of human-in-the-loop mechanisms to ensure safe, reliable, and trustworthy agent-based systems.</w:t>
      </w:r>
    </w:p>
    <w:p w14:paraId="797EE597" w14:textId="77777777" w:rsidR="002C7B23" w:rsidRDefault="002C7B23" w:rsidP="002C7B23">
      <w:pPr>
        <w:jc w:val="both"/>
      </w:pPr>
      <w:r>
        <w:t>From a socio-technical perspective, intelligent agents have the potential to deliver significant societal benefits. They can improve efficiency, reduce operational costs, enhance safety, and support sustainable practices in sectors such as energy, transportation, and manufacturing. For example, in smart grids, agent-based systems can optimize energy distribution, integrate renewable resources, and support demand-side management. At the same time, their widespread adoption raises important ethical questions related to job displacement, data privacy, and decision-making authority. Ensuring that these technologies are developed and deployed responsibly requires a multidisciplinary approach that considers technical, social, and regulatory aspects.</w:t>
      </w:r>
    </w:p>
    <w:p w14:paraId="6C291ABE" w14:textId="7920E41C" w:rsidR="00F22E64" w:rsidRDefault="002C7B23" w:rsidP="002C7B23">
      <w:pPr>
        <w:jc w:val="both"/>
      </w:pPr>
      <w:r>
        <w:t>In conclusion, intelligent agents provide a powerful and flexible framework for designing adaptive, autonomous systems capable of operating in complex and dynamic environments. Their ability to support decentrali</w:t>
      </w:r>
      <w:r w:rsidR="0065450B">
        <w:t>s</w:t>
      </w:r>
      <w:r>
        <w:t>ed decision-making, scalability, and collaboration makes them highly relevant for modern engineering applications</w:t>
      </w:r>
      <w:r w:rsidR="0065450B">
        <w:t xml:space="preserve"> (smart grids, asset management, distributed energy systems, etc)</w:t>
      </w:r>
      <w:r>
        <w:t>. However, their successful implementation depends on addressing key challenges related to coordination, trust, security, and ethics. As AI continues to evolve, intelligent agents</w:t>
      </w:r>
      <w:r>
        <w:t xml:space="preserve"> </w:t>
      </w:r>
      <w:r>
        <w:t>—</w:t>
      </w:r>
      <w:r>
        <w:t xml:space="preserve"> </w:t>
      </w:r>
      <w:r>
        <w:t>particularly when integrated with advanced learning techniques</w:t>
      </w:r>
      <w:r>
        <w:t xml:space="preserve"> </w:t>
      </w:r>
      <w:r>
        <w:t>—</w:t>
      </w:r>
      <w:r>
        <w:t xml:space="preserve"> </w:t>
      </w:r>
      <w:r>
        <w:t>will play a central role in shaping the next generation of intelligent, human-centred systems.</w:t>
      </w:r>
    </w:p>
    <w:p w14:paraId="7FF3EC59" w14:textId="77777777" w:rsidR="00F22E64" w:rsidRDefault="00F22E64" w:rsidP="00F22E64">
      <w:r>
        <w:lastRenderedPageBreak/>
        <w:t>References</w:t>
      </w:r>
    </w:p>
    <w:p w14:paraId="35766092" w14:textId="41354029" w:rsidR="00CC4E7C" w:rsidRDefault="00CC4E7C" w:rsidP="00F22E64">
      <w:r w:rsidRPr="00CC4E7C">
        <w:t>Russell, S. J., &amp; Norvig, P. (2003). Artificial Intelligence: A Modern Approach (2nd ed.). Upper Saddle River, NJ: Prentice Hall.</w:t>
      </w:r>
    </w:p>
    <w:p w14:paraId="7FB049C0" w14:textId="21BA183B" w:rsidR="002C7B23" w:rsidRDefault="002C7B23" w:rsidP="002C7B23">
      <w:proofErr w:type="spellStart"/>
      <w:r w:rsidRPr="002C7B23">
        <w:t>Soorati</w:t>
      </w:r>
      <w:proofErr w:type="spellEnd"/>
      <w:r w:rsidRPr="002C7B23">
        <w:t>, M.</w:t>
      </w:r>
      <w:r>
        <w:t xml:space="preserve"> D.</w:t>
      </w:r>
      <w:r w:rsidRPr="002C7B23">
        <w:t xml:space="preserve">, Gerding, E.H., Marchioni, E., Naumov, P., Norman, T.J., Ramchurn, S.D., </w:t>
      </w:r>
      <w:proofErr w:type="spellStart"/>
      <w:r w:rsidRPr="002C7B23">
        <w:t>Rastegari</w:t>
      </w:r>
      <w:proofErr w:type="spellEnd"/>
      <w:r w:rsidRPr="002C7B23">
        <w:t xml:space="preserve">, B., Sobey, A., Stein, S., </w:t>
      </w:r>
      <w:proofErr w:type="spellStart"/>
      <w:r w:rsidRPr="002C7B23">
        <w:t>Tarpore</w:t>
      </w:r>
      <w:proofErr w:type="spellEnd"/>
      <w:r w:rsidRPr="002C7B23">
        <w:t>, D. and Yazdanpanah, V.</w:t>
      </w:r>
      <w:r>
        <w:t xml:space="preserve"> (</w:t>
      </w:r>
      <w:r w:rsidRPr="002C7B23">
        <w:t>2022</w:t>
      </w:r>
      <w:r>
        <w:t>)</w:t>
      </w:r>
      <w:r w:rsidRPr="002C7B23">
        <w:t>. From intelligent agents to trustworthy human-centred multiagent systems. AI Communications, 35(4), pp.</w:t>
      </w:r>
      <w:r>
        <w:t xml:space="preserve"> </w:t>
      </w:r>
      <w:r w:rsidRPr="002C7B23">
        <w:t>443-457.</w:t>
      </w:r>
    </w:p>
    <w:p w14:paraId="4BBEFFF4" w14:textId="6D5D75A0" w:rsidR="00F22E64" w:rsidRDefault="00F22E64" w:rsidP="00F22E64">
      <w:proofErr w:type="spellStart"/>
      <w:r w:rsidRPr="00F22E64">
        <w:t>Tirulo</w:t>
      </w:r>
      <w:proofErr w:type="spellEnd"/>
      <w:r w:rsidRPr="00F22E64">
        <w:t>,</w:t>
      </w:r>
      <w:r w:rsidRPr="00F22E64">
        <w:t xml:space="preserve"> A.,</w:t>
      </w:r>
      <w:r w:rsidRPr="00F22E64">
        <w:t xml:space="preserve"> Yadav, </w:t>
      </w:r>
      <w:r w:rsidRPr="00F22E64">
        <w:t xml:space="preserve">M., </w:t>
      </w:r>
      <w:proofErr w:type="spellStart"/>
      <w:r w:rsidRPr="00F22E64">
        <w:t>Lolamo</w:t>
      </w:r>
      <w:proofErr w:type="spellEnd"/>
      <w:r w:rsidRPr="00F22E64">
        <w:t>,</w:t>
      </w:r>
      <w:r w:rsidRPr="00F22E64">
        <w:t xml:space="preserve"> M., Chauhan</w:t>
      </w:r>
      <w:r w:rsidRPr="00F22E64">
        <w:t>,</w:t>
      </w:r>
      <w:r w:rsidRPr="00F22E64">
        <w:t xml:space="preserve"> S.,</w:t>
      </w:r>
      <w:r w:rsidRPr="00F22E64">
        <w:t xml:space="preserve"> Siano,</w:t>
      </w:r>
      <w:r w:rsidRPr="00F22E64">
        <w:t xml:space="preserve"> P.</w:t>
      </w:r>
      <w:r>
        <w:t xml:space="preserve"> &amp; </w:t>
      </w:r>
      <w:r w:rsidRPr="00F22E64">
        <w:t>Shafie-</w:t>
      </w:r>
      <w:proofErr w:type="spellStart"/>
      <w:r w:rsidRPr="00F22E64">
        <w:t>khah</w:t>
      </w:r>
      <w:proofErr w:type="spellEnd"/>
      <w:r w:rsidRPr="00F22E64">
        <w:t>,</w:t>
      </w:r>
      <w:r>
        <w:t xml:space="preserve"> M. (2026). </w:t>
      </w:r>
      <w:r>
        <w:t>Beyond automation: Unveiling the potential of agentic intelligence,</w:t>
      </w:r>
      <w:r>
        <w:t xml:space="preserve"> </w:t>
      </w:r>
      <w:r>
        <w:t>Renewable and Sustainable Energy Reviews,</w:t>
      </w:r>
      <w:r>
        <w:t xml:space="preserve"> </w:t>
      </w:r>
      <w:r>
        <w:t>Vol</w:t>
      </w:r>
      <w:r>
        <w:t>.</w:t>
      </w:r>
      <w:r>
        <w:t xml:space="preserve"> 226, Part A,</w:t>
      </w:r>
      <w:r>
        <w:t xml:space="preserve"> </w:t>
      </w:r>
      <w:r>
        <w:t>ISSN 1364-0321,</w:t>
      </w:r>
      <w:r>
        <w:t xml:space="preserve"> </w:t>
      </w:r>
      <w:hyperlink r:id="rId4" w:history="1">
        <w:r w:rsidRPr="00B04DED">
          <w:rPr>
            <w:rStyle w:val="Hyperlink"/>
          </w:rPr>
          <w:t>https://doi.org/10.1016/j.rser.2025.116218</w:t>
        </w:r>
      </w:hyperlink>
      <w:r>
        <w:t>.</w:t>
      </w:r>
    </w:p>
    <w:p w14:paraId="7CA2933B" w14:textId="3C22A084" w:rsidR="005D00F2" w:rsidRDefault="005D00F2" w:rsidP="00F22E64">
      <w:r w:rsidRPr="005D00F2">
        <w:t>Wooldridge, M.</w:t>
      </w:r>
      <w:r>
        <w:t xml:space="preserve"> (</w:t>
      </w:r>
      <w:r w:rsidRPr="005D00F2">
        <w:t>2009</w:t>
      </w:r>
      <w:r>
        <w:t>)</w:t>
      </w:r>
      <w:r w:rsidRPr="005D00F2">
        <w:t xml:space="preserve">. An introduction to multiagent systems. John </w:t>
      </w:r>
      <w:r w:rsidRPr="005D00F2">
        <w:t>Wiley</w:t>
      </w:r>
      <w:r w:rsidRPr="005D00F2">
        <w:t xml:space="preserve"> &amp; sons.</w:t>
      </w:r>
    </w:p>
    <w:p w14:paraId="12990DBA" w14:textId="77777777" w:rsidR="00F22E64" w:rsidRDefault="00F22E64" w:rsidP="00F22E64"/>
    <w:p w14:paraId="7101A7F0" w14:textId="77777777" w:rsidR="00F22E64" w:rsidRDefault="00F22E64" w:rsidP="00F22E64"/>
    <w:p w14:paraId="4A8E7A70" w14:textId="77777777" w:rsidR="00F22E64" w:rsidRDefault="00F22E64" w:rsidP="00F22E64"/>
    <w:sectPr w:rsidR="00F22E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E64"/>
    <w:rsid w:val="002C7B23"/>
    <w:rsid w:val="005D00F2"/>
    <w:rsid w:val="0065450B"/>
    <w:rsid w:val="00A30607"/>
    <w:rsid w:val="00AD73E7"/>
    <w:rsid w:val="00C1251C"/>
    <w:rsid w:val="00CC4E7C"/>
    <w:rsid w:val="00F17DE8"/>
    <w:rsid w:val="00F22E64"/>
    <w:rsid w:val="00FE36C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82830"/>
  <w15:chartTrackingRefBased/>
  <w15:docId w15:val="{B11DE565-1199-4250-A117-4CC9E6065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E64"/>
    <w:rPr>
      <w:rFonts w:eastAsiaTheme="majorEastAsia" w:cstheme="majorBidi"/>
      <w:color w:val="272727" w:themeColor="text1" w:themeTint="D8"/>
    </w:rPr>
  </w:style>
  <w:style w:type="paragraph" w:styleId="Title">
    <w:name w:val="Title"/>
    <w:basedOn w:val="Normal"/>
    <w:next w:val="Normal"/>
    <w:link w:val="TitleChar"/>
    <w:uiPriority w:val="10"/>
    <w:qFormat/>
    <w:rsid w:val="00F22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E64"/>
    <w:pPr>
      <w:spacing w:before="160"/>
      <w:jc w:val="center"/>
    </w:pPr>
    <w:rPr>
      <w:i/>
      <w:iCs/>
      <w:color w:val="404040" w:themeColor="text1" w:themeTint="BF"/>
    </w:rPr>
  </w:style>
  <w:style w:type="character" w:customStyle="1" w:styleId="QuoteChar">
    <w:name w:val="Quote Char"/>
    <w:basedOn w:val="DefaultParagraphFont"/>
    <w:link w:val="Quote"/>
    <w:uiPriority w:val="29"/>
    <w:rsid w:val="00F22E64"/>
    <w:rPr>
      <w:i/>
      <w:iCs/>
      <w:color w:val="404040" w:themeColor="text1" w:themeTint="BF"/>
    </w:rPr>
  </w:style>
  <w:style w:type="paragraph" w:styleId="ListParagraph">
    <w:name w:val="List Paragraph"/>
    <w:basedOn w:val="Normal"/>
    <w:uiPriority w:val="34"/>
    <w:qFormat/>
    <w:rsid w:val="00F22E64"/>
    <w:pPr>
      <w:ind w:left="720"/>
      <w:contextualSpacing/>
    </w:pPr>
  </w:style>
  <w:style w:type="character" w:styleId="IntenseEmphasis">
    <w:name w:val="Intense Emphasis"/>
    <w:basedOn w:val="DefaultParagraphFont"/>
    <w:uiPriority w:val="21"/>
    <w:qFormat/>
    <w:rsid w:val="00F22E64"/>
    <w:rPr>
      <w:i/>
      <w:iCs/>
      <w:color w:val="0F4761" w:themeColor="accent1" w:themeShade="BF"/>
    </w:rPr>
  </w:style>
  <w:style w:type="paragraph" w:styleId="IntenseQuote">
    <w:name w:val="Intense Quote"/>
    <w:basedOn w:val="Normal"/>
    <w:next w:val="Normal"/>
    <w:link w:val="IntenseQuoteChar"/>
    <w:uiPriority w:val="30"/>
    <w:qFormat/>
    <w:rsid w:val="00F22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E64"/>
    <w:rPr>
      <w:i/>
      <w:iCs/>
      <w:color w:val="0F4761" w:themeColor="accent1" w:themeShade="BF"/>
    </w:rPr>
  </w:style>
  <w:style w:type="character" w:styleId="IntenseReference">
    <w:name w:val="Intense Reference"/>
    <w:basedOn w:val="DefaultParagraphFont"/>
    <w:uiPriority w:val="32"/>
    <w:qFormat/>
    <w:rsid w:val="00F22E64"/>
    <w:rPr>
      <w:b/>
      <w:bCs/>
      <w:smallCaps/>
      <w:color w:val="0F4761" w:themeColor="accent1" w:themeShade="BF"/>
      <w:spacing w:val="5"/>
    </w:rPr>
  </w:style>
  <w:style w:type="character" w:styleId="Hyperlink">
    <w:name w:val="Hyperlink"/>
    <w:basedOn w:val="DefaultParagraphFont"/>
    <w:uiPriority w:val="99"/>
    <w:unhideWhenUsed/>
    <w:rsid w:val="00F22E64"/>
    <w:rPr>
      <w:color w:val="467886" w:themeColor="hyperlink"/>
      <w:u w:val="single"/>
    </w:rPr>
  </w:style>
  <w:style w:type="character" w:styleId="UnresolvedMention">
    <w:name w:val="Unresolved Mention"/>
    <w:basedOn w:val="DefaultParagraphFont"/>
    <w:uiPriority w:val="99"/>
    <w:semiHidden/>
    <w:unhideWhenUsed/>
    <w:rsid w:val="00F22E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16/j.rser.2025.1162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1300</Words>
  <Characters>7411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Bokoro, Pitshou</dc:creator>
  <cp:keywords/>
  <dc:description/>
  <cp:lastModifiedBy>Bokoro, Pitshou</cp:lastModifiedBy>
  <cp:revision>1</cp:revision>
  <dcterms:created xsi:type="dcterms:W3CDTF">2026-04-18T20:45:00Z</dcterms:created>
  <dcterms:modified xsi:type="dcterms:W3CDTF">2026-04-18T21:42:00Z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31be4-bb77-46d3-b866-62153466896a_Enabled">
    <vt:lpwstr>true</vt:lpwstr>
  </property>
  <property fmtid="{D5CDD505-2E9C-101B-9397-08002B2CF9AE}" pid="3" name="MSIP_Label_b0d31be4-bb77-46d3-b866-62153466896a_SetDate">
    <vt:lpwstr>2026-04-18T21:42:17Z</vt:lpwstr>
  </property>
  <property fmtid="{D5CDD505-2E9C-101B-9397-08002B2CF9AE}" pid="4" name="MSIP_Label_b0d31be4-bb77-46d3-b866-62153466896a_Method">
    <vt:lpwstr>Standard</vt:lpwstr>
  </property>
  <property fmtid="{D5CDD505-2E9C-101B-9397-08002B2CF9AE}" pid="5" name="MSIP_Label_b0d31be4-bb77-46d3-b866-62153466896a_Name">
    <vt:lpwstr>Public</vt:lpwstr>
  </property>
  <property fmtid="{D5CDD505-2E9C-101B-9397-08002B2CF9AE}" pid="6" name="MSIP_Label_b0d31be4-bb77-46d3-b866-62153466896a_SiteId">
    <vt:lpwstr>fa785acd-36ef-41bc-8a94-89841327e045</vt:lpwstr>
  </property>
  <property fmtid="{D5CDD505-2E9C-101B-9397-08002B2CF9AE}" pid="7" name="MSIP_Label_b0d31be4-bb77-46d3-b866-62153466896a_ActionId">
    <vt:lpwstr>bf56d1a5-0f52-4e78-b555-c23713066928</vt:lpwstr>
  </property>
  <property fmtid="{D5CDD505-2E9C-101B-9397-08002B2CF9AE}" pid="8" name="MSIP_Label_b0d31be4-bb77-46d3-b866-62153466896a_ContentBits">
    <vt:lpwstr>0</vt:lpwstr>
  </property>
  <property fmtid="{D5CDD505-2E9C-101B-9397-08002B2CF9AE}" pid="9" name="MSIP_Label_b0d31be4-bb77-46d3-b866-62153466896a_Tag">
    <vt:lpwstr>10, 3, 0, 1</vt:lpwstr>
  </property>
</Properties>
</file>