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DCBB8" w14:textId="646D06AD" w:rsidR="00AC763E" w:rsidRDefault="00AC763E" w:rsidP="00385A57">
      <w:pPr>
        <w:jc w:val="both"/>
      </w:pPr>
      <w:r>
        <w:t>A</w:t>
      </w:r>
      <w:r w:rsidRPr="00AC763E">
        <w:t>pplication of Deep Learning</w:t>
      </w:r>
      <w:r>
        <w:t xml:space="preserve"> in condition monitoring</w:t>
      </w:r>
    </w:p>
    <w:p w14:paraId="71AE5610" w14:textId="56A4D860" w:rsidR="00385A57" w:rsidRDefault="00385A57" w:rsidP="00385A57">
      <w:pPr>
        <w:jc w:val="both"/>
      </w:pPr>
      <w:r>
        <w:t>Deep learning has become a transformative approach in condition monitoring, particularly within modern industrial and energy systems. Condition monitoring involves continuously collecting and analysing sensor data (vibration, temperature, pressure</w:t>
      </w:r>
      <w:r w:rsidR="00463BB6">
        <w:t>, leakage current, etc.</w:t>
      </w:r>
      <w:r>
        <w:t xml:space="preserve">) to assess the health of equipment and detect early signs of </w:t>
      </w:r>
      <w:r>
        <w:t>faults.</w:t>
      </w:r>
      <w:r>
        <w:t xml:space="preserve"> Traditional methods relied heavily on manual feature extraction and expert knowledge, but deep learning introduces automated feature learning, enabling more accurate and scalable fault detection (</w:t>
      </w:r>
      <w:proofErr w:type="spellStart"/>
      <w:r w:rsidR="006B18A0" w:rsidRPr="006B18A0">
        <w:t>Gangsar</w:t>
      </w:r>
      <w:proofErr w:type="spellEnd"/>
      <w:r w:rsidR="006B18A0">
        <w:t xml:space="preserve"> a</w:t>
      </w:r>
      <w:r w:rsidR="006B18A0" w:rsidRPr="006B18A0">
        <w:t>nd Tiwari</w:t>
      </w:r>
      <w:r w:rsidR="006B18A0">
        <w:t>, 2020;</w:t>
      </w:r>
      <w:r w:rsidR="006B18A0" w:rsidRPr="006B18A0">
        <w:t xml:space="preserve"> </w:t>
      </w:r>
      <w:r w:rsidRPr="00385A57">
        <w:t>Ao</w:t>
      </w:r>
      <w:r>
        <w:t xml:space="preserve"> et al., 2022</w:t>
      </w:r>
      <w:r>
        <w:t>).</w:t>
      </w:r>
    </w:p>
    <w:p w14:paraId="5A8D9ABF" w14:textId="65EFA57E" w:rsidR="00385A57" w:rsidRDefault="00385A57" w:rsidP="00385A57">
      <w:pPr>
        <w:jc w:val="both"/>
      </w:pPr>
      <w:r>
        <w:t xml:space="preserve">In practice, deep learning-based condition monitoring works by feeding large volumes of sensor data into deep neural networks such as convolutional neural networks (CNNs) or </w:t>
      </w:r>
      <w:r w:rsidR="006B18A0">
        <w:t>long short-term memory (LSTM)</w:t>
      </w:r>
      <w:r>
        <w:t xml:space="preserve">. These models learn patterns directly from raw data and identify anomalies or degradation states without requiring explicit feature </w:t>
      </w:r>
      <w:r>
        <w:t>engineering</w:t>
      </w:r>
      <w:r w:rsidR="00463BB6">
        <w:t xml:space="preserve"> (Mumuni and Mumuni, 2025; Fang et al., 2025)</w:t>
      </w:r>
      <w:r>
        <w:t>.</w:t>
      </w:r>
      <w:r>
        <w:t xml:space="preserve"> For </w:t>
      </w:r>
      <w:r w:rsidR="006B18A0">
        <w:t>instance</w:t>
      </w:r>
      <w:r>
        <w:t xml:space="preserve">, vibration signals from rotating machinery can be analysed to detect faults in bearings or motors, while models continuously improve as more data becomes available. This enables predictive maintenance, where failures are anticipated before they occur, reducing downtime and operational </w:t>
      </w:r>
      <w:r w:rsidR="006B18A0">
        <w:t>costs.</w:t>
      </w:r>
    </w:p>
    <w:p w14:paraId="2E635A8F" w14:textId="343700B7" w:rsidR="00385A57" w:rsidRDefault="00385A57" w:rsidP="00385A57">
      <w:pPr>
        <w:jc w:val="both"/>
      </w:pPr>
      <w:r>
        <w:t>Despite these advantages, several socio-technical implications arise. From an ethical and privacy perspective</w:t>
      </w:r>
      <w:r w:rsidR="00BC743A">
        <w:t xml:space="preserve"> (</w:t>
      </w:r>
      <w:proofErr w:type="spellStart"/>
      <w:r w:rsidR="00BC743A">
        <w:t>Dhirani</w:t>
      </w:r>
      <w:proofErr w:type="spellEnd"/>
      <w:r w:rsidR="00BC743A">
        <w:t xml:space="preserve"> et al., 2023)</w:t>
      </w:r>
      <w:r>
        <w:t>, the large-scale collection of operational data</w:t>
      </w:r>
      <w:r w:rsidR="00463BB6">
        <w:t xml:space="preserve"> </w:t>
      </w:r>
      <w:r>
        <w:t>—</w:t>
      </w:r>
      <w:r w:rsidR="00463BB6">
        <w:t xml:space="preserve"> </w:t>
      </w:r>
      <w:r>
        <w:t>often in cloud-based systems</w:t>
      </w:r>
      <w:r w:rsidR="00463BB6">
        <w:t xml:space="preserve"> </w:t>
      </w:r>
      <w:r>
        <w:t>—</w:t>
      </w:r>
      <w:r w:rsidR="00463BB6">
        <w:t xml:space="preserve"> </w:t>
      </w:r>
      <w:r>
        <w:t>raises concerns about data ownership, cybersecurity, and surveillance of workers. Additionally, reliance on automated decision-making may reduce human oversight, potentially leading to over-trust in AI systems</w:t>
      </w:r>
      <w:r w:rsidR="00BC743A">
        <w:t xml:space="preserve"> (</w:t>
      </w:r>
      <w:r w:rsidR="004D7F5F" w:rsidRPr="004D7F5F">
        <w:t>Holzinger</w:t>
      </w:r>
      <w:r w:rsidR="004D7F5F" w:rsidRPr="004D7F5F">
        <w:t xml:space="preserve"> </w:t>
      </w:r>
      <w:r w:rsidR="004D7F5F">
        <w:t xml:space="preserve">et al., 2025; </w:t>
      </w:r>
      <w:r w:rsidR="00BC743A" w:rsidRPr="00BC743A">
        <w:t>Pearson</w:t>
      </w:r>
      <w:r w:rsidR="00BC743A">
        <w:t xml:space="preserve"> et al</w:t>
      </w:r>
      <w:r>
        <w:t>.</w:t>
      </w:r>
      <w:r w:rsidR="00BC743A">
        <w:t>, 2026).</w:t>
      </w:r>
      <w:r>
        <w:t xml:space="preserve"> Bias in training data can also result in inaccurate diagnostics, particularly in diverse operational conditions.</w:t>
      </w:r>
    </w:p>
    <w:p w14:paraId="7563912B" w14:textId="6987B851" w:rsidR="00385A57" w:rsidRDefault="00385A57" w:rsidP="00385A57">
      <w:pPr>
        <w:jc w:val="both"/>
      </w:pPr>
      <w:r>
        <w:t>On the positive side, deep learning contributes significantly to social good by improving safety, reducing hazardous failures, and enhancing energy efficiency in critical infrastructure</w:t>
      </w:r>
      <w:r w:rsidR="004D7F5F">
        <w:t xml:space="preserve"> (Fan et al., 2023</w:t>
      </w:r>
      <w:r w:rsidR="00AC763E">
        <w:t xml:space="preserve">; </w:t>
      </w:r>
      <w:proofErr w:type="spellStart"/>
      <w:r w:rsidR="00AC763E">
        <w:t>Neshenko</w:t>
      </w:r>
      <w:proofErr w:type="spellEnd"/>
      <w:r w:rsidR="00AC763E">
        <w:t xml:space="preserve"> et al., 2025</w:t>
      </w:r>
      <w:r w:rsidR="004D7F5F">
        <w:t>)</w:t>
      </w:r>
      <w:r>
        <w:t>. However, responsible deployment requires transparency, robust governance, and human-in-the-loop systems to ensure trust and accountability.</w:t>
      </w:r>
    </w:p>
    <w:p w14:paraId="2F310281" w14:textId="04C36275" w:rsidR="00385A57" w:rsidRPr="004D7F5F" w:rsidRDefault="00AC763E" w:rsidP="00385A57">
      <w:pPr>
        <w:rPr>
          <w:lang w:val="en-GB"/>
        </w:rPr>
      </w:pPr>
      <w:r>
        <w:rPr>
          <w:lang w:val="en-GB"/>
        </w:rPr>
        <w:t>R</w:t>
      </w:r>
      <w:r w:rsidR="00385A57" w:rsidRPr="004D7F5F">
        <w:rPr>
          <w:lang w:val="en-GB"/>
        </w:rPr>
        <w:t>eferences</w:t>
      </w:r>
    </w:p>
    <w:p w14:paraId="401C1705" w14:textId="617EF2A1" w:rsidR="00385A57" w:rsidRDefault="00385A57" w:rsidP="00385A57">
      <w:r w:rsidRPr="00385A57">
        <w:rPr>
          <w:lang w:val="it-IT"/>
        </w:rPr>
        <w:t xml:space="preserve">Ao, S.-I., Gelman, L., Karimi, H. R., &amp; Tiboni, M. (2022). </w:t>
      </w:r>
      <w:r w:rsidRPr="00385A57">
        <w:t xml:space="preserve">Advances in Machine Learning for Sensing and Condition Monitoring. </w:t>
      </w:r>
      <w:r w:rsidRPr="00385A57">
        <w:rPr>
          <w:lang w:val="fr-CD"/>
        </w:rPr>
        <w:t xml:space="preserve">Applied Sciences, 12(23), 12392. </w:t>
      </w:r>
      <w:hyperlink r:id="rId4" w:history="1">
        <w:r w:rsidRPr="006B18A0">
          <w:rPr>
            <w:rStyle w:val="Hyperlink"/>
          </w:rPr>
          <w:t>https://doi.org/10.3390/app122312392</w:t>
        </w:r>
      </w:hyperlink>
      <w:r w:rsidRPr="006B18A0">
        <w:t>.</w:t>
      </w:r>
    </w:p>
    <w:p w14:paraId="21286D8D" w14:textId="45EA2D4C" w:rsidR="00BC743A" w:rsidRDefault="00BC743A" w:rsidP="00385A57">
      <w:r w:rsidRPr="00BC743A">
        <w:t>Dhirani</w:t>
      </w:r>
      <w:r w:rsidRPr="00BC743A">
        <w:t>,</w:t>
      </w:r>
      <w:r w:rsidRPr="00BC743A">
        <w:t xml:space="preserve"> L</w:t>
      </w:r>
      <w:r w:rsidRPr="00BC743A">
        <w:t xml:space="preserve">. </w:t>
      </w:r>
      <w:r w:rsidRPr="00BC743A">
        <w:t>L</w:t>
      </w:r>
      <w:r w:rsidRPr="00BC743A">
        <w:t>.</w:t>
      </w:r>
      <w:r w:rsidRPr="00BC743A">
        <w:t xml:space="preserve">, </w:t>
      </w:r>
      <w:proofErr w:type="spellStart"/>
      <w:r w:rsidRPr="00BC743A">
        <w:t>Mukhtiar</w:t>
      </w:r>
      <w:proofErr w:type="spellEnd"/>
      <w:r w:rsidRPr="00BC743A">
        <w:t>,</w:t>
      </w:r>
      <w:r w:rsidRPr="00BC743A">
        <w:t xml:space="preserve"> N</w:t>
      </w:r>
      <w:r w:rsidRPr="00BC743A">
        <w:t>.</w:t>
      </w:r>
      <w:r w:rsidRPr="00BC743A">
        <w:t>, Chowdhry</w:t>
      </w:r>
      <w:r w:rsidRPr="00BC743A">
        <w:t>,</w:t>
      </w:r>
      <w:r w:rsidRPr="00BC743A">
        <w:t xml:space="preserve"> B</w:t>
      </w:r>
      <w:r w:rsidRPr="00BC743A">
        <w:t xml:space="preserve">. </w:t>
      </w:r>
      <w:r w:rsidRPr="00BC743A">
        <w:t>S</w:t>
      </w:r>
      <w:r w:rsidRPr="00BC743A">
        <w:t>. &amp;</w:t>
      </w:r>
      <w:r w:rsidRPr="00BC743A">
        <w:t xml:space="preserve"> </w:t>
      </w:r>
      <w:proofErr w:type="spellStart"/>
      <w:r w:rsidRPr="00BC743A">
        <w:t>Newe</w:t>
      </w:r>
      <w:proofErr w:type="spellEnd"/>
      <w:r>
        <w:t>,</w:t>
      </w:r>
      <w:r w:rsidRPr="00BC743A">
        <w:t xml:space="preserve"> T.</w:t>
      </w:r>
      <w:r>
        <w:t xml:space="preserve"> (2023).</w:t>
      </w:r>
      <w:r w:rsidRPr="00BC743A">
        <w:t xml:space="preserve"> Ethical Dilemmas and Privacy Issues in Emerging Technologies: A Review. Sensors (Basel). Jan 19;23(3):1151. </w:t>
      </w:r>
      <w:proofErr w:type="spellStart"/>
      <w:r w:rsidRPr="00BC743A">
        <w:t>doi</w:t>
      </w:r>
      <w:proofErr w:type="spellEnd"/>
      <w:r w:rsidRPr="00BC743A">
        <w:t>: 10.3390/s23031151. PMID: 36772190; PMCID: PMC9921682.</w:t>
      </w:r>
    </w:p>
    <w:p w14:paraId="37BC04B2" w14:textId="5DFBAAF0" w:rsidR="00463BB6" w:rsidRDefault="00463BB6" w:rsidP="00385A57">
      <w:r w:rsidRPr="00463BB6">
        <w:t xml:space="preserve">Fang, X., Tan, X., Zhang, C., Gao, X., &amp; He, Z. (2025). Cross-System Anomaly Detection in Deep-Sea Submersibles via Coupled Feature Learning. Symmetry, 17(11), 1838. </w:t>
      </w:r>
      <w:hyperlink r:id="rId5" w:history="1">
        <w:r w:rsidRPr="00044474">
          <w:rPr>
            <w:rStyle w:val="Hyperlink"/>
          </w:rPr>
          <w:t>https://doi.org/10.3390/sym17111838</w:t>
        </w:r>
      </w:hyperlink>
      <w:r w:rsidRPr="00463BB6">
        <w:t>.</w:t>
      </w:r>
    </w:p>
    <w:p w14:paraId="166CD839" w14:textId="15B21E41" w:rsidR="004D7F5F" w:rsidRDefault="004D7F5F" w:rsidP="00385A57">
      <w:r w:rsidRPr="004D7F5F">
        <w:t>Fan, Z., Yan, Z., &amp; Wen, S. (2023). Deep Learning and Artificial Intelligence in Sustainability: A Review of SDGs, Renewable Energy, and Environmental Health. </w:t>
      </w:r>
      <w:r w:rsidRPr="004D7F5F">
        <w:rPr>
          <w:i/>
          <w:iCs/>
        </w:rPr>
        <w:t>Sustainability</w:t>
      </w:r>
      <w:r w:rsidRPr="004D7F5F">
        <w:t>, </w:t>
      </w:r>
      <w:r w:rsidRPr="004D7F5F">
        <w:rPr>
          <w:i/>
          <w:iCs/>
        </w:rPr>
        <w:t>15</w:t>
      </w:r>
      <w:r w:rsidRPr="004D7F5F">
        <w:t xml:space="preserve">(18), 13493. </w:t>
      </w:r>
      <w:hyperlink r:id="rId6" w:history="1">
        <w:r w:rsidRPr="000550B1">
          <w:rPr>
            <w:rStyle w:val="Hyperlink"/>
          </w:rPr>
          <w:t>https://doi.org/10.3390/su151813493</w:t>
        </w:r>
      </w:hyperlink>
      <w:r>
        <w:t>.</w:t>
      </w:r>
    </w:p>
    <w:p w14:paraId="6082C859" w14:textId="08B47AA4" w:rsidR="006B18A0" w:rsidRDefault="006B18A0" w:rsidP="006B18A0">
      <w:proofErr w:type="spellStart"/>
      <w:r w:rsidRPr="006B18A0">
        <w:lastRenderedPageBreak/>
        <w:t>Gangsar</w:t>
      </w:r>
      <w:proofErr w:type="spellEnd"/>
      <w:r w:rsidRPr="006B18A0">
        <w:t xml:space="preserve">, </w:t>
      </w:r>
      <w:r w:rsidRPr="006B18A0">
        <w:t xml:space="preserve">P. And </w:t>
      </w:r>
      <w:r w:rsidRPr="006B18A0">
        <w:t>Tiwari,</w:t>
      </w:r>
      <w:r w:rsidRPr="006B18A0">
        <w:t xml:space="preserve"> R. </w:t>
      </w:r>
      <w:r>
        <w:t xml:space="preserve">(2020). </w:t>
      </w:r>
      <w:r w:rsidRPr="006B18A0">
        <w:t>Signal based condition monitoring techniques for fault detection and diagnosis of induction motors: A state-of-the-art review,</w:t>
      </w:r>
      <w:r>
        <w:t xml:space="preserve"> </w:t>
      </w:r>
      <w:r w:rsidRPr="006B18A0">
        <w:t>Mechanical Systems and Signal Processing,</w:t>
      </w:r>
      <w:r>
        <w:t xml:space="preserve"> </w:t>
      </w:r>
      <w:r w:rsidRPr="006B18A0">
        <w:t>Vol</w:t>
      </w:r>
      <w:r w:rsidRPr="006B18A0">
        <w:t>.</w:t>
      </w:r>
      <w:r w:rsidRPr="006B18A0">
        <w:t xml:space="preserve"> 144,</w:t>
      </w:r>
      <w:r>
        <w:t xml:space="preserve"> </w:t>
      </w:r>
      <w:r w:rsidRPr="006B18A0">
        <w:t>ISSN 0888-3270,</w:t>
      </w:r>
      <w:r>
        <w:t xml:space="preserve"> </w:t>
      </w:r>
      <w:hyperlink r:id="rId7" w:history="1">
        <w:r w:rsidRPr="00044474">
          <w:rPr>
            <w:rStyle w:val="Hyperlink"/>
          </w:rPr>
          <w:t>https://doi.org/10.1016/j.ymssp.2020.106908</w:t>
        </w:r>
      </w:hyperlink>
      <w:r w:rsidRPr="006B18A0">
        <w:t>.</w:t>
      </w:r>
    </w:p>
    <w:p w14:paraId="3649917D" w14:textId="2F6F5DAA" w:rsidR="004D7F5F" w:rsidRDefault="004D7F5F" w:rsidP="004D7F5F">
      <w:r>
        <w:t xml:space="preserve">Holzinger, </w:t>
      </w:r>
      <w:r>
        <w:t xml:space="preserve">A., </w:t>
      </w:r>
      <w:r>
        <w:t>Zatloukal,</w:t>
      </w:r>
      <w:r>
        <w:t xml:space="preserve"> K., &amp;</w:t>
      </w:r>
      <w:r>
        <w:t xml:space="preserve"> Müller,</w:t>
      </w:r>
      <w:r>
        <w:t xml:space="preserve"> H. (2025). </w:t>
      </w:r>
      <w:r>
        <w:t xml:space="preserve">Is human oversight to AI systems still </w:t>
      </w:r>
      <w:r>
        <w:t xml:space="preserve">possible? </w:t>
      </w:r>
      <w:r>
        <w:t>New Biotechnology,</w:t>
      </w:r>
      <w:r>
        <w:t xml:space="preserve"> </w:t>
      </w:r>
      <w:r>
        <w:t>Vol</w:t>
      </w:r>
      <w:r>
        <w:t>.</w:t>
      </w:r>
      <w:r>
        <w:t xml:space="preserve"> 85,</w:t>
      </w:r>
      <w:r>
        <w:t xml:space="preserve"> pp.</w:t>
      </w:r>
      <w:r>
        <w:t xml:space="preserve"> 59-62,</w:t>
      </w:r>
      <w:r>
        <w:t xml:space="preserve"> </w:t>
      </w:r>
      <w:r>
        <w:t>ISSN 1871-6784,</w:t>
      </w:r>
      <w:r>
        <w:t xml:space="preserve"> </w:t>
      </w:r>
      <w:hyperlink r:id="rId8" w:history="1">
        <w:r w:rsidRPr="00044474">
          <w:rPr>
            <w:rStyle w:val="Hyperlink"/>
          </w:rPr>
          <w:t>https://doi.org/10.1016/j.nbt.2024.12.003</w:t>
        </w:r>
      </w:hyperlink>
      <w:r>
        <w:t>.</w:t>
      </w:r>
    </w:p>
    <w:p w14:paraId="59A949BE" w14:textId="77777777" w:rsidR="00463BB6" w:rsidRDefault="00463BB6" w:rsidP="00463BB6">
      <w:r w:rsidRPr="00463BB6">
        <w:t xml:space="preserve">Mumuni, </w:t>
      </w:r>
      <w:r>
        <w:t xml:space="preserve">A. and </w:t>
      </w:r>
      <w:r w:rsidRPr="00463BB6">
        <w:t>Mumuni,</w:t>
      </w:r>
      <w:r>
        <w:t xml:space="preserve"> F. (2025). </w:t>
      </w:r>
      <w:r w:rsidRPr="00463BB6">
        <w:t>Automated data processing and feature engineering for deep learning and big data applications: A survey,</w:t>
      </w:r>
      <w:r>
        <w:t xml:space="preserve"> </w:t>
      </w:r>
      <w:r w:rsidRPr="00463BB6">
        <w:t>Journal of Information and Intelligence,</w:t>
      </w:r>
      <w:r>
        <w:t xml:space="preserve"> </w:t>
      </w:r>
      <w:r w:rsidRPr="00463BB6">
        <w:t>Vol</w:t>
      </w:r>
      <w:r>
        <w:t>.</w:t>
      </w:r>
      <w:r w:rsidRPr="00463BB6">
        <w:t xml:space="preserve"> 3, Issue 2,</w:t>
      </w:r>
      <w:r>
        <w:t xml:space="preserve"> pp.</w:t>
      </w:r>
      <w:r w:rsidRPr="00463BB6">
        <w:t xml:space="preserve"> 113-153,</w:t>
      </w:r>
      <w:r>
        <w:t xml:space="preserve"> </w:t>
      </w:r>
      <w:r w:rsidRPr="00463BB6">
        <w:t>ISSN 2949-7159,</w:t>
      </w:r>
      <w:r>
        <w:t xml:space="preserve"> </w:t>
      </w:r>
      <w:hyperlink r:id="rId9" w:history="1">
        <w:r w:rsidRPr="00044474">
          <w:rPr>
            <w:rStyle w:val="Hyperlink"/>
          </w:rPr>
          <w:t>https://doi.org/10.1016/j.jiixd.2024.01.002</w:t>
        </w:r>
      </w:hyperlink>
      <w:r w:rsidRPr="00463BB6">
        <w:t>.</w:t>
      </w:r>
    </w:p>
    <w:p w14:paraId="42A25B87" w14:textId="6BE9A76A" w:rsidR="00AC763E" w:rsidRDefault="00AC763E" w:rsidP="00463BB6">
      <w:r w:rsidRPr="00AC763E">
        <w:t xml:space="preserve">Neshenko, N., Bou-Harb, E., Furht, B. et al. </w:t>
      </w:r>
      <w:r>
        <w:t xml:space="preserve">(2025). </w:t>
      </w:r>
      <w:r w:rsidRPr="00AC763E">
        <w:t>A deep learning-based adaptive cyber disaster management framework. J</w:t>
      </w:r>
      <w:r>
        <w:t>.</w:t>
      </w:r>
      <w:r w:rsidRPr="00AC763E">
        <w:t xml:space="preserve"> Big Data 12, 179 (2025). </w:t>
      </w:r>
      <w:hyperlink r:id="rId10" w:history="1">
        <w:r w:rsidRPr="000550B1">
          <w:rPr>
            <w:rStyle w:val="Hyperlink"/>
          </w:rPr>
          <w:t>https://doi.org/10.1186/s40537-025-01241-3</w:t>
        </w:r>
      </w:hyperlink>
      <w:r>
        <w:t>.</w:t>
      </w:r>
    </w:p>
    <w:p w14:paraId="1B7FD19D" w14:textId="7878E49E" w:rsidR="00BC743A" w:rsidRDefault="00BC743A" w:rsidP="00463BB6">
      <w:r w:rsidRPr="00BC743A">
        <w:t>Pearson</w:t>
      </w:r>
      <w:r>
        <w:t>,</w:t>
      </w:r>
      <w:r w:rsidRPr="00BC743A">
        <w:t xml:space="preserve"> J</w:t>
      </w:r>
      <w:r>
        <w:t>.,</w:t>
      </w:r>
      <w:r w:rsidRPr="00BC743A">
        <w:t xml:space="preserve"> Dror</w:t>
      </w:r>
      <w:r>
        <w:t>,</w:t>
      </w:r>
      <w:r w:rsidRPr="00BC743A">
        <w:t xml:space="preserve"> I</w:t>
      </w:r>
      <w:r>
        <w:t xml:space="preserve">. </w:t>
      </w:r>
      <w:r w:rsidRPr="00BC743A">
        <w:t>E</w:t>
      </w:r>
      <w:r>
        <w:t>.</w:t>
      </w:r>
      <w:r w:rsidRPr="00BC743A">
        <w:t>, Jayes</w:t>
      </w:r>
      <w:r>
        <w:t>,</w:t>
      </w:r>
      <w:r w:rsidRPr="00BC743A">
        <w:t xml:space="preserve"> E</w:t>
      </w:r>
      <w:r>
        <w:t>.</w:t>
      </w:r>
      <w:r w:rsidRPr="00BC743A">
        <w:t xml:space="preserve">, </w:t>
      </w:r>
      <w:proofErr w:type="spellStart"/>
      <w:r w:rsidRPr="00BC743A">
        <w:t>Whordley</w:t>
      </w:r>
      <w:proofErr w:type="spellEnd"/>
      <w:r>
        <w:t>,</w:t>
      </w:r>
      <w:r w:rsidRPr="00BC743A">
        <w:t xml:space="preserve"> G</w:t>
      </w:r>
      <w:r>
        <w:t xml:space="preserve">. </w:t>
      </w:r>
      <w:r w:rsidRPr="00BC743A">
        <w:t>R</w:t>
      </w:r>
      <w:r>
        <w:t>.</w:t>
      </w:r>
      <w:r w:rsidRPr="00BC743A">
        <w:t>, Mason</w:t>
      </w:r>
      <w:r>
        <w:t>,</w:t>
      </w:r>
      <w:r w:rsidRPr="00BC743A">
        <w:t xml:space="preserve"> G</w:t>
      </w:r>
      <w:r>
        <w:t>. &amp;</w:t>
      </w:r>
      <w:r w:rsidRPr="00BC743A">
        <w:t xml:space="preserve"> Nightingale</w:t>
      </w:r>
      <w:r>
        <w:t>,</w:t>
      </w:r>
      <w:r w:rsidRPr="00BC743A">
        <w:t xml:space="preserve"> S.</w:t>
      </w:r>
      <w:r>
        <w:t xml:space="preserve"> (2026).</w:t>
      </w:r>
      <w:r w:rsidRPr="00BC743A">
        <w:t xml:space="preserve"> Examining human reliance on artificial intelligence in decision making. Sci Rep. 2026 Feb 5;16(1):5345. </w:t>
      </w:r>
      <w:proofErr w:type="spellStart"/>
      <w:r w:rsidRPr="00BC743A">
        <w:t>doi</w:t>
      </w:r>
      <w:proofErr w:type="spellEnd"/>
      <w:r w:rsidRPr="00BC743A">
        <w:t>: 10.1038/s41598-026-34983-y. PMID: 41639137; PMCID: PMC12881489.</w:t>
      </w:r>
    </w:p>
    <w:p w14:paraId="5D6BFFF2" w14:textId="77777777" w:rsidR="00463BB6" w:rsidRDefault="00463BB6" w:rsidP="006B18A0"/>
    <w:p w14:paraId="6BA835F5" w14:textId="77777777" w:rsidR="006B18A0" w:rsidRPr="006B18A0" w:rsidRDefault="006B18A0" w:rsidP="006B18A0"/>
    <w:sectPr w:rsidR="006B18A0" w:rsidRPr="006B18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A57"/>
    <w:rsid w:val="00385A57"/>
    <w:rsid w:val="00463BB6"/>
    <w:rsid w:val="004D7F5F"/>
    <w:rsid w:val="006B18A0"/>
    <w:rsid w:val="00AC763E"/>
    <w:rsid w:val="00AD73E7"/>
    <w:rsid w:val="00AF4B31"/>
    <w:rsid w:val="00BC743A"/>
    <w:rsid w:val="00C1251C"/>
    <w:rsid w:val="00F17DE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7962A"/>
  <w15:chartTrackingRefBased/>
  <w15:docId w15:val="{F6B1EE18-DBC6-4646-9A76-02445DF02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5A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5A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5A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5A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5A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5A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5A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5A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5A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5A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5A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5A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5A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5A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5A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5A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5A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5A57"/>
    <w:rPr>
      <w:rFonts w:eastAsiaTheme="majorEastAsia" w:cstheme="majorBidi"/>
      <w:color w:val="272727" w:themeColor="text1" w:themeTint="D8"/>
    </w:rPr>
  </w:style>
  <w:style w:type="paragraph" w:styleId="Title">
    <w:name w:val="Title"/>
    <w:basedOn w:val="Normal"/>
    <w:next w:val="Normal"/>
    <w:link w:val="TitleChar"/>
    <w:uiPriority w:val="10"/>
    <w:qFormat/>
    <w:rsid w:val="00385A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5A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5A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5A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5A57"/>
    <w:pPr>
      <w:spacing w:before="160"/>
      <w:jc w:val="center"/>
    </w:pPr>
    <w:rPr>
      <w:i/>
      <w:iCs/>
      <w:color w:val="404040" w:themeColor="text1" w:themeTint="BF"/>
    </w:rPr>
  </w:style>
  <w:style w:type="character" w:customStyle="1" w:styleId="QuoteChar">
    <w:name w:val="Quote Char"/>
    <w:basedOn w:val="DefaultParagraphFont"/>
    <w:link w:val="Quote"/>
    <w:uiPriority w:val="29"/>
    <w:rsid w:val="00385A57"/>
    <w:rPr>
      <w:i/>
      <w:iCs/>
      <w:color w:val="404040" w:themeColor="text1" w:themeTint="BF"/>
    </w:rPr>
  </w:style>
  <w:style w:type="paragraph" w:styleId="ListParagraph">
    <w:name w:val="List Paragraph"/>
    <w:basedOn w:val="Normal"/>
    <w:uiPriority w:val="34"/>
    <w:qFormat/>
    <w:rsid w:val="00385A57"/>
    <w:pPr>
      <w:ind w:left="720"/>
      <w:contextualSpacing/>
    </w:pPr>
  </w:style>
  <w:style w:type="character" w:styleId="IntenseEmphasis">
    <w:name w:val="Intense Emphasis"/>
    <w:basedOn w:val="DefaultParagraphFont"/>
    <w:uiPriority w:val="21"/>
    <w:qFormat/>
    <w:rsid w:val="00385A57"/>
    <w:rPr>
      <w:i/>
      <w:iCs/>
      <w:color w:val="0F4761" w:themeColor="accent1" w:themeShade="BF"/>
    </w:rPr>
  </w:style>
  <w:style w:type="paragraph" w:styleId="IntenseQuote">
    <w:name w:val="Intense Quote"/>
    <w:basedOn w:val="Normal"/>
    <w:next w:val="Normal"/>
    <w:link w:val="IntenseQuoteChar"/>
    <w:uiPriority w:val="30"/>
    <w:qFormat/>
    <w:rsid w:val="00385A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5A57"/>
    <w:rPr>
      <w:i/>
      <w:iCs/>
      <w:color w:val="0F4761" w:themeColor="accent1" w:themeShade="BF"/>
    </w:rPr>
  </w:style>
  <w:style w:type="character" w:styleId="IntenseReference">
    <w:name w:val="Intense Reference"/>
    <w:basedOn w:val="DefaultParagraphFont"/>
    <w:uiPriority w:val="32"/>
    <w:qFormat/>
    <w:rsid w:val="00385A57"/>
    <w:rPr>
      <w:b/>
      <w:bCs/>
      <w:smallCaps/>
      <w:color w:val="0F4761" w:themeColor="accent1" w:themeShade="BF"/>
      <w:spacing w:val="5"/>
    </w:rPr>
  </w:style>
  <w:style w:type="character" w:styleId="Hyperlink">
    <w:name w:val="Hyperlink"/>
    <w:basedOn w:val="DefaultParagraphFont"/>
    <w:uiPriority w:val="99"/>
    <w:unhideWhenUsed/>
    <w:rsid w:val="00385A57"/>
    <w:rPr>
      <w:color w:val="467886" w:themeColor="hyperlink"/>
      <w:u w:val="single"/>
    </w:rPr>
  </w:style>
  <w:style w:type="character" w:styleId="UnresolvedMention">
    <w:name w:val="Unresolved Mention"/>
    <w:basedOn w:val="DefaultParagraphFont"/>
    <w:uiPriority w:val="99"/>
    <w:semiHidden/>
    <w:unhideWhenUsed/>
    <w:rsid w:val="00385A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nbt.2024.12.003" TargetMode="External"/><Relationship Id="rId3" Type="http://schemas.openxmlformats.org/officeDocument/2006/relationships/webSettings" Target="webSettings.xml"/><Relationship Id="rId7" Type="http://schemas.openxmlformats.org/officeDocument/2006/relationships/hyperlink" Target="https://doi.org/10.1016/j.ymssp.2020.106908"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3390/su151813493" TargetMode="External"/><Relationship Id="rId11" Type="http://schemas.openxmlformats.org/officeDocument/2006/relationships/fontTable" Target="fontTable.xml"/><Relationship Id="rId5" Type="http://schemas.openxmlformats.org/officeDocument/2006/relationships/hyperlink" Target="https://doi.org/10.3390/sym17111838" TargetMode="External"/><Relationship Id="rId10" Type="http://schemas.openxmlformats.org/officeDocument/2006/relationships/hyperlink" Target="https://doi.org/10.1186/s40537-025-01241-3" TargetMode="External"/><Relationship Id="rId4" Type="http://schemas.openxmlformats.org/officeDocument/2006/relationships/hyperlink" Target="https://doi.org/10.3390/app122312392" TargetMode="External"/><Relationship Id="rId9" Type="http://schemas.openxmlformats.org/officeDocument/2006/relationships/hyperlink" Target="https://doi.org/10.1016/j.jiixd.2024.01.0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2</Pages>
  <Words>707</Words>
  <Characters>4032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Bokoro, Pitshou</dc:creator>
  <cp:keywords/>
  <dc:description/>
  <cp:lastModifiedBy>Bokoro, Pitshou</cp:lastModifiedBy>
  <cp:revision>1</cp:revision>
  <dcterms:created xsi:type="dcterms:W3CDTF">2026-04-18T17:30:00Z</dcterms:created>
  <dcterms:modified xsi:type="dcterms:W3CDTF">2026-04-18T18:31:00Z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0d31be4-bb77-46d3-b866-62153466896a_Enabled">
    <vt:lpwstr>true</vt:lpwstr>
  </property>
  <property fmtid="{D5CDD505-2E9C-101B-9397-08002B2CF9AE}" pid="3" name="MSIP_Label_b0d31be4-bb77-46d3-b866-62153466896a_SetDate">
    <vt:lpwstr>2026-04-18T18:30:59Z</vt:lpwstr>
  </property>
  <property fmtid="{D5CDD505-2E9C-101B-9397-08002B2CF9AE}" pid="4" name="MSIP_Label_b0d31be4-bb77-46d3-b866-62153466896a_Method">
    <vt:lpwstr>Standard</vt:lpwstr>
  </property>
  <property fmtid="{D5CDD505-2E9C-101B-9397-08002B2CF9AE}" pid="5" name="MSIP_Label_b0d31be4-bb77-46d3-b866-62153466896a_Name">
    <vt:lpwstr>Public</vt:lpwstr>
  </property>
  <property fmtid="{D5CDD505-2E9C-101B-9397-08002B2CF9AE}" pid="6" name="MSIP_Label_b0d31be4-bb77-46d3-b866-62153466896a_SiteId">
    <vt:lpwstr>fa785acd-36ef-41bc-8a94-89841327e045</vt:lpwstr>
  </property>
  <property fmtid="{D5CDD505-2E9C-101B-9397-08002B2CF9AE}" pid="7" name="MSIP_Label_b0d31be4-bb77-46d3-b866-62153466896a_ActionId">
    <vt:lpwstr>1b5a1993-7554-40f2-93fd-27fa2a0f032a</vt:lpwstr>
  </property>
  <property fmtid="{D5CDD505-2E9C-101B-9397-08002B2CF9AE}" pid="8" name="MSIP_Label_b0d31be4-bb77-46d3-b866-62153466896a_ContentBits">
    <vt:lpwstr>0</vt:lpwstr>
  </property>
  <property fmtid="{D5CDD505-2E9C-101B-9397-08002B2CF9AE}" pid="9" name="MSIP_Label_b0d31be4-bb77-46d3-b866-62153466896a_Tag">
    <vt:lpwstr>10, 3, 0, 1</vt:lpwstr>
  </property>
</Properties>
</file>