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0400" w14:textId="34774BA5" w:rsidR="008C3FF0" w:rsidRDefault="008C3FF0" w:rsidP="008C3FF0">
      <w:pPr>
        <w:ind w:left="1027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C3FF0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534712BA" w14:textId="77777777" w:rsidR="008C3FF0" w:rsidRPr="008C3FF0" w:rsidRDefault="008C3FF0" w:rsidP="008C3FF0">
      <w:pPr>
        <w:ind w:left="1027" w:hanging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569E6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8C3FF0">
        <w:rPr>
          <w:rFonts w:ascii="Times New Roman" w:hAnsi="Times New Roman" w:cs="Times New Roman"/>
          <w:sz w:val="24"/>
          <w:szCs w:val="24"/>
        </w:rPr>
        <w:t xml:space="preserve">   </w:t>
      </w:r>
      <w:r w:rsidRPr="008C3FF0">
        <w:rPr>
          <w:rFonts w:ascii="Times New Roman" w:hAnsi="Times New Roman" w:cs="Times New Roman"/>
          <w:b/>
          <w:bCs/>
          <w:sz w:val="24"/>
          <w:szCs w:val="24"/>
        </w:rPr>
        <w:t>Kaggle Dataset - Diamonds</w:t>
      </w:r>
      <w:r w:rsidRPr="008C3FF0">
        <w:rPr>
          <w:rFonts w:ascii="Times New Roman" w:hAnsi="Times New Roman" w:cs="Times New Roman"/>
          <w:sz w:val="24"/>
          <w:szCs w:val="24"/>
        </w:rPr>
        <w:br/>
        <w:t xml:space="preserve">Kaggle. (n.d.). </w:t>
      </w:r>
      <w:r w:rsidRPr="008C3FF0">
        <w:rPr>
          <w:rFonts w:ascii="Times New Roman" w:hAnsi="Times New Roman" w:cs="Times New Roman"/>
          <w:i/>
          <w:iCs/>
          <w:sz w:val="24"/>
          <w:szCs w:val="24"/>
        </w:rPr>
        <w:t>Diamonds Dataset</w:t>
      </w:r>
      <w:r w:rsidRPr="008C3FF0">
        <w:rPr>
          <w:rFonts w:ascii="Times New Roman" w:hAnsi="Times New Roman" w:cs="Times New Roman"/>
          <w:sz w:val="24"/>
          <w:szCs w:val="24"/>
        </w:rPr>
        <w:t>. Retrieved from: https://www.kaggle.com/datasets/shivam2503/diamonds</w:t>
      </w:r>
    </w:p>
    <w:p w14:paraId="3B3C6310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</w:rPr>
        <w:t xml:space="preserve">Géron, A. (2019). </w:t>
      </w:r>
      <w:r w:rsidRPr="008C3FF0">
        <w:rPr>
          <w:rFonts w:ascii="Times New Roman" w:hAnsi="Times New Roman" w:cs="Times New Roman"/>
          <w:i/>
          <w:iCs/>
          <w:sz w:val="24"/>
          <w:szCs w:val="24"/>
        </w:rPr>
        <w:t>Hands-On Machine Learning with Scikit-Learn, Keras, and TensorFlow</w:t>
      </w:r>
      <w:r w:rsidRPr="008C3FF0">
        <w:rPr>
          <w:rFonts w:ascii="Times New Roman" w:hAnsi="Times New Roman" w:cs="Times New Roman"/>
          <w:sz w:val="24"/>
          <w:szCs w:val="24"/>
        </w:rPr>
        <w:t xml:space="preserve"> (2nd ed.). O'Reilly Media.</w:t>
      </w:r>
      <w:r w:rsidRPr="008C3FF0">
        <w:rPr>
          <w:rFonts w:ascii="Times New Roman" w:hAnsi="Times New Roman" w:cs="Times New Roman"/>
          <w:sz w:val="24"/>
          <w:szCs w:val="24"/>
        </w:rPr>
        <w:br/>
        <w:t>– Useful for understanding regression techniques and model evaluation.</w:t>
      </w:r>
    </w:p>
    <w:p w14:paraId="16B133BB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</w:rPr>
        <w:t xml:space="preserve"> Pedregosa, F., Varoquaux, G., Gramfort, A., et al. (2011). </w:t>
      </w:r>
      <w:r w:rsidRPr="008C3FF0">
        <w:rPr>
          <w:rFonts w:ascii="Times New Roman" w:hAnsi="Times New Roman" w:cs="Times New Roman"/>
          <w:i/>
          <w:iCs/>
          <w:sz w:val="24"/>
          <w:szCs w:val="24"/>
        </w:rPr>
        <w:t>Scikit-learn: Machine Learning in Python</w:t>
      </w:r>
      <w:r w:rsidRPr="008C3FF0">
        <w:rPr>
          <w:rFonts w:ascii="Times New Roman" w:hAnsi="Times New Roman" w:cs="Times New Roman"/>
          <w:sz w:val="24"/>
          <w:szCs w:val="24"/>
        </w:rPr>
        <w:t>. Journal of Machine Learning Research, 12, 2825–2830.</w:t>
      </w:r>
      <w:r w:rsidRPr="008C3FF0">
        <w:rPr>
          <w:rFonts w:ascii="Times New Roman" w:hAnsi="Times New Roman" w:cs="Times New Roman"/>
          <w:sz w:val="24"/>
          <w:szCs w:val="24"/>
        </w:rPr>
        <w:br/>
        <w:t>– Library documentation and implementation reference.</w:t>
      </w:r>
    </w:p>
    <w:p w14:paraId="271A5B63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</w:rPr>
        <w:t xml:space="preserve">Raschka, S., &amp; Mirjalili, V. (2020). </w:t>
      </w:r>
      <w:r w:rsidRPr="008C3FF0">
        <w:rPr>
          <w:rFonts w:ascii="Times New Roman" w:hAnsi="Times New Roman" w:cs="Times New Roman"/>
          <w:i/>
          <w:iCs/>
          <w:sz w:val="24"/>
          <w:szCs w:val="24"/>
        </w:rPr>
        <w:t>Python Machine Learning</w:t>
      </w:r>
      <w:r w:rsidRPr="008C3FF0">
        <w:rPr>
          <w:rFonts w:ascii="Times New Roman" w:hAnsi="Times New Roman" w:cs="Times New Roman"/>
          <w:sz w:val="24"/>
          <w:szCs w:val="24"/>
        </w:rPr>
        <w:t xml:space="preserve"> (3rd ed.). Packt Publishing.</w:t>
      </w:r>
      <w:r w:rsidRPr="008C3FF0">
        <w:rPr>
          <w:rFonts w:ascii="Times New Roman" w:hAnsi="Times New Roman" w:cs="Times New Roman"/>
          <w:sz w:val="24"/>
          <w:szCs w:val="24"/>
        </w:rPr>
        <w:br/>
        <w:t>– Reference for data preprocessing, model selection, and regression models.</w:t>
      </w:r>
    </w:p>
    <w:p w14:paraId="39309F43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</w:rPr>
        <w:t>Flask Documentation – The Python Microframework</w:t>
      </w:r>
      <w:r w:rsidRPr="008C3FF0">
        <w:rPr>
          <w:rFonts w:ascii="Times New Roman" w:hAnsi="Times New Roman" w:cs="Times New Roman"/>
          <w:sz w:val="24"/>
          <w:szCs w:val="24"/>
        </w:rPr>
        <w:br/>
        <w:t>Flask. (n.d.). Retrieved from: https://flask.palletsprojects.com/</w:t>
      </w:r>
      <w:r w:rsidRPr="008C3FF0">
        <w:rPr>
          <w:rFonts w:ascii="Times New Roman" w:hAnsi="Times New Roman" w:cs="Times New Roman"/>
          <w:sz w:val="24"/>
          <w:szCs w:val="24"/>
        </w:rPr>
        <w:br/>
        <w:t>– Backend development framework used in the project.</w:t>
      </w:r>
    </w:p>
    <w:p w14:paraId="195A8CF5" w14:textId="77777777" w:rsidR="008C3FF0" w:rsidRPr="008C3FF0" w:rsidRDefault="008C3FF0" w:rsidP="008C3FF0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FF0">
        <w:rPr>
          <w:rFonts w:ascii="Times New Roman" w:hAnsi="Times New Roman" w:cs="Times New Roman"/>
          <w:sz w:val="24"/>
          <w:szCs w:val="24"/>
        </w:rPr>
        <w:t xml:space="preserve">W3Schools. (n.d.). </w:t>
      </w:r>
      <w:r w:rsidRPr="008C3FF0">
        <w:rPr>
          <w:rFonts w:ascii="Times New Roman" w:hAnsi="Times New Roman" w:cs="Times New Roman"/>
          <w:i/>
          <w:iCs/>
          <w:sz w:val="24"/>
          <w:szCs w:val="24"/>
        </w:rPr>
        <w:t>HTML, CSS, and JavaScript Tutorials</w:t>
      </w:r>
      <w:r w:rsidRPr="008C3FF0">
        <w:rPr>
          <w:rFonts w:ascii="Times New Roman" w:hAnsi="Times New Roman" w:cs="Times New Roman"/>
          <w:sz w:val="24"/>
          <w:szCs w:val="24"/>
        </w:rPr>
        <w:t xml:space="preserve">. Retrieved from: </w:t>
      </w:r>
      <w:hyperlink r:id="rId5" w:tgtFrame="_new" w:history="1">
        <w:r w:rsidRPr="008C3FF0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  <w:r w:rsidRPr="008C3FF0">
        <w:rPr>
          <w:rFonts w:ascii="Times New Roman" w:hAnsi="Times New Roman" w:cs="Times New Roman"/>
          <w:sz w:val="24"/>
          <w:szCs w:val="24"/>
        </w:rPr>
        <w:br/>
        <w:t>– Used for designing and developing the frontend interface.</w:t>
      </w:r>
    </w:p>
    <w:p w14:paraId="41DE4EA6" w14:textId="77777777" w:rsidR="008C3FF0" w:rsidRPr="008C3FF0" w:rsidRDefault="008C3FF0" w:rsidP="008C3FF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917E6" w14:textId="77777777" w:rsidR="00741772" w:rsidRPr="008C3FF0" w:rsidRDefault="00741772">
      <w:pPr>
        <w:rPr>
          <w:rFonts w:ascii="Times New Roman" w:hAnsi="Times New Roman" w:cs="Times New Roman"/>
          <w:sz w:val="24"/>
          <w:szCs w:val="24"/>
        </w:rPr>
      </w:pPr>
    </w:p>
    <w:sectPr w:rsidR="00741772" w:rsidRPr="008C3FF0" w:rsidSect="008C3FF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05BFA"/>
    <w:multiLevelType w:val="multilevel"/>
    <w:tmpl w:val="8E3CFC3A"/>
    <w:lvl w:ilvl="0">
      <w:start w:val="1"/>
      <w:numFmt w:val="decimal"/>
      <w:lvlText w:val="%1."/>
      <w:lvlJc w:val="left"/>
      <w:pPr>
        <w:ind w:left="564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5" w:hanging="4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098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17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254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332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10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88" w:hanging="360"/>
      </w:pPr>
      <w:rPr>
        <w:lang w:val="en-US" w:eastAsia="en-US" w:bidi="ar-SA"/>
      </w:rPr>
    </w:lvl>
  </w:abstractNum>
  <w:num w:numId="1" w16cid:durableId="17688167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F0"/>
    <w:rsid w:val="002777E9"/>
    <w:rsid w:val="006F2CD5"/>
    <w:rsid w:val="00720D6C"/>
    <w:rsid w:val="00741772"/>
    <w:rsid w:val="008C3FF0"/>
    <w:rsid w:val="00B9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DDA5"/>
  <w15:chartTrackingRefBased/>
  <w15:docId w15:val="{82B9FB24-1B58-4A66-B5BC-2DC20D20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2</cp:revision>
  <dcterms:created xsi:type="dcterms:W3CDTF">2025-05-01T15:04:00Z</dcterms:created>
  <dcterms:modified xsi:type="dcterms:W3CDTF">2025-05-01T15:08:00Z</dcterms:modified>
</cp:coreProperties>
</file>