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drawing>
          <wp:inline>
            <wp:extent cx="2194560" cy="5772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577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0A7B7B"/>
          <w:sz w:val="40"/>
        </w:rPr>
        <w:t>Security Review — Request for Proposal</w:t>
      </w:r>
    </w:p>
    <w:bookmarkStart w:id="19" w:name="X0db7e41af383d3be7c57810c4c8f9d716c7b75f"/>
    <w:p>
      <w:pPr>
        <w:pStyle w:val="BlockText"/>
      </w:pPr>
      <w:r>
        <w:t xml:space="preserve">Send this to 2–3 vendors for comparable quotes. Fill the</w:t>
      </w:r>
      <w:r>
        <w:t xml:space="preserve"> </w:t>
      </w:r>
      <w:r>
        <w:rPr>
          <w:b/>
          <w:bCs/>
        </w:rPr>
        <w:t xml:space="preserve">[bracketed]</w:t>
      </w:r>
      <w:r>
        <w:t xml:space="preserve"> </w:t>
      </w:r>
      <w:r>
        <w:t xml:space="preserve">fields; keep</w:t>
      </w:r>
      <w:r>
        <w:t xml:space="preserve"> </w:t>
      </w:r>
      <w:r>
        <w:t xml:space="preserve">credentials and exact URLs out of this document — share those privately after NDA.</w:t>
      </w:r>
    </w:p>
    <w:bookmarkStart w:id="9" w:name="about-the-engagement"/>
    <w:p>
      <w:pPr>
        <w:pStyle w:val="Heading2"/>
      </w:pPr>
      <w:r>
        <w:rPr>
          <w:rFonts w:ascii="Calibri" w:hAnsi="Calibri"/>
          <w:color w:val="0A7B7B"/>
        </w:rPr>
        <w:t xml:space="preserve">1. About the engagement</w:t>
      </w:r>
    </w:p>
    <w:p>
      <w:pPr>
        <w:pStyle w:val="FirstParagraph"/>
      </w:pPr>
      <w:r>
        <w:rPr>
          <w:b/>
          <w:bCs/>
        </w:rPr>
        <w:t xml:space="preserve">[Company]</w:t>
      </w:r>
      <w:r>
        <w:t xml:space="preserve"> </w:t>
      </w:r>
      <w:r>
        <w:t xml:space="preserve">operates</w:t>
      </w:r>
      <w:r>
        <w:t xml:space="preserve"> </w:t>
      </w:r>
      <w:r>
        <w:rPr>
          <w:b/>
          <w:bCs/>
        </w:rPr>
        <w:t xml:space="preserve">MobiCova Health</w:t>
      </w:r>
      <w:r>
        <w:t xml:space="preserve">, a B2B digital-health platform (Nigeria/Africa).</w:t>
      </w:r>
      <w:r>
        <w:t xml:space="preserve"> </w:t>
      </w:r>
      <w:r>
        <w:t xml:space="preserve">Partner organisations (insurers, employers, telcos, clinics, pharmacies) enrol members who</w:t>
      </w:r>
      <w:r>
        <w:t xml:space="preserve"> </w:t>
      </w:r>
      <w:r>
        <w:t xml:space="preserve">access telemedicine, an AI health assistant and health-linked insurance via web,</w:t>
      </w:r>
      <w:r>
        <w:t xml:space="preserve"> </w:t>
      </w:r>
      <w:r>
        <w:rPr>
          <w:b/>
          <w:bCs/>
        </w:rPr>
        <w:t xml:space="preserve">WhatsApp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USSD</w:t>
      </w:r>
      <w:r>
        <w:t xml:space="preserve">. The platform handles</w:t>
      </w:r>
      <w:r>
        <w:t xml:space="preserve"> </w:t>
      </w:r>
      <w:r>
        <w:rPr>
          <w:b/>
          <w:bCs/>
        </w:rPr>
        <w:t xml:space="preserve">personal health information and payment flows</w:t>
      </w:r>
      <w:r>
        <w:t xml:space="preserve">, so we</w:t>
      </w:r>
      <w:r>
        <w:t xml:space="preserve"> </w:t>
      </w:r>
      <w:r>
        <w:t xml:space="preserve">are commissioning an independent</w:t>
      </w:r>
      <w:r>
        <w:t xml:space="preserve"> </w:t>
      </w:r>
      <w:r>
        <w:rPr>
          <w:b/>
          <w:bCs/>
        </w:rPr>
        <w:t xml:space="preserve">penetration test + cloud configuration review</w:t>
      </w:r>
      <w:r>
        <w:t xml:space="preserve"> </w:t>
      </w:r>
      <w:r>
        <w:t xml:space="preserve">ahead of</w:t>
      </w:r>
      <w:r>
        <w:t xml:space="preserve"> </w:t>
      </w:r>
      <w:r>
        <w:t xml:space="preserve">production launch.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Stack:</w:t>
      </w:r>
      <w:r>
        <w:t xml:space="preserve"> </w:t>
      </w:r>
      <w:r>
        <w:t xml:space="preserve">React (Vite) SPA · Node/Express (TypeScript) REST API · PostgreSQL (Supabase) ·</w:t>
      </w:r>
      <w:r>
        <w:t xml:space="preserve"> </w:t>
      </w:r>
      <w:r>
        <w:t xml:space="preserve">hosted on Render, fronted by Cloudflare (WAF/CDN).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Architecture note:</w:t>
      </w:r>
      <w:r>
        <w:t xml:space="preserve"> </w:t>
      </w:r>
      <w:r>
        <w:t xml:space="preserve">multi-tenant — every organisation’s data is isolated by</w:t>
      </w:r>
      <w:r>
        <w:t xml:space="preserve"> </w:t>
      </w:r>
      <w:r>
        <w:rPr>
          <w:rStyle w:val="VerbatimChar"/>
        </w:rPr>
        <w:t xml:space="preserve">org_id</w:t>
      </w:r>
      <w:r>
        <w:t xml:space="preserve">.</w:t>
      </w:r>
      <w:r>
        <w:t xml:space="preserve"> </w:t>
      </w:r>
      <w:r>
        <w:t xml:space="preserve">There are</w:t>
      </w:r>
      <w:r>
        <w:t xml:space="preserve"> </w:t>
      </w:r>
      <w:r>
        <w:rPr>
          <w:b/>
          <w:bCs/>
        </w:rPr>
        <w:t xml:space="preserve">three authentication domains</w:t>
      </w:r>
      <w:r>
        <w:t xml:space="preserve">: staff/partner admin, member (OTP), and provider</w:t>
      </w:r>
      <w:r>
        <w:t xml:space="preserve"> </w:t>
      </w:r>
      <w:r>
        <w:t xml:space="preserve">(clinician/pharmacist).</w:t>
      </w:r>
    </w:p>
    <w:bookmarkEnd w:id="9"/>
    <w:bookmarkStart w:id="10" w:name="objectives"/>
    <w:p>
      <w:pPr>
        <w:pStyle w:val="Heading2"/>
      </w:pPr>
      <w:r>
        <w:rPr>
          <w:rFonts w:ascii="Calibri" w:hAnsi="Calibri"/>
          <w:color w:val="0A7B7B"/>
        </w:rPr>
        <w:t xml:space="preserve">2. Objectives</w:t>
      </w:r>
    </w:p>
    <w:p>
      <w:pPr>
        <w:pStyle w:val="Compact"/>
        <w:numPr>
          <w:ilvl w:val="0"/>
          <w:numId w:val="1002"/>
        </w:numPr>
      </w:pPr>
      <w:r>
        <w:t xml:space="preserve">Identify exploitable vulnerabilities in the web app and API before go-live.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Verify tenant isolation</w:t>
      </w:r>
      <w:r>
        <w:t xml:space="preserve"> </w:t>
      </w:r>
      <w:r>
        <w:t xml:space="preserve">— confirm one organisation cannot read or affect another’s data.</w:t>
      </w:r>
    </w:p>
    <w:p>
      <w:pPr>
        <w:pStyle w:val="Compact"/>
        <w:numPr>
          <w:ilvl w:val="0"/>
          <w:numId w:val="1002"/>
        </w:numPr>
      </w:pPr>
      <w:r>
        <w:t xml:space="preserve">Validate authentication/authorisation across all three login domains.</w:t>
      </w:r>
    </w:p>
    <w:p>
      <w:pPr>
        <w:pStyle w:val="Compact"/>
        <w:numPr>
          <w:ilvl w:val="0"/>
          <w:numId w:val="1002"/>
        </w:numPr>
      </w:pPr>
      <w:r>
        <w:t xml:space="preserve">Surface cloud/config misconfigurations (Render, Supabase, Cloudflare).</w:t>
      </w:r>
    </w:p>
    <w:p>
      <w:pPr>
        <w:pStyle w:val="Compact"/>
        <w:numPr>
          <w:ilvl w:val="0"/>
          <w:numId w:val="1002"/>
        </w:numPr>
      </w:pPr>
      <w:r>
        <w:t xml:space="preserve">Provide prioritised, actionable remediation we can fix and have</w:t>
      </w:r>
      <w:r>
        <w:t xml:space="preserve"> </w:t>
      </w:r>
      <w:r>
        <w:rPr>
          <w:b/>
          <w:bCs/>
        </w:rPr>
        <w:t xml:space="preserve">retested</w:t>
      </w:r>
      <w:r>
        <w:t xml:space="preserve">.</w:t>
      </w:r>
    </w:p>
    <w:bookmarkEnd w:id="10"/>
    <w:bookmarkStart w:id="11" w:name="in-scope"/>
    <w:p>
      <w:pPr>
        <w:pStyle w:val="Heading2"/>
      </w:pPr>
      <w:r>
        <w:rPr>
          <w:rFonts w:ascii="Calibri" w:hAnsi="Calibri"/>
          <w:color w:val="0A7B7B"/>
        </w:rPr>
        <w:t xml:space="preserve">3. In scope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Web application</w:t>
      </w:r>
      <w:r>
        <w:t xml:space="preserve"> </w:t>
      </w:r>
      <w:r>
        <w:t xml:space="preserve">(admin console, member portal, provider portal) —</w:t>
      </w:r>
      <w:r>
        <w:t xml:space="preserve"> </w:t>
      </w:r>
      <w:r>
        <w:rPr>
          <w:rStyle w:val="VerbatimChar"/>
        </w:rPr>
        <w:t xml:space="preserve">[staging URL]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REST API</w:t>
      </w:r>
      <w:r>
        <w:t xml:space="preserve"> </w:t>
      </w:r>
      <w:r>
        <w:t xml:space="preserve">(incl. the public API with API keys + webhooks) —</w:t>
      </w:r>
      <w:r>
        <w:t xml:space="preserve"> </w:t>
      </w:r>
      <w:r>
        <w:rPr>
          <w:rStyle w:val="VerbatimChar"/>
        </w:rPr>
        <w:t xml:space="preserve">[api staging URL]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Authentication &amp; session handling</w:t>
      </w:r>
      <w:r>
        <w:t xml:space="preserve"> </w:t>
      </w:r>
      <w:r>
        <w:t xml:space="preserve">across staff / member-OTP / provider domains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Multi-tenant authorisation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org_id</w:t>
      </w:r>
      <w:r>
        <w:t xml:space="preserve"> </w:t>
      </w:r>
      <w:r>
        <w:t xml:space="preserve">isolation, role-based access, the supply-org</w:t>
      </w:r>
      <w:r>
        <w:t xml:space="preserve"> </w:t>
      </w:r>
      <w:r>
        <w:t xml:space="preserve">“privacy slice”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Sensitive flows</w:t>
      </w:r>
      <w:r>
        <w:t xml:space="preserve"> </w:t>
      </w:r>
      <w:r>
        <w:t xml:space="preserve">— member enrolment + membership IDs, OTP delivery/verification,</w:t>
      </w:r>
      <w:r>
        <w:t xml:space="preserve"> </w:t>
      </w:r>
      <w:r>
        <w:t xml:space="preserve">payment initiation (Stripe/Paystack), claims, file upload/storage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Channel intake</w:t>
      </w:r>
      <w:r>
        <w:t xml:space="preserve"> </w:t>
      </w:r>
      <w:r>
        <w:t xml:space="preserve">— WhatsApp &amp; USSD webhook endpoints (input handling, auth of inbound)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Cloud configuration review</w:t>
      </w:r>
      <w:r>
        <w:t xml:space="preserve"> </w:t>
      </w:r>
      <w:r>
        <w:t xml:space="preserve">— Render services/secrets, Supabase (RLS/keys/exposure),</w:t>
      </w:r>
      <w:r>
        <w:t xml:space="preserve"> </w:t>
      </w:r>
      <w:r>
        <w:t xml:space="preserve">Cloudflare (WAF, TLS, headers, rate limiting)</w:t>
      </w:r>
    </w:p>
    <w:bookmarkEnd w:id="11"/>
    <w:bookmarkStart w:id="12" w:name="out-of-scope-unless-quoted-separately"/>
    <w:p>
      <w:pPr>
        <w:pStyle w:val="Heading2"/>
      </w:pPr>
      <w:r>
        <w:rPr>
          <w:rFonts w:ascii="Calibri" w:hAnsi="Calibri"/>
          <w:color w:val="0A7B7B"/>
        </w:rPr>
        <w:t xml:space="preserve">4. Out of scope (unless quoted separately)</w:t>
      </w:r>
    </w:p>
    <w:p>
      <w:pPr>
        <w:pStyle w:val="Compact"/>
        <w:numPr>
          <w:ilvl w:val="0"/>
          <w:numId w:val="1004"/>
        </w:numPr>
      </w:pPr>
      <w:r>
        <w:t xml:space="preserve">Denial-of-service / volumetric load testing</w:t>
      </w:r>
    </w:p>
    <w:p>
      <w:pPr>
        <w:pStyle w:val="Compact"/>
        <w:numPr>
          <w:ilvl w:val="0"/>
          <w:numId w:val="1004"/>
        </w:numPr>
      </w:pPr>
      <w:r>
        <w:t xml:space="preserve">Physical, social-engineering or phishing campaigns</w:t>
      </w:r>
    </w:p>
    <w:p>
      <w:pPr>
        <w:pStyle w:val="Compact"/>
        <w:numPr>
          <w:ilvl w:val="0"/>
          <w:numId w:val="1004"/>
        </w:numPr>
      </w:pPr>
      <w:r>
        <w:t xml:space="preserve">Third-party providers themselves (Meta/WhatsApp, Paystack/Stripe, Anthropic, Resend)</w:t>
      </w:r>
    </w:p>
    <w:p>
      <w:pPr>
        <w:pStyle w:val="Compact"/>
        <w:numPr>
          <w:ilvl w:val="0"/>
          <w:numId w:val="1004"/>
        </w:numPr>
      </w:pPr>
      <w:r>
        <w:t xml:space="preserve">Source-code audit</w:t>
      </w:r>
      <w:r>
        <w:t xml:space="preserve"> </w:t>
      </w:r>
      <w:r>
        <w:rPr>
          <w:i/>
          <w:iCs/>
        </w:rPr>
        <w:t xml:space="preserve">(optional add-on — please price separately if offered)</w:t>
      </w:r>
    </w:p>
    <w:bookmarkEnd w:id="12"/>
    <w:bookmarkStart w:id="13" w:name="approach-environment"/>
    <w:p>
      <w:pPr>
        <w:pStyle w:val="Heading2"/>
      </w:pPr>
      <w:r>
        <w:rPr>
          <w:rFonts w:ascii="Calibri" w:hAnsi="Calibri"/>
          <w:color w:val="0A7B7B"/>
        </w:rPr>
        <w:t xml:space="preserve">5. Approach &amp; environment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Grey-box</w:t>
      </w:r>
      <w:r>
        <w:t xml:space="preserve"> </w:t>
      </w:r>
      <w:r>
        <w:t xml:space="preserve">preferred: we provide</w:t>
      </w:r>
      <w:r>
        <w:t xml:space="preserve"> </w:t>
      </w:r>
      <w:r>
        <w:rPr>
          <w:b/>
          <w:bCs/>
        </w:rPr>
        <w:t xml:space="preserve">test accounts</w:t>
      </w:r>
      <w:r>
        <w:t xml:space="preserve"> </w:t>
      </w:r>
      <w:r>
        <w:t xml:space="preserve">for each role/domain and brief</w:t>
      </w:r>
      <w:r>
        <w:t xml:space="preserve"> </w:t>
      </w:r>
      <w:r>
        <w:t xml:space="preserve">architecture notes, so testers spend time on logic flaws rather than recon.</w:t>
      </w:r>
    </w:p>
    <w:p>
      <w:pPr>
        <w:pStyle w:val="Compact"/>
        <w:numPr>
          <w:ilvl w:val="0"/>
          <w:numId w:val="1005"/>
        </w:numPr>
      </w:pPr>
      <w:r>
        <w:t xml:space="preserve">Test against a</w:t>
      </w:r>
      <w:r>
        <w:t xml:space="preserve"> </w:t>
      </w:r>
      <w:r>
        <w:rPr>
          <w:b/>
          <w:bCs/>
        </w:rPr>
        <w:t xml:space="preserve">production-like staging environment</w:t>
      </w:r>
      <w:r>
        <w:t xml:space="preserve"> </w:t>
      </w:r>
      <w:r>
        <w:t xml:space="preserve">(not live member data). Specify any</w:t>
      </w:r>
      <w:r>
        <w:t xml:space="preserve"> </w:t>
      </w:r>
      <w:r>
        <w:t xml:space="preserve">checks you would additionally want against production (read-only) and how you’d de-risk them.</w:t>
      </w:r>
    </w:p>
    <w:p>
      <w:pPr>
        <w:pStyle w:val="Compact"/>
        <w:numPr>
          <w:ilvl w:val="0"/>
          <w:numId w:val="1005"/>
        </w:numPr>
      </w:pPr>
      <w:r>
        <w:t xml:space="preserve">Methodology aligned to</w:t>
      </w:r>
      <w:r>
        <w:t xml:space="preserve"> </w:t>
      </w:r>
      <w:r>
        <w:rPr>
          <w:b/>
          <w:bCs/>
        </w:rPr>
        <w:t xml:space="preserve">OWASP ASVS / Top 10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API Security Top 10</w:t>
      </w:r>
      <w:r>
        <w:t xml:space="preserve">.</w:t>
      </w:r>
    </w:p>
    <w:bookmarkEnd w:id="13"/>
    <w:bookmarkStart w:id="14" w:name="deliverables"/>
    <w:p>
      <w:pPr>
        <w:pStyle w:val="Heading2"/>
      </w:pPr>
      <w:r>
        <w:rPr>
          <w:rFonts w:ascii="Calibri" w:hAnsi="Calibri"/>
          <w:color w:val="0A7B7B"/>
        </w:rPr>
        <w:t xml:space="preserve">6. Deliverables</w:t>
      </w:r>
    </w:p>
    <w:p>
      <w:pPr>
        <w:pStyle w:val="Compact"/>
        <w:numPr>
          <w:ilvl w:val="0"/>
          <w:numId w:val="1006"/>
        </w:numPr>
      </w:pPr>
      <w:r>
        <w:t xml:space="preserve">Executive summary (business-readable) + technical findings.</w:t>
      </w:r>
    </w:p>
    <w:p>
      <w:pPr>
        <w:pStyle w:val="Compact"/>
        <w:numPr>
          <w:ilvl w:val="0"/>
          <w:numId w:val="1006"/>
        </w:numPr>
      </w:pPr>
      <w:r>
        <w:t xml:space="preserve">Each finding: severity (CVSS), evidence/repro steps, business impact, remediation.</w:t>
      </w:r>
    </w:p>
    <w:p>
      <w:pPr>
        <w:pStyle w:val="Compact"/>
        <w:numPr>
          <w:ilvl w:val="0"/>
          <w:numId w:val="1006"/>
        </w:numPr>
      </w:pPr>
      <w:r>
        <w:t xml:space="preserve">A prioritised remediation list.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One free retest</w:t>
      </w:r>
      <w:r>
        <w:t xml:space="preserve"> </w:t>
      </w:r>
      <w:r>
        <w:t xml:space="preserve">after we fix, with an updated/clearance report.</w:t>
      </w:r>
    </w:p>
    <w:p>
      <w:pPr>
        <w:pStyle w:val="Compact"/>
        <w:numPr>
          <w:ilvl w:val="0"/>
          <w:numId w:val="1006"/>
        </w:numPr>
      </w:pPr>
      <w:r>
        <w:t xml:space="preserve">A report format suitable to share with partners and to support a future</w:t>
      </w:r>
      <w:r>
        <w:t xml:space="preserve"> </w:t>
      </w:r>
      <w:r>
        <w:rPr>
          <w:b/>
          <w:bCs/>
        </w:rPr>
        <w:t xml:space="preserve">SOC 2 / ISO 27001</w:t>
      </w:r>
      <w:r>
        <w:t xml:space="preserve"> </w:t>
      </w:r>
      <w:r>
        <w:t xml:space="preserve">audit.</w:t>
      </w:r>
      <w:r>
        <w:t xml:space="preserve"> </w:t>
      </w:r>
      <w:r>
        <w:rPr>
          <w:i/>
          <w:iCs/>
        </w:rPr>
        <w:t xml:space="preserve">(We intend to pursue SOC 2 — note if you also provide that.)</w:t>
      </w:r>
    </w:p>
    <w:bookmarkEnd w:id="14"/>
    <w:bookmarkStart w:id="15" w:name="compliance-context"/>
    <w:p>
      <w:pPr>
        <w:pStyle w:val="Heading2"/>
      </w:pPr>
      <w:r>
        <w:rPr>
          <w:rFonts w:ascii="Calibri" w:hAnsi="Calibri"/>
          <w:color w:val="0A7B7B"/>
        </w:rPr>
        <w:t xml:space="preserve">7. Compliance context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NDPR</w:t>
      </w:r>
      <w:r>
        <w:t xml:space="preserve"> </w:t>
      </w:r>
      <w:r>
        <w:t xml:space="preserve">(Nigeria Data Protection) applies; data is health-related PII.</w:t>
      </w:r>
    </w:p>
    <w:p>
      <w:pPr>
        <w:pStyle w:val="Compact"/>
        <w:numPr>
          <w:ilvl w:val="0"/>
          <w:numId w:val="1007"/>
        </w:numPr>
      </w:pPr>
      <w:r>
        <w:t xml:space="preserve">Currently EU-hosted (managed), migrating to AWS af-south-1 later. Flag any residency concerns.</w:t>
      </w:r>
    </w:p>
    <w:bookmarkEnd w:id="15"/>
    <w:bookmarkStart w:id="16" w:name="tester-requirements"/>
    <w:p>
      <w:pPr>
        <w:pStyle w:val="Heading2"/>
      </w:pPr>
      <w:r>
        <w:rPr>
          <w:rFonts w:ascii="Calibri" w:hAnsi="Calibri"/>
          <w:color w:val="0A7B7B"/>
        </w:rPr>
        <w:t xml:space="preserve">8. Tester requirements</w:t>
      </w:r>
    </w:p>
    <w:p>
      <w:pPr>
        <w:pStyle w:val="Compact"/>
        <w:numPr>
          <w:ilvl w:val="0"/>
          <w:numId w:val="1008"/>
        </w:numPr>
      </w:pPr>
      <w:r>
        <w:t xml:space="preserve">Firm/testers with recognised accreditation —</w:t>
      </w:r>
      <w:r>
        <w:t xml:space="preserve"> </w:t>
      </w:r>
      <w:r>
        <w:rPr>
          <w:b/>
          <w:bCs/>
        </w:rPr>
        <w:t xml:space="preserve">CREST</w:t>
      </w:r>
      <w:r>
        <w:t xml:space="preserve">, and/or testers holding</w:t>
      </w:r>
      <w:r>
        <w:t xml:space="preserve"> </w:t>
      </w:r>
      <w:r>
        <w:rPr>
          <w:b/>
          <w:bCs/>
        </w:rPr>
        <w:t xml:space="preserve">OSCP/OSWE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Demonstrable experience testing</w:t>
      </w:r>
      <w:r>
        <w:t xml:space="preserve"> </w:t>
      </w:r>
      <w:r>
        <w:rPr>
          <w:b/>
          <w:bCs/>
        </w:rPr>
        <w:t xml:space="preserve">health-tech or fintech</w:t>
      </w:r>
      <w:r>
        <w:t xml:space="preserve"> </w:t>
      </w:r>
      <w:r>
        <w:t xml:space="preserve">applications.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Two references</w:t>
      </w:r>
      <w:r>
        <w:t xml:space="preserve"> </w:t>
      </w:r>
      <w:r>
        <w:t xml:space="preserve">from comparable engagements.</w:t>
      </w:r>
    </w:p>
    <w:p>
      <w:pPr>
        <w:pStyle w:val="Compact"/>
        <w:numPr>
          <w:ilvl w:val="0"/>
          <w:numId w:val="1008"/>
        </w:numPr>
      </w:pPr>
      <w:r>
        <w:t xml:space="preserve">NDA and a clear</w:t>
      </w:r>
      <w:r>
        <w:t xml:space="preserve"> </w:t>
      </w:r>
      <w:r>
        <w:rPr>
          <w:b/>
          <w:bCs/>
        </w:rPr>
        <w:t xml:space="preserve">data-handling policy</w:t>
      </w:r>
      <w:r>
        <w:t xml:space="preserve"> </w:t>
      </w:r>
      <w:r>
        <w:t xml:space="preserve">for any data accessed during testing.</w:t>
      </w:r>
    </w:p>
    <w:bookmarkEnd w:id="16"/>
    <w:bookmarkStart w:id="17" w:name="commercials-response"/>
    <w:p>
      <w:pPr>
        <w:pStyle w:val="Heading2"/>
      </w:pPr>
      <w:r>
        <w:rPr>
          <w:rFonts w:ascii="Calibri" w:hAnsi="Calibri"/>
          <w:color w:val="0A7B7B"/>
        </w:rPr>
        <w:t xml:space="preserve">9. Commercials &amp; response</w:t>
      </w:r>
    </w:p>
    <w:p>
      <w:pPr>
        <w:pStyle w:val="FirstParagraph"/>
      </w:pPr>
      <w:r>
        <w:t xml:space="preserve">Please provide: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Fixed price</w:t>
      </w:r>
      <w:r>
        <w:t xml:space="preserve"> </w:t>
      </w:r>
      <w:r>
        <w:t xml:space="preserve">for sections 3 (test + cloud review) and 6 (incl. the retest); add-ons priced separately.</w:t>
      </w:r>
      <w:r>
        <w:t xml:space="preserve"> </w:t>
      </w:r>
      <w:r>
        <w:t xml:space="preserve">- Estimated</w:t>
      </w:r>
      <w:r>
        <w:t xml:space="preserve"> </w:t>
      </w:r>
      <w:r>
        <w:rPr>
          <w:b/>
          <w:bCs/>
        </w:rPr>
        <w:t xml:space="preserve">effort (person-days)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calendar timeline</w:t>
      </w:r>
      <w:r>
        <w:t xml:space="preserve"> </w:t>
      </w:r>
      <w:r>
        <w:t xml:space="preserve">(we are targeting</w:t>
      </w:r>
      <w:r>
        <w:t xml:space="preserve"> </w:t>
      </w:r>
      <w:r>
        <w:rPr>
          <w:rStyle w:val="VerbatimChar"/>
        </w:rPr>
        <w:t xml:space="preserve">[window]</w:t>
      </w:r>
      <w:r>
        <w:t xml:space="preserve">).</w:t>
      </w:r>
      <w:r>
        <w:t xml:space="preserve"> </w:t>
      </w:r>
      <w:r>
        <w:t xml:space="preserve">- Proposed</w:t>
      </w:r>
      <w:r>
        <w:t xml:space="preserve"> </w:t>
      </w:r>
      <w:r>
        <w:rPr>
          <w:b/>
          <w:bCs/>
        </w:rPr>
        <w:t xml:space="preserve">testing window</w:t>
      </w:r>
      <w:r>
        <w:t xml:space="preserve"> </w:t>
      </w:r>
      <w:r>
        <w:t xml:space="preserve">and rules of engagement.</w:t>
      </w:r>
      <w:r>
        <w:t xml:space="preserve"> </w:t>
      </w:r>
      <w:r>
        <w:t xml:space="preserve">- Team bios + accreditations + the two references.</w:t>
      </w:r>
    </w:p>
    <w:p>
      <w:pPr>
        <w:pStyle w:val="BodyText"/>
      </w:pPr>
      <w:r>
        <w:rPr>
          <w:b/>
          <w:bCs/>
        </w:rPr>
        <w:t xml:space="preserve">Respond by [date]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[name, email]</w:t>
      </w:r>
      <w:r>
        <w:t xml:space="preserve">. We expect to award within</w:t>
      </w:r>
      <w:r>
        <w:t xml:space="preserve"> </w:t>
      </w:r>
      <w:r>
        <w:rPr>
          <w:b/>
          <w:bCs/>
        </w:rPr>
        <w:t xml:space="preserve">[X]</w:t>
      </w:r>
      <w:r>
        <w:t xml:space="preserve"> </w:t>
      </w:r>
      <w:r>
        <w:t xml:space="preserve">business days.</w:t>
      </w:r>
    </w:p>
    <w:bookmarkEnd w:id="17"/>
    <w:bookmarkStart w:id="18" w:name="what-we-will-provide-on-award"/>
    <w:p>
      <w:pPr>
        <w:pStyle w:val="Heading2"/>
      </w:pPr>
      <w:r>
        <w:rPr>
          <w:rFonts w:ascii="Calibri" w:hAnsi="Calibri"/>
          <w:color w:val="0A7B7B"/>
        </w:rPr>
        <w:t xml:space="preserve">10. What we will provide on award</w:t>
      </w:r>
    </w:p>
    <w:p>
      <w:pPr>
        <w:pStyle w:val="Compact"/>
        <w:numPr>
          <w:ilvl w:val="0"/>
          <w:numId w:val="1009"/>
        </w:numPr>
      </w:pPr>
      <w:r>
        <w:t xml:space="preserve">Test accounts for each role/domain · staging URLs · brief architecture/data-flow notes ·</w:t>
      </w:r>
      <w:r>
        <w:t xml:space="preserve"> </w:t>
      </w:r>
      <w:r>
        <w:t xml:space="preserve">a named technical contact · an agreed comms channel for live findings (e.g. critical issues</w:t>
      </w:r>
      <w:r>
        <w:t xml:space="preserve"> </w:t>
      </w:r>
      <w:r>
        <w:t xml:space="preserve">reported immediately, not held for the report).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2026-06-17T10:31:28Z</dcterms:created>
  <dcterms:modified xsi:type="dcterms:W3CDTF">2026-06-17T10:31:28Z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