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Nigerian-Language Support — Proposal &amp; Budget</w:t>
      </w:r>
    </w:p>
    <w:bookmarkStart w:id="24" w:name="X6d117605fba12b3536bb63412e0efded9b9cc32"/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AXA Mansard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MobiCova Health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19 June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Proposal for review — planning-grade estimates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rPr>
          <w:rFonts w:ascii="Calibri" w:hAnsi="Calibri"/>
          <w:color w:val="0A7B7B"/>
        </w:rPr>
        <w:t xml:space="preserve">1. Executive summary</w:t>
      </w:r>
    </w:p>
    <w:p>
      <w:pPr>
        <w:pStyle w:val="FirstParagraph"/>
      </w:pPr>
      <w:r>
        <w:t xml:space="preserve">You asked whether MobiCova plans to support Nigeria’s major languages. The answer is yes — and this document sets out exactly how we would do it, in what order, and what it costs.</w:t>
      </w:r>
    </w:p>
    <w:p>
      <w:pPr>
        <w:pStyle w:val="BodyText"/>
      </w:pPr>
      <w:r>
        <w:t xml:space="preserve">We propose to localise the</w:t>
      </w:r>
      <w:r>
        <w:t xml:space="preserve"> </w:t>
      </w:r>
      <w:r>
        <w:rPr>
          <w:b/>
          <w:bCs/>
        </w:rPr>
        <w:t xml:space="preserve">entire member experience</w:t>
      </w:r>
      <w:r>
        <w:t xml:space="preserve"> </w:t>
      </w:r>
      <w:r>
        <w:t xml:space="preserve">— the web app, the USSD and WhatsApp channels, and the free AI Health Buddy — into</w:t>
      </w:r>
      <w:r>
        <w:t xml:space="preserve"> </w:t>
      </w:r>
      <w:r>
        <w:rPr>
          <w:b/>
          <w:bCs/>
        </w:rPr>
        <w:t xml:space="preserve">four languages</w:t>
      </w:r>
      <w:r>
        <w:t xml:space="preserve">:</w:t>
      </w:r>
      <w:r>
        <w:t xml:space="preserve"> </w:t>
      </w:r>
      <w:r>
        <w:rPr>
          <w:b/>
          <w:bCs/>
        </w:rPr>
        <w:t xml:space="preserve">Nigerian Pidgin, Hausa, Yoruba and Igbo</w:t>
      </w:r>
      <w:r>
        <w:t xml:space="preserve">. Together these reach the overwhelming majority of Nigerians in the language they are most comfortable using, including members on basic phones who never touch the web app.</w:t>
      </w:r>
    </w:p>
    <w:p>
      <w:pPr>
        <w:pStyle w:val="BodyText"/>
      </w:pPr>
      <w:r>
        <w:t xml:space="preserve">Our approach is</w:t>
      </w:r>
      <w:r>
        <w:t xml:space="preserve"> </w:t>
      </w:r>
      <w:r>
        <w:rPr>
          <w:b/>
          <w:bCs/>
        </w:rPr>
        <w:t xml:space="preserve">safety-first and phased</w:t>
      </w:r>
      <w:r>
        <w:t xml:space="preserve">. We start with Nigerian Pidgin (widest reach, fastest to deliver), prove the end-to-end pipeline, then add Hausa, Yoruba and Igbo in turn. Every language is professionally translated for the parts that matter most — safety, legal and consent wording — and</w:t>
      </w:r>
      <w:r>
        <w:t xml:space="preserve"> </w:t>
      </w:r>
      <w:r>
        <w:rPr>
          <w:b/>
          <w:bCs/>
        </w:rPr>
        <w:t xml:space="preserve">signed off by a native-speaker clinician</w:t>
      </w:r>
      <w:r>
        <w:t xml:space="preserve"> </w:t>
      </w:r>
      <w:r>
        <w:t xml:space="preserve">before it goes live.</w:t>
      </w:r>
    </w:p>
    <w:p>
      <w:pPr>
        <w:pStyle w:val="BodyText"/>
      </w:pPr>
      <w:r>
        <w:t xml:space="preserve">The headline investment is</w:t>
      </w:r>
      <w:r>
        <w:t xml:space="preserve"> </w:t>
      </w:r>
      <w:r>
        <w:rPr>
          <w:b/>
          <w:bCs/>
        </w:rPr>
        <w:t xml:space="preserve">≈ ₦4.4M – 7.4M one-off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≈ ₦0.6M – 1.4M per year</w:t>
      </w:r>
      <w:r>
        <w:t xml:space="preserve"> </w:t>
      </w:r>
      <w:r>
        <w:t xml:space="preserve">ongoing. Notably, the cost is driven by</w:t>
      </w:r>
      <w:r>
        <w:t xml:space="preserve"> </w:t>
      </w:r>
      <w:r>
        <w:rPr>
          <w:b/>
          <w:bCs/>
        </w:rPr>
        <w:t xml:space="preserve">people</w:t>
      </w:r>
      <w:r>
        <w:t xml:space="preserve"> </w:t>
      </w:r>
      <w:r>
        <w:t xml:space="preserve">— clinical and legal review — far more than by software.</w:t>
      </w:r>
    </w:p>
    <w:p>
      <w:r>
        <w:pict>
          <v:rect style="width:0;height:1.5pt" o:hralign="center" o:hrstd="t" o:hr="t"/>
        </w:pict>
      </w:r>
    </w:p>
    <w:bookmarkEnd w:id="9"/>
    <w:bookmarkStart w:id="10" w:name="what-we-will-deliver"/>
    <w:p>
      <w:pPr>
        <w:pStyle w:val="Heading2"/>
      </w:pPr>
      <w:r>
        <w:rPr>
          <w:rFonts w:ascii="Calibri" w:hAnsi="Calibri"/>
          <w:color w:val="0A7B7B"/>
        </w:rPr>
        <w:t xml:space="preserve">2. What we will deliver</w:t>
      </w:r>
    </w:p>
    <w:p>
      <w:pPr>
        <w:pStyle w:val="FirstParagraph"/>
      </w:pPr>
      <w:r>
        <w:t xml:space="preserve">Full localisation across every place a member reads or hears words from MobiCova: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application</w:t>
      </w:r>
      <w:r>
        <w:t xml:space="preserve"> </w:t>
      </w:r>
      <w:r>
        <w:t xml:space="preserve">— marketing site and the member, provider, pharmacy and admin experiences, with a language switcher and a remembered language preference.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USSD</w:t>
      </w:r>
      <w:r>
        <w:t xml:space="preserve"> </w:t>
      </w:r>
      <w:r>
        <w:t xml:space="preserve">— the menu-driven flows used on basic phones (intake and the Health Buddy menu), re-fitted to each language within the strict on-screen character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</w:t>
      </w:r>
      <w:r>
        <w:t xml:space="preserve"> </w:t>
      </w:r>
      <w:r>
        <w:t xml:space="preserve">— intake and the Health Buddy conversation, with a simple</w:t>
      </w:r>
      <w:r>
        <w:t xml:space="preserve"> </w:t>
      </w:r>
      <w:r>
        <w:t xml:space="preserve">“choose your language”</w:t>
      </w:r>
      <w:r>
        <w:t xml:space="preserve"> </w:t>
      </w:r>
      <w:r>
        <w:t xml:space="preserve">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email and SMS templates.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Health Buddy</w:t>
      </w:r>
      <w:r>
        <w:t xml:space="preserve"> </w:t>
      </w:r>
      <w:r>
        <w:t xml:space="preserve">— answers generated</w:t>
      </w:r>
      <w:r>
        <w:t xml:space="preserve"> </w:t>
      </w:r>
      <w:r>
        <w:rPr>
          <w:b/>
          <w:bCs/>
        </w:rPr>
        <w:t xml:space="preserve">in the member’s own language</w:t>
      </w:r>
      <w:r>
        <w:t xml:space="preserve">, grounded on our trusted health sources, with the same deterministic safety net we run in English — extended to work in each new language.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Nigerian Pidgin, Hausa, Yoruba, Igbo.</w:t>
      </w:r>
    </w:p>
    <w:p>
      <w:r>
        <w:pict>
          <v:rect style="width:0;height:1.5pt" o:hralign="center" o:hrstd="t" o:hr="t"/>
        </w:pict>
      </w:r>
    </w:p>
    <w:bookmarkEnd w:id="10"/>
    <w:bookmarkStart w:id="11" w:name="languages-and-rollout-sequence"/>
    <w:p>
      <w:pPr>
        <w:pStyle w:val="Heading2"/>
      </w:pPr>
      <w:r>
        <w:rPr>
          <w:rFonts w:ascii="Calibri" w:hAnsi="Calibri"/>
          <w:color w:val="0A7B7B"/>
        </w:rPr>
        <w:t xml:space="preserve">3. Languages and rollout sequence</w:t>
      </w:r>
    </w:p>
    <w:p>
      <w:pPr>
        <w:pStyle w:val="FirstParagraph"/>
      </w:pPr>
      <w:r>
        <w:t xml:space="preserve">We deliver in this order, lowest-risk and highest-reach first: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Approx. reach</w:t>
            </w:r>
          </w:p>
        </w:tc>
        <w:tc>
          <w:tcPr/>
          <w:p>
            <w:pPr>
              <w:pStyle w:val="Compact"/>
            </w:pPr>
            <w:r>
              <w:t xml:space="preserve">Why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Nigerian Pidgin</w:t>
            </w:r>
          </w:p>
        </w:tc>
        <w:tc>
          <w:tcPr/>
          <w:p>
            <w:pPr>
              <w:pStyle w:val="Compact"/>
            </w:pPr>
            <w:r>
              <w:t xml:space="preserve">~100M+ understand it</w:t>
            </w:r>
          </w:p>
        </w:tc>
        <w:tc>
          <w:tcPr/>
          <w:p>
            <w:pPr>
              <w:pStyle w:val="Compact"/>
            </w:pPr>
            <w:r>
              <w:t xml:space="preserve">National lingua franca; no tone marks; AI handles it strongly; cheapest. Proves the pipeline.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Hausa</w:t>
            </w:r>
          </w:p>
        </w:tc>
        <w:tc>
          <w:tcPr/>
          <w:p>
            <w:pPr>
              <w:pStyle w:val="Compact"/>
            </w:pPr>
            <w:r>
              <w:t xml:space="preserve">~80M+</w:t>
            </w:r>
          </w:p>
        </w:tc>
        <w:tc>
          <w:tcPr/>
          <w:p>
            <w:pPr>
              <w:pStyle w:val="Compact"/>
            </w:pPr>
            <w:r>
              <w:t xml:space="preserve">Dominant in the North; Latin script (no special encoding needed).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Yoruba</w:t>
            </w:r>
          </w:p>
        </w:tc>
        <w:tc>
          <w:tcPr/>
          <w:p>
            <w:pPr>
              <w:pStyle w:val="Compact"/>
            </w:pPr>
            <w:r>
              <w:t xml:space="preserve">~45M</w:t>
            </w:r>
          </w:p>
        </w:tc>
        <w:tc>
          <w:tcPr/>
          <w:p>
            <w:pPr>
              <w:pStyle w:val="Compact"/>
            </w:pPr>
            <w:r>
              <w:t xml:space="preserve">South-West; tonal, needs diacritics and extra rendering QA.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Igbo</w:t>
            </w:r>
          </w:p>
        </w:tc>
        <w:tc>
          <w:tcPr/>
          <w:p>
            <w:pPr>
              <w:pStyle w:val="Compact"/>
            </w:pPr>
            <w:r>
              <w:t xml:space="preserve">~30M</w:t>
            </w:r>
          </w:p>
        </w:tc>
        <w:tc>
          <w:tcPr/>
          <w:p>
            <w:pPr>
              <w:pStyle w:val="Compact"/>
            </w:pPr>
            <w:r>
              <w:t xml:space="preserve">South-East; tonal, needs diacritics and extra rendering QA.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our-approach"/>
    <w:p>
      <w:pPr>
        <w:pStyle w:val="Heading2"/>
      </w:pPr>
      <w:r>
        <w:rPr>
          <w:rFonts w:ascii="Calibri" w:hAnsi="Calibri"/>
          <w:color w:val="0A7B7B"/>
        </w:rPr>
        <w:t xml:space="preserve">4. Our approach</w:t>
      </w:r>
    </w:p>
    <w:p>
      <w:pPr>
        <w:pStyle w:val="FirstParagraph"/>
      </w:pPr>
      <w:r>
        <w:rPr>
          <w:b/>
          <w:bCs/>
        </w:rPr>
        <w:t xml:space="preserve">Phase 0 — Foundation (no visible change yet).</w:t>
      </w:r>
      <w:r>
        <w:t xml:space="preserve"> </w:t>
      </w:r>
      <w:r>
        <w:t xml:space="preserve">We fit the platform with the machinery to be multilingual: a translation framework, a language switcher, a stored language preference per member, and a catalogue of every English phrase in the product. English remains the fallback throughout. This de-risks everything that follows.</w:t>
      </w:r>
    </w:p>
    <w:p>
      <w:pPr>
        <w:pStyle w:val="BodyText"/>
      </w:pPr>
      <w:r>
        <w:rPr>
          <w:b/>
          <w:bCs/>
        </w:rPr>
        <w:t xml:space="preserve">Phase 1 — Nigerian Pidgin.</w:t>
      </w:r>
      <w:r>
        <w:t xml:space="preserve"> </w:t>
      </w:r>
      <w:r>
        <w:t xml:space="preserve">First full language end-to-end: web, USSD, WhatsApp and the AI Buddy, including a Pidgin safety vocabulary. This validates the model before we invest in the three indigenous languages.</w:t>
      </w:r>
    </w:p>
    <w:p>
      <w:pPr>
        <w:pStyle w:val="BodyText"/>
      </w:pPr>
      <w:r>
        <w:rPr>
          <w:b/>
          <w:bCs/>
        </w:rPr>
        <w:t xml:space="preserve">Phases 2–4 — Hausa, then Yoruba, then Igbo.</w:t>
      </w:r>
      <w:r>
        <w:t xml:space="preserve"> </w:t>
      </w:r>
      <w:r>
        <w:t xml:space="preserve">Each language: professional translation of the interface and</w:t>
      </w:r>
      <w:r>
        <w:t xml:space="preserve"> </w:t>
      </w:r>
      <w:r>
        <w:rPr>
          <w:b/>
          <w:bCs/>
        </w:rPr>
        <w:t xml:space="preserve">premium, specialist translation</w:t>
      </w:r>
      <w:r>
        <w:t xml:space="preserve"> </w:t>
      </w:r>
      <w:r>
        <w:t xml:space="preserve">of the safety, legal and consent wording; a language-specific safety vocabulary;</w:t>
      </w:r>
      <w:r>
        <w:t xml:space="preserve"> </w:t>
      </w:r>
      <w:r>
        <w:rPr>
          <w:b/>
          <w:bCs/>
        </w:rPr>
        <w:t xml:space="preserve">native-speaker clinician review and sign-off</w:t>
      </w:r>
      <w:r>
        <w:t xml:space="preserve"> </w:t>
      </w:r>
      <w:r>
        <w:t xml:space="preserve">of the Buddy’s answers; and diacritic/rendering QA for the tonal languages.</w:t>
      </w:r>
    </w:p>
    <w:p>
      <w:pPr>
        <w:pStyle w:val="BodyText"/>
      </w:pPr>
      <w:r>
        <w:rPr>
          <w:b/>
          <w:bCs/>
        </w:rPr>
        <w:t xml:space="preserve">Safety gate.</w:t>
      </w:r>
      <w:r>
        <w:t xml:space="preserve"> </w:t>
      </w:r>
      <w:r>
        <w:t xml:space="preserve">No language is switched on for the public until its safety vocabulary and clinician sign-off are complete — the same disciplined gate we already apply to sensitive features.</w:t>
      </w:r>
    </w:p>
    <w:p>
      <w:r>
        <w:pict>
          <v:rect style="width:0;height:1.5pt" o:hralign="center" o:hrstd="t" o:hr="t"/>
        </w:pict>
      </w:r>
    </w:p>
    <w:bookmarkEnd w:id="12"/>
    <w:bookmarkStart w:id="13" w:name="quality-and-safety-commitments"/>
    <w:p>
      <w:pPr>
        <w:pStyle w:val="Heading2"/>
      </w:pPr>
      <w:r>
        <w:rPr>
          <w:rFonts w:ascii="Calibri" w:hAnsi="Calibri"/>
          <w:color w:val="0A7B7B"/>
        </w:rPr>
        <w:t xml:space="preserve">5. Quality and safety commitments</w:t>
      </w:r>
    </w:p>
    <w:p>
      <w:pPr>
        <w:pStyle w:val="FirstParagraph"/>
      </w:pPr>
      <w:r>
        <w:t xml:space="preserve">Health information in someone’s own language is a matter of trust and safety, not just convenience. We commit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in-language safety net.</w:t>
      </w:r>
      <w:r>
        <w:t xml:space="preserve"> </w:t>
      </w:r>
      <w:r>
        <w:t xml:space="preserve">Our Buddy already detects crisis, emergency and distress wording in English and routes to the right helplines. That detection is</w:t>
      </w:r>
      <w:r>
        <w:t xml:space="preserve"> </w:t>
      </w:r>
      <w:r>
        <w:rPr>
          <w:b/>
          <w:bCs/>
        </w:rPr>
        <w:t xml:space="preserve">rebuilt for each language</w:t>
      </w:r>
      <w:r>
        <w:t xml:space="preserve"> </w:t>
      </w:r>
      <w:r>
        <w:t xml:space="preserve">— because a cry for help in Yoruba, Hausa, Igbo or Pidgin must be caught just as reliably as one in English. This is the single most important piece of the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Native-speaker clinician sign-off.</w:t>
      </w:r>
      <w:r>
        <w:t xml:space="preserve"> </w:t>
      </w:r>
      <w:r>
        <w:t xml:space="preserve">A clinician who speaks the language reviews the Buddy’s health answers and the safety vocabulary before go-live, and on a periodic refresh thereafter.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translation of safety, legal and consent text.</w:t>
      </w:r>
      <w:r>
        <w:t xml:space="preserve"> </w:t>
      </w:r>
      <w:r>
        <w:t xml:space="preserve">These are not machine-translated. Where appropriate they also receive legal review, so consent and disclaimers hold up in each language.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English as a safe fallback.</w:t>
      </w:r>
      <w:r>
        <w:t xml:space="preserve"> </w:t>
      </w:r>
      <w:r>
        <w:t xml:space="preserve">If anything is ever untranslated, the member sees clear English rather than a broken screen.</w:t>
      </w:r>
    </w:p>
    <w:p>
      <w:r>
        <w:pict>
          <v:rect style="width:0;height:1.5pt" o:hralign="center" o:hrstd="t" o:hr="t"/>
        </w:pict>
      </w:r>
    </w:p>
    <w:bookmarkEnd w:id="13"/>
    <w:bookmarkStart w:id="18" w:name="investment"/>
    <w:p>
      <w:pPr>
        <w:pStyle w:val="Heading2"/>
      </w:pPr>
      <w:r>
        <w:rPr>
          <w:rFonts w:ascii="Calibri" w:hAnsi="Calibri"/>
          <w:color w:val="0A7B7B"/>
        </w:rPr>
        <w:t xml:space="preserve">6. Investment</w:t>
      </w:r>
    </w:p>
    <w:p>
      <w:pPr>
        <w:pStyle w:val="BlockText"/>
      </w:pPr>
      <w:r>
        <w:t xml:space="preserve">All figures are</w:t>
      </w:r>
      <w:r>
        <w:t xml:space="preserve"> </w:t>
      </w:r>
      <w:r>
        <w:rPr>
          <w:b/>
          <w:bCs/>
        </w:rPr>
        <w:t xml:space="preserve">indicative planning ranges</w:t>
      </w:r>
      <w:r>
        <w:t xml:space="preserve">, not fixed quotes — they should be confirmed against actual translator and clinician rates. Naira shown primary; US-dollar equivalents approximate.</w:t>
      </w:r>
    </w:p>
    <w:bookmarkStart w:id="14" w:name="one-off-to-add-all-four-languages"/>
    <w:p>
      <w:pPr>
        <w:pStyle w:val="Heading3"/>
      </w:pPr>
      <w:r>
        <w:rPr>
          <w:rFonts w:ascii="Calibri" w:hAnsi="Calibri"/>
          <w:color w:val="0A7B7B"/>
        </w:rPr>
        <w:t xml:space="preserve">6.1 One-off (to add all four languages)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item</w:t>
            </w:r>
          </w:p>
        </w:tc>
        <w:tc>
          <w:tcPr/>
          <w:p>
            <w:pPr>
              <w:pStyle w:val="Compact"/>
            </w:pPr>
            <w:r>
              <w:t xml:space="preserve">What drives it</w:t>
            </w:r>
          </w:p>
        </w:tc>
        <w:tc>
          <w:tcPr/>
          <w:p>
            <w:pPr>
              <w:pStyle w:val="Compact"/>
            </w:pPr>
            <w:r>
              <w:t xml:space="preserve">Indicative (all 4 languages)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translation (UI, USSD/WhatsApp, email/SMS)</w:t>
            </w:r>
          </w:p>
        </w:tc>
        <w:tc>
          <w:tcPr/>
          <w:p>
            <w:pPr>
              <w:pStyle w:val="Compact"/>
            </w:pPr>
            <w:r>
              <w:t xml:space="preserve">Word count × 4 languages</w:t>
            </w:r>
          </w:p>
        </w:tc>
        <w:tc>
          <w:tcPr/>
          <w:p>
            <w:pPr>
              <w:pStyle w:val="Compact"/>
            </w:pPr>
            <w:r>
              <w:t xml:space="preserve">₦0.8M – 1.4M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 translation (safety, legal, consent, disclaimers)</w:t>
            </w:r>
          </w:p>
        </w:tc>
        <w:tc>
          <w:tcPr/>
          <w:p>
            <w:pPr>
              <w:pStyle w:val="Compact"/>
            </w:pPr>
            <w:r>
              <w:t xml:space="preserve">Premium medical/legal rate × 4</w:t>
            </w:r>
          </w:p>
        </w:tc>
        <w:tc>
          <w:tcPr/>
          <w:p>
            <w:pPr>
              <w:pStyle w:val="Compact"/>
            </w:pPr>
            <w:r>
              <w:t xml:space="preserve">₦0.5M – 0.9M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Native-speaker clinician review &amp; sign-off</w:t>
            </w:r>
          </w:p>
        </w:tc>
        <w:tc>
          <w:tcPr/>
          <w:p>
            <w:pPr>
              <w:pStyle w:val="Compact"/>
            </w:pPr>
            <w:r>
              <w:t xml:space="preserve">~20–30 hrs per language — usually the largest line</w:t>
            </w:r>
          </w:p>
        </w:tc>
        <w:tc>
          <w:tcPr/>
          <w:p>
            <w:pPr>
              <w:pStyle w:val="Compact"/>
            </w:pPr>
            <w:r>
              <w:t xml:space="preserve">₦2.0M – 3.0M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In-language safety vocabularies</w:t>
            </w:r>
          </w:p>
        </w:tc>
        <w:tc>
          <w:tcPr/>
          <w:p>
            <w:pPr>
              <w:pStyle w:val="Compact"/>
            </w:pPr>
            <w:r>
              <w:t xml:space="preserve">Native + clinical input; safety-critical</w:t>
            </w:r>
          </w:p>
        </w:tc>
        <w:tc>
          <w:tcPr/>
          <w:p>
            <w:pPr>
              <w:pStyle w:val="Compact"/>
            </w:pPr>
            <w:r>
              <w:t xml:space="preserve">₦0.3M – 0.5M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review of translated consent/disclaimers</w:t>
            </w:r>
          </w:p>
        </w:tc>
        <w:tc>
          <w:tcPr/>
          <w:p>
            <w:pPr>
              <w:pStyle w:val="Compact"/>
            </w:pPr>
            <w:r>
              <w:t xml:space="preserve">Lawyer, per language</w:t>
            </w:r>
          </w:p>
        </w:tc>
        <w:tc>
          <w:tcPr/>
          <w:p>
            <w:pPr>
              <w:pStyle w:val="Compact"/>
            </w:pPr>
            <w:r>
              <w:t xml:space="preserve">₦0.6M – 1.2M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Linguistic QA &amp; testing</w:t>
            </w:r>
          </w:p>
        </w:tc>
        <w:tc>
          <w:tcPr/>
          <w:p>
            <w:pPr>
              <w:pStyle w:val="Compact"/>
            </w:pPr>
            <w:r>
              <w:t xml:space="preserve">Diacritics, USSD limits, device rendering</w:t>
            </w:r>
          </w:p>
        </w:tc>
        <w:tc>
          <w:tcPr/>
          <w:p>
            <w:pPr>
              <w:pStyle w:val="Compact"/>
            </w:pPr>
            <w:r>
              <w:t xml:space="preserve">₦0.2M – 0.4M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One-off total (external)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₦4.4M – 7.4M (~$2.8k – 4.6k)</w:t>
            </w:r>
          </w:p>
        </w:tc>
      </w:tr>
    </w:tbl>
    <w:p>
      <w:pPr>
        <w:pStyle w:val="BodyText"/>
      </w:pPr>
      <w:r>
        <w:rPr>
          <w:i/>
          <w:iCs/>
        </w:rPr>
        <w:t xml:space="preserve">Software build effort (the translation framework, channel re-fit and multilingual Buddy) is delivered as part of the MobiCova engagement and is shown separately in the timeline, not in the cash table above.</w:t>
      </w:r>
    </w:p>
    <w:bookmarkEnd w:id="14"/>
    <w:bookmarkStart w:id="15" w:name="recurring-ongoing"/>
    <w:p>
      <w:pPr>
        <w:pStyle w:val="Heading3"/>
      </w:pPr>
      <w:r>
        <w:rPr>
          <w:rFonts w:ascii="Calibri" w:hAnsi="Calibri"/>
          <w:color w:val="0A7B7B"/>
        </w:rPr>
        <w:t xml:space="preserve">6.2 Recurring (ongoing)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item</w:t>
            </w:r>
          </w:p>
        </w:tc>
        <w:tc>
          <w:tcPr/>
          <w:p>
            <w:pPr>
              <w:pStyle w:val="Compact"/>
            </w:pPr>
            <w:r>
              <w:t xml:space="preserve">Why it recurs</w:t>
            </w:r>
          </w:p>
        </w:tc>
        <w:tc>
          <w:tcPr/>
          <w:p>
            <w:pPr>
              <w:pStyle w:val="Compact"/>
            </w:pPr>
            <w:r>
              <w:t xml:space="preserve">Indicative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maintenance</w:t>
            </w:r>
          </w:p>
        </w:tc>
        <w:tc>
          <w:tcPr/>
          <w:p>
            <w:pPr>
              <w:pStyle w:val="Compact"/>
            </w:pPr>
            <w:r>
              <w:t xml:space="preserve">Every new feature/phrase must be translated into all four languages</w:t>
            </w:r>
          </w:p>
        </w:tc>
        <w:tc>
          <w:tcPr/>
          <w:p>
            <w:pPr>
              <w:pStyle w:val="Compact"/>
            </w:pPr>
            <w:r>
              <w:t xml:space="preserve">₦50k – 150k / quarter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Clinician re-review retainer</w:t>
            </w:r>
          </w:p>
        </w:tc>
        <w:tc>
          <w:tcPr/>
          <w:p>
            <w:pPr>
              <w:pStyle w:val="Compact"/>
            </w:pPr>
            <w:r>
              <w:t xml:space="preserve">Refresh as content evolves</w:t>
            </w:r>
          </w:p>
        </w:tc>
        <w:tc>
          <w:tcPr/>
          <w:p>
            <w:pPr>
              <w:pStyle w:val="Compact"/>
            </w:pPr>
            <w:r>
              <w:t xml:space="preserve">₦100k – 200k / quarter per active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Localisation tooling (optional)</w:t>
            </w:r>
          </w:p>
        </w:tc>
        <w:tc>
          <w:tcPr/>
          <w:p>
            <w:pPr>
              <w:pStyle w:val="Compact"/>
            </w:pPr>
            <w:r>
              <w:t xml:space="preserve">Manages the translation catalogue and translator workflow</w:t>
            </w:r>
          </w:p>
        </w:tc>
        <w:tc>
          <w:tcPr/>
          <w:p>
            <w:pPr>
              <w:pStyle w:val="Compact"/>
            </w:pPr>
            <w:r>
              <w:t xml:space="preserve">~$30 – 150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inference uplift</w:t>
            </w:r>
          </w:p>
        </w:tc>
        <w:tc>
          <w:tcPr/>
          <w:p>
            <w:pPr>
              <w:pStyle w:val="Compact"/>
            </w:pPr>
            <w:r>
              <w:t xml:space="preserve">Non-English answers cost more to generate (see 6.3)</w:t>
            </w:r>
          </w:p>
        </w:tc>
        <w:tc>
          <w:tcPr/>
          <w:p>
            <w:pPr>
              <w:pStyle w:val="Compact"/>
            </w:pPr>
            <w:r>
              <w:t xml:space="preserve">+30 – 100% per Buddy message in those languages</w:t>
            </w:r>
          </w:p>
        </w:tc>
      </w:tr>
    </w:tbl>
    <w:bookmarkEnd w:id="15"/>
    <w:bookmarkStart w:id="16" w:name="costs-that-are-easy-to-miss"/>
    <w:p>
      <w:pPr>
        <w:pStyle w:val="Heading3"/>
      </w:pPr>
      <w:r>
        <w:rPr>
          <w:rFonts w:ascii="Calibri" w:hAnsi="Calibri"/>
          <w:color w:val="0A7B7B"/>
        </w:rPr>
        <w:t xml:space="preserve">6.3 Costs that are easy to miss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SMS encoding penalty.</w:t>
      </w:r>
      <w:r>
        <w:t xml:space="preserve"> </w:t>
      </w:r>
      <w:r>
        <w:t xml:space="preserve">Yoruba and Igbo tone marks force SMS into an encoding that fits only ~70 characters per message segment instead of 160 — roughly</w:t>
      </w:r>
      <w:r>
        <w:t xml:space="preserve"> </w:t>
      </w:r>
      <w:r>
        <w:rPr>
          <w:b/>
          <w:bCs/>
        </w:rPr>
        <w:t xml:space="preserve">2–3× the SMS cost</w:t>
      </w:r>
      <w:r>
        <w:t xml:space="preserve"> </w:t>
      </w:r>
      <w:r>
        <w:t xml:space="preserve">for those two languages. We can strip tone marks on SMS only to avoid this.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USSD screen limits.</w:t>
      </w:r>
      <w:r>
        <w:t xml:space="preserve"> </w:t>
      </w:r>
      <w:r>
        <w:t xml:space="preserve">Translations run longer than English; a screen that fit in one step may need two, which can raise per-session costs and lengthen the flow. We mitigate with abbreviated wording on USSD.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cost per answer.</w:t>
      </w:r>
      <w:r>
        <w:t xml:space="preserve"> </w:t>
      </w:r>
      <w:r>
        <w:t xml:space="preserve">The AI uses more processing for the lower-resource languages, and the three indigenous languages may need our stronger model for safe quality — so a Buddy reply in Igbo or Hausa can cost</w:t>
      </w:r>
      <w:r>
        <w:t xml:space="preserve"> </w:t>
      </w:r>
      <w:r>
        <w:rPr>
          <w:b/>
          <w:bCs/>
        </w:rPr>
        <w:t xml:space="preserve">2–4× a Pidgin or English one</w:t>
      </w:r>
      <w:r>
        <w:t xml:space="preserve">. Small while usage is capped, but it scales with adoption.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Basic-phone rendering.</w:t>
      </w:r>
      <w:r>
        <w:t xml:space="preserve"> </w:t>
      </w:r>
      <w:r>
        <w:t xml:space="preserve">Some older handsets won’t display tone marks correctly, so channels may use a simplified spelling while the web app keeps full spelling.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Safety-vocabulary upkeep.</w:t>
      </w:r>
      <w:r>
        <w:t xml:space="preserve"> </w:t>
      </w:r>
      <w:r>
        <w:t xml:space="preserve">Slang evolves (Pidgin fastest), so the safety word-lists need periodic refresh to stay reliable.</w:t>
      </w:r>
    </w:p>
    <w:bookmarkEnd w:id="16"/>
    <w:bookmarkStart w:id="17" w:name="planning-envelope"/>
    <w:p>
      <w:pPr>
        <w:pStyle w:val="Heading3"/>
      </w:pPr>
      <w:r>
        <w:rPr>
          <w:rFonts w:ascii="Calibri" w:hAnsi="Calibri"/>
          <w:color w:val="0A7B7B"/>
        </w:rPr>
        <w:t xml:space="preserve">6.4 Planning envelope</w:t>
      </w:r>
    </w:p>
    <w:p>
      <w:pPr>
        <w:pStyle w:val="FirstParagraph"/>
      </w:pPr>
      <w:r>
        <w:rPr>
          <w:b/>
          <w:bCs/>
        </w:rPr>
        <w:t xml:space="preserve">≈ ₦4.4M – 7.4M one-off</w:t>
      </w:r>
      <w:r>
        <w:t xml:space="preserve">, then</w:t>
      </w:r>
      <w:r>
        <w:t xml:space="preserve"> </w:t>
      </w:r>
      <w:r>
        <w:rPr>
          <w:b/>
          <w:bCs/>
        </w:rPr>
        <w:t xml:space="preserve">≈ ₦0.6M – 1.4M per year</w:t>
      </w:r>
      <w:r>
        <w:t xml:space="preserve"> </w:t>
      </w:r>
      <w:r>
        <w:t xml:space="preserve">(heavier while all four languages are actively maintained). The bulk is clinical and legal review — the safeguards that make health advice in local languages trustworthy.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ow-we-keep-the-cost-down"/>
    <w:p>
      <w:pPr>
        <w:pStyle w:val="Heading2"/>
      </w:pPr>
      <w:r>
        <w:rPr>
          <w:rFonts w:ascii="Calibri" w:hAnsi="Calibri"/>
          <w:color w:val="0A7B7B"/>
        </w:rPr>
        <w:t xml:space="preserve">7. How we keep the cost 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Pidgin-first is the cheap win</w:t>
      </w:r>
      <w:r>
        <w:t xml:space="preserve"> </w:t>
      </w:r>
      <w:r>
        <w:t xml:space="preserve">— no tone marks (so no SMS/USSD penalty), strongest AI performance, lightest review. We prove the whole pipeline before spending on the indigenous three.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Buddy answers in-language at the moment of asking</w:t>
      </w:r>
      <w:r>
        <w:t xml:space="preserve"> </w:t>
      </w:r>
      <w:r>
        <w:t xml:space="preserve">— so we only pay to translate the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wording; the AI handles the endless variety of questions.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Strip tone marks on SMS/USSD only</w:t>
      </w:r>
      <w:r>
        <w:t xml:space="preserve">, keep full spelling on the web — sidesteps the encoding penalty without compromising the web experience.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localisation tool pays for itself</w:t>
      </w:r>
      <w:r>
        <w:t xml:space="preserve"> </w:t>
      </w:r>
      <w:r>
        <w:t xml:space="preserve">once routine maintenance begins.</w:t>
      </w:r>
    </w:p>
    <w:p>
      <w:r>
        <w:pict>
          <v:rect style="width:0;height:1.5pt" o:hralign="center" o:hrstd="t" o:hr="t"/>
        </w:pict>
      </w:r>
    </w:p>
    <w:bookmarkEnd w:id="19"/>
    <w:bookmarkStart w:id="20" w:name="indicative-timeline"/>
    <w:p>
      <w:pPr>
        <w:pStyle w:val="Heading2"/>
      </w:pPr>
      <w:r>
        <w:rPr>
          <w:rFonts w:ascii="Calibri" w:hAnsi="Calibri"/>
          <w:color w:val="0A7B7B"/>
        </w:rPr>
        <w:t xml:space="preserve">8. Indicative timeline</w:t>
      </w:r>
    </w:p>
    <w:p>
      <w:pPr>
        <w:pStyle w:val="FirstParagraph"/>
      </w:pPr>
      <w:r>
        <w:t xml:space="preserve">Engineering and the external work (translation, clinician review) run in parallel, so elapsed time is paced as much by translator and clinician availability as by build effort.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Indicative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— Foundation</w:t>
            </w:r>
          </w:p>
        </w:tc>
        <w:tc>
          <w:tcPr/>
          <w:p>
            <w:pPr>
              <w:pStyle w:val="Compact"/>
            </w:pPr>
            <w:r>
              <w:t xml:space="preserve">Translation framework, language switcher, language preference, string extraction (no visible change)</w:t>
            </w:r>
          </w:p>
        </w:tc>
        <w:tc>
          <w:tcPr/>
          <w:p>
            <w:pPr>
              <w:pStyle w:val="Compact"/>
            </w:pPr>
            <w:r>
              <w:t xml:space="preserve">2–3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Nigerian Pidgin</w:t>
            </w:r>
          </w:p>
        </w:tc>
        <w:tc>
          <w:tcPr/>
          <w:p>
            <w:pPr>
              <w:pStyle w:val="Compact"/>
            </w:pPr>
            <w:r>
              <w:t xml:space="preserve">First full language end-to-end: web, USSD, WhatsApp, Buddy + Pidgin safety vocabulary</w:t>
            </w:r>
          </w:p>
        </w:tc>
        <w:tc>
          <w:tcPr/>
          <w:p>
            <w:pPr>
              <w:pStyle w:val="Compact"/>
            </w:pPr>
            <w:r>
              <w:t xml:space="preserve">4–6 weeks (incl. translation + clinician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Hausa</w:t>
            </w:r>
          </w:p>
        </w:tc>
        <w:tc>
          <w:tcPr/>
          <w:p>
            <w:pPr>
              <w:pStyle w:val="Compact"/>
            </w:pPr>
            <w:r>
              <w:t xml:space="preserve">Translation, safety vocabulary, clinician sign-off, QA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Yoruba</w:t>
            </w:r>
          </w:p>
        </w:tc>
        <w:tc>
          <w:tcPr/>
          <w:p>
            <w:pPr>
              <w:pStyle w:val="Compact"/>
            </w:pPr>
            <w:r>
              <w:t xml:space="preserve">As above + diacritic/rendering QA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Igbo</w:t>
            </w:r>
          </w:p>
        </w:tc>
        <w:tc>
          <w:tcPr/>
          <w:p>
            <w:pPr>
              <w:pStyle w:val="Compact"/>
            </w:pPr>
            <w:r>
              <w:t xml:space="preserve">As above + diacritic/rendering QA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language live (Pidgin):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6–8 weeks</w:t>
      </w:r>
      <w:r>
        <w:t xml:space="preserve"> </w:t>
      </w:r>
      <w:r>
        <w:t xml:space="preserve">from go-ahead (Phase 0 + Phase 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four languages complete: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4–5 months</w:t>
      </w:r>
      <w:r>
        <w:t xml:space="preserve"> </w:t>
      </w:r>
      <w:r>
        <w:t xml:space="preserve">elapsed, with each language going live as it is finished rather than all at the end.</w:t>
      </w:r>
    </w:p>
    <w:bookmarkEnd w:id="20"/>
    <w:bookmarkStart w:id="21" w:name="assumptions-and-exclusions"/>
    <w:p>
      <w:pPr>
        <w:pStyle w:val="Heading2"/>
      </w:pPr>
      <w:r>
        <w:rPr>
          <w:rFonts w:ascii="Calibri" w:hAnsi="Calibri"/>
          <w:color w:val="0A7B7B"/>
        </w:rPr>
        <w:t xml:space="preserve">9. Assumptions and exclusions</w:t>
      </w:r>
    </w:p>
    <w:p>
      <w:pPr>
        <w:pStyle w:val="Compact"/>
        <w:numPr>
          <w:ilvl w:val="0"/>
          <w:numId w:val="1006"/>
        </w:numPr>
      </w:pPr>
      <w:r>
        <w:t xml:space="preserve">Estimates assume four languages as scoped; adding more multiplies translation and review lines.</w:t>
      </w:r>
    </w:p>
    <w:p>
      <w:pPr>
        <w:pStyle w:val="Compact"/>
        <w:numPr>
          <w:ilvl w:val="0"/>
          <w:numId w:val="1006"/>
        </w:numPr>
      </w:pPr>
      <w:r>
        <w:t xml:space="preserve">Translation and clinician availability are</w:t>
      </w:r>
      <w:r>
        <w:t xml:space="preserve"> </w:t>
      </w:r>
      <w:r>
        <w:rPr>
          <w:b/>
          <w:bCs/>
        </w:rPr>
        <w:t xml:space="preserve">external lead-time dependencies</w:t>
      </w:r>
      <w:r>
        <w:t xml:space="preserve"> </w:t>
      </w:r>
      <w:r>
        <w:t xml:space="preserve">— they pace the rollout as much as engineering does.</w:t>
      </w:r>
    </w:p>
    <w:p>
      <w:pPr>
        <w:pStyle w:val="Compact"/>
        <w:numPr>
          <w:ilvl w:val="0"/>
          <w:numId w:val="1006"/>
        </w:numPr>
      </w:pPr>
      <w:r>
        <w:t xml:space="preserve">Voice/IVR (spoken) channels 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— this covers text-based web, USSD, WhatsApp, SMS and email only.</w:t>
      </w:r>
    </w:p>
    <w:p>
      <w:pPr>
        <w:pStyle w:val="Compact"/>
        <w:numPr>
          <w:ilvl w:val="0"/>
          <w:numId w:val="1006"/>
        </w:numPr>
      </w:pPr>
      <w:r>
        <w:t xml:space="preserve">Figures exclude any third-party translation-agency minimums or rush fees.</w:t>
      </w:r>
    </w:p>
    <w:p>
      <w:r>
        <w:pict>
          <v:rect style="width:0;height:1.5pt" o:hralign="center" o:hrstd="t" o:hr="t"/>
        </w:pict>
      </w:r>
    </w:p>
    <w:bookmarkEnd w:id="21"/>
    <w:bookmarkStart w:id="22" w:name="what-was-agreed-decision-log"/>
    <w:p>
      <w:pPr>
        <w:pStyle w:val="Heading2"/>
      </w:pPr>
      <w:r>
        <w:rPr>
          <w:rFonts w:ascii="Calibri" w:hAnsi="Calibri"/>
          <w:color w:val="0A7B7B"/>
        </w:rPr>
        <w:t xml:space="preserve">10. What was agreed (decision 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Agreed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of localisation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  <w:r>
              <w:t xml:space="preserve"> </w:t>
            </w:r>
            <w:r>
              <w:t xml:space="preserve">— UI + USSD/WhatsApp + AI Buddy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standard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/ native review</w:t>
            </w:r>
            <w:r>
              <w:t xml:space="preserve"> </w:t>
            </w:r>
            <w:r>
              <w:t xml:space="preserve">at minimum for safety, legal and consent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Languages &amp; order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four</w:t>
            </w:r>
            <w:r>
              <w:t xml:space="preserve">, sequenced</w:t>
            </w:r>
            <w:r>
              <w:t xml:space="preserve"> </w:t>
            </w:r>
            <w:r>
              <w:rPr>
                <w:b/>
                <w:bCs/>
              </w:rPr>
              <w:t xml:space="preserve">Pidgin → Hausa → Yoruba → Igbo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assurance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Native-speaker clinician</w:t>
            </w:r>
            <w:r>
              <w:t xml:space="preserve"> </w:t>
            </w:r>
            <w:r>
              <w:t xml:space="preserve">reviews each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ext-steps"/>
    <w:p>
      <w:pPr>
        <w:pStyle w:val="Heading2"/>
      </w:pPr>
      <w:r>
        <w:rPr>
          <w:rFonts w:ascii="Calibri" w:hAnsi="Calibri"/>
          <w:color w:val="0A7B7B"/>
        </w:rPr>
        <w:t xml:space="preserve">11. Next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Confirm budget envelope</w:t>
      </w:r>
      <w:r>
        <w:t xml:space="preserve"> </w:t>
      </w:r>
      <w:r>
        <w:t xml:space="preserve">and which phase to fund first (we recommend Phase 0 + Pidgin together).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Identify translators and a native-speaker clinician</w:t>
      </w:r>
      <w:r>
        <w:t xml:space="preserve"> </w:t>
      </w:r>
      <w:r>
        <w:t xml:space="preserve">per language, to firm up the people costs against real rates.</w:t>
      </w:r>
    </w:p>
    <w:p>
      <w:pPr>
        <w:pStyle w:val="Compact"/>
        <w:numPr>
          <w:ilvl w:val="0"/>
          <w:numId w:val="1007"/>
        </w:numPr>
      </w:pPr>
      <w:r>
        <w:t xml:space="preserve">MobiCova produces a</w:t>
      </w:r>
      <w:r>
        <w:t xml:space="preserve"> </w:t>
      </w:r>
      <w:r>
        <w:rPr>
          <w:b/>
          <w:bCs/>
        </w:rPr>
        <w:t xml:space="preserve">detailed implementation plan and delivery timeline</w:t>
      </w:r>
      <w:r>
        <w:t xml:space="preserve"> </w:t>
      </w:r>
      <w:r>
        <w:t xml:space="preserve">for the approved scope.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Kick off Phase 0</w:t>
      </w:r>
      <w:r>
        <w:t xml:space="preserve"> </w:t>
      </w:r>
      <w:r>
        <w:t xml:space="preserve">(foundation) — invisible to members, but it unlocks everything that follows.</w:t>
      </w:r>
    </w:p>
    <w:p>
      <w:pPr>
        <w:pStyle w:val="FirstParagraph"/>
      </w:pPr>
      <w:r>
        <w:rPr>
          <w:i/>
          <w:iCs/>
        </w:rPr>
        <w:t xml:space="preserve">MobiCova Health — building trusted digital health infrastructure for Nigeria and Africa.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2026-06-19T14:15:36Z</dcterms:created>
  <dcterms:modified xsi:type="dcterms:W3CDTF">2026-06-19T14:15:36Z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