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Production Readiness &amp; Cost Plan</w:t>
      </w:r>
    </w:p>
    <w:bookmarkStart w:id="24" w:name="Xe9b3d212edea4c40be88be47752033b42459fee"/>
    <w:p>
      <w:pPr>
        <w:pStyle w:val="BlockText"/>
      </w:pPr>
      <w:r>
        <w:t xml:space="preserve">Moving from a single-region MVP to an industrial-grade platform: fault tolerance,</w:t>
      </w:r>
      <w:r>
        <w:t xml:space="preserve"> </w:t>
      </w:r>
      <w:r>
        <w:t xml:space="preserve">failover, load balancing, observability, and compliance.</w:t>
      </w:r>
    </w:p>
    <w:p>
      <w:pPr>
        <w:pStyle w:val="BlockText"/>
      </w:pPr>
      <w:r>
        <w:rPr>
          <w:b/>
          <w:bCs/>
        </w:rPr>
        <w:t xml:space="preserve">All figures are planning-grade estimates in USD ranges — not quotes.</w:t>
      </w:r>
      <w:r>
        <w:t xml:space="preserve"> </w:t>
      </w:r>
      <w:r>
        <w:t xml:space="preserve">They are</w:t>
      </w:r>
      <w:r>
        <w:t xml:space="preserve"> </w:t>
      </w:r>
      <w:r>
        <w:t xml:space="preserve">sized to the assumptions below and will move with real traffic, comms volume, and</w:t>
      </w:r>
      <w:r>
        <w:t xml:space="preserve"> </w:t>
      </w:r>
      <w:r>
        <w:t xml:space="preserve">vendor negotiation.</w:t>
      </w:r>
    </w:p>
    <w:p>
      <w:r>
        <w:pict>
          <v:rect style="width:0;height:1.5pt" o:hralign="center" o:hrstd="t" o:hr="t"/>
        </w:pict>
      </w:r>
    </w:p>
    <w:bookmarkStart w:id="10" w:name="assumptions-locked-for-this-plan"/>
    <w:p>
      <w:pPr>
        <w:pStyle w:val="Heading2"/>
      </w:pPr>
      <w:r>
        <w:rPr>
          <w:rFonts w:ascii="Calibri" w:hAnsi="Calibri"/>
          <w:color w:val="0A7B7B"/>
        </w:rPr>
        <w:t xml:space="preserve">0. Assumptions locked for this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 horizon</w:t>
            </w:r>
          </w:p>
        </w:tc>
        <w:tc>
          <w:tcPr/>
          <w:p>
            <w:pPr>
              <w:pStyle w:val="Compact"/>
            </w:pPr>
            <w:r>
              <w:t xml:space="preserve">Up to ~50,000 active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residency / region</w:t>
            </w:r>
          </w:p>
        </w:tc>
        <w:tc>
          <w:tcPr/>
          <w:p>
            <w:pPr>
              <w:pStyle w:val="Compact"/>
            </w:pPr>
            <w:r>
              <w:t xml:space="preserve">Nigeria / Africa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Approach costed</w:t>
            </w:r>
          </w:p>
        </w:tc>
        <w:tc>
          <w:tcPr/>
          <w:p>
            <w:pPr>
              <w:pStyle w:val="Compact"/>
            </w:pPr>
            <w:r>
              <w:t xml:space="preserve">Both — Tier A (hardened managed)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Tier B (cloud-native AWS), side by 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target</w:t>
            </w:r>
          </w:p>
        </w:tc>
        <w:tc>
          <w:tcPr/>
          <w:p>
            <w:pPr>
              <w:pStyle w:val="Compact"/>
            </w:pPr>
            <w:r>
              <w:t xml:space="preserve">NDPR + penetration test</w:t>
            </w:r>
            <w:r>
              <w:t xml:space="preserve"> </w:t>
            </w:r>
            <w:r>
              <w:rPr>
                <w:b/>
                <w:bCs/>
              </w:rPr>
              <w:t xml:space="preserve">+ SOC 2 / ISO 27001</w:t>
            </w:r>
          </w:p>
        </w:tc>
      </w:tr>
    </w:tbl>
    <w:bookmarkStart w:id="9" w:name="X4b41000d074721586a9663e08fe4f461c2df563"/>
    <w:p>
      <w:pPr>
        <w:pStyle w:val="Heading3"/>
      </w:pPr>
      <w:r>
        <w:rPr>
          <w:rFonts w:ascii="Calibri" w:hAnsi="Calibri"/>
          <w:color w:val="0A7B7B"/>
        </w:rPr>
        <w:t xml:space="preserve">The residency ↔ approach trade-off (important)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Render (Tier A) has no African region.</w:t>
      </w:r>
      <w:r>
        <w:t xml:space="preserve"> </w:t>
      </w:r>
      <w:r>
        <w:t xml:space="preserve">Tier A would run in</w:t>
      </w:r>
      <w:r>
        <w:t xml:space="preserve"> </w:t>
      </w:r>
      <w:r>
        <w:rPr>
          <w:b/>
          <w:bCs/>
        </w:rPr>
        <w:t xml:space="preserve">EU (Frankfurt/London)</w:t>
      </w:r>
      <w:r>
        <w:t xml:space="preserve"> </w:t>
      </w:r>
      <w:r>
        <w:t xml:space="preserve">with a Cloudflare</w:t>
      </w:r>
      <w:r>
        <w:t xml:space="preserve"> </w:t>
      </w:r>
      <w:r>
        <w:rPr>
          <w:b/>
          <w:bCs/>
        </w:rPr>
        <w:t xml:space="preserve">Lagos edge</w:t>
      </w:r>
      <w:r>
        <w:t xml:space="preserve"> </w:t>
      </w:r>
      <w:r>
        <w:t xml:space="preserve">for fast static/CDN delivery — data-at-rest sits in the EU.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af-south-1</w:t>
      </w:r>
      <w:r>
        <w:rPr>
          <w:b/>
          <w:bCs/>
        </w:rPr>
        <w:t xml:space="preserve"> </w:t>
      </w:r>
      <w:r>
        <w:rPr>
          <w:b/>
          <w:bCs/>
        </w:rPr>
        <w:t xml:space="preserve">(Cape Town)</w:t>
      </w:r>
      <w:r>
        <w:t xml:space="preserve"> </w:t>
      </w:r>
      <w:r>
        <w:t xml:space="preserve">keeps data</w:t>
      </w:r>
      <w:r>
        <w:t xml:space="preserve"> </w:t>
      </w:r>
      <w:r>
        <w:rPr>
          <w:b/>
          <w:bCs/>
        </w:rPr>
        <w:t xml:space="preserve">on-continent</w:t>
      </w:r>
      <w:r>
        <w:t xml:space="preserve">, and AWS has a</w:t>
      </w:r>
      <w:r>
        <w:t xml:space="preserve"> </w:t>
      </w:r>
      <w:r>
        <w:rPr>
          <w:b/>
          <w:bCs/>
        </w:rPr>
        <w:t xml:space="preserve">Lagos Local Zone + CloudFront edge</w:t>
      </w:r>
      <w:r>
        <w:t xml:space="preserve"> </w:t>
      </w:r>
      <w:r>
        <w:t xml:space="preserve">for low latency into Nigeria. This is the only one of the two that satisfies true African residency.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NDPR</w:t>
      </w:r>
      <w:r>
        <w:t xml:space="preserve"> </w:t>
      </w:r>
      <w:r>
        <w:t xml:space="preserve">permits cross-border transfer with adequate safeguards, so EU hosting is</w:t>
      </w:r>
      <w:r>
        <w:t xml:space="preserve"> </w:t>
      </w:r>
      <w:r>
        <w:rPr>
          <w:i/>
          <w:iCs/>
        </w:rPr>
        <w:t xml:space="preserve">legally workable</w:t>
      </w:r>
      <w:r>
        <w:t xml:space="preserve"> </w:t>
      </w:r>
      <w:r>
        <w:t xml:space="preserve">— but health data is sensitive and enterprise insurer buyers will ask</w:t>
      </w:r>
      <w:r>
        <w:t xml:space="preserve"> </w:t>
      </w:r>
      <w:r>
        <w:t xml:space="preserve">“where does it live?”</w:t>
      </w:r>
      <w:r>
        <w:t xml:space="preserve">, which favours Cape Town or a local DC.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Net:</w:t>
      </w:r>
      <w:r>
        <w:t xml:space="preserve"> </w:t>
      </w:r>
      <w:r>
        <w:t xml:space="preserve">if residency + SOC 2 are firm, the</w:t>
      </w:r>
      <w:r>
        <w:t xml:space="preserve"> </w:t>
      </w:r>
      <w:r>
        <w:rPr>
          <w:b/>
          <w:bCs/>
        </w:rPr>
        <w:t xml:space="preserve">destination is Tier B</w:t>
      </w:r>
      <w:r>
        <w:t xml:space="preserve">. Tier A is still useful as a fast interim hardening step, but avoid investing heavily in it only to migrate later.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what-industrial-grade-means-here"/>
    <w:p>
      <w:pPr>
        <w:pStyle w:val="Heading2"/>
      </w:pPr>
      <w:r>
        <w:rPr>
          <w:rFonts w:ascii="Calibri" w:hAnsi="Calibri"/>
          <w:color w:val="0A7B7B"/>
        </w:rPr>
        <w:t xml:space="preserve">1. What</w:t>
      </w:r>
      <w:r>
        <w:rPr>
          <w:rFonts w:ascii="Calibri" w:hAnsi="Calibri"/>
          <w:color w:val="0A7B7B"/>
        </w:rPr>
        <w:t xml:space="preserve"> </w:t>
      </w:r>
      <w:r>
        <w:rPr>
          <w:rFonts w:ascii="Calibri" w:hAnsi="Calibri"/>
          <w:color w:val="0A7B7B"/>
        </w:rPr>
        <w:t xml:space="preserve">“industrial-grade”</w:t>
      </w:r>
      <w:r>
        <w:rPr>
          <w:rFonts w:ascii="Calibri" w:hAnsi="Calibri"/>
          <w:color w:val="0A7B7B"/>
        </w:rPr>
        <w:t xml:space="preserve"> </w:t>
      </w:r>
      <w:r>
        <w:rPr>
          <w:rFonts w:ascii="Calibri" w:hAnsi="Calibri"/>
          <w:color w:val="0A7B7B"/>
        </w:rPr>
        <w:t xml:space="preserve">means here</w:t>
      </w:r>
    </w:p>
    <w:p>
      <w:pPr>
        <w:pStyle w:val="FirstParagraph"/>
      </w:pPr>
      <w:r>
        <w:t xml:space="preserve">You are buying four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Availability target</w:t>
      </w:r>
      <w:r>
        <w:t xml:space="preserve"> </w:t>
      </w:r>
      <w:r>
        <w:t xml:space="preserve">— e.g. </w:t>
      </w:r>
      <w:r>
        <w:rPr>
          <w:b/>
          <w:bCs/>
        </w:rPr>
        <w:t xml:space="preserve">99.9%</w:t>
      </w:r>
      <w:r>
        <w:t xml:space="preserve"> </w:t>
      </w:r>
      <w:r>
        <w:t xml:space="preserve">(~8.7 h/yr down), 99.95%, or 99.99%. Each extra</w:t>
      </w:r>
      <w:r>
        <w:t xml:space="preserve"> </w:t>
      </w:r>
      <w:r>
        <w:t xml:space="preserve">“nine”</w:t>
      </w:r>
      <w:r>
        <w:t xml:space="preserve"> </w:t>
      </w:r>
      <w:r>
        <w:t xml:space="preserve">multiplies cost.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Fault tolerance / failover</w:t>
      </w:r>
      <w:r>
        <w:t xml:space="preserve"> </w:t>
      </w:r>
      <w:r>
        <w:t xml:space="preserve">— no single server, Availability Zone, or DB instance can take the platform down.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Recoverability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RPO</w:t>
      </w:r>
      <w:r>
        <w:t xml:space="preserve"> </w:t>
      </w:r>
      <w:r>
        <w:t xml:space="preserve">(max data loss, target ≤ 5 min) and</w:t>
      </w:r>
      <w:r>
        <w:t xml:space="preserve"> </w:t>
      </w:r>
      <w:r>
        <w:rPr>
          <w:b/>
          <w:bCs/>
        </w:rPr>
        <w:t xml:space="preserve">RTO</w:t>
      </w:r>
      <w:r>
        <w:t xml:space="preserve"> </w:t>
      </w:r>
      <w:r>
        <w:t xml:space="preserve">(max downtime to recover, target ≤ 30 min) via standby + point-in-time backups.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&amp; compliance</w:t>
      </w:r>
      <w:r>
        <w:t xml:space="preserve"> </w:t>
      </w:r>
      <w:r>
        <w:t xml:space="preserve">— health data + payments + Nigerian PII → NDPR, PCI offloaded to Stripe/Paystack, and SOC 2 / ISO 27001 for enterprise procurement.</w:t>
      </w:r>
    </w:p>
    <w:p>
      <w:pPr>
        <w:pStyle w:val="FirstParagraph"/>
      </w:pPr>
      <w:r>
        <w:rPr>
          <w:b/>
          <w:bCs/>
        </w:rPr>
        <w:t xml:space="preserve">Recommended target for 50k:</w:t>
      </w:r>
      <w:r>
        <w:t xml:space="preserve"> </w:t>
      </w:r>
      <w:r>
        <w:rPr>
          <w:b/>
          <w:bCs/>
        </w:rPr>
        <w:t xml:space="preserve">99.9% availability, RPO ≤ 5 min, RTO ≤ 30 min.</w:t>
      </w:r>
    </w:p>
    <w:p>
      <w:r>
        <w:pict>
          <v:rect style="width:0;height:1.5pt" o:hralign="center" o:hrstd="t" o:hr="t"/>
        </w:pict>
      </w:r>
    </w:p>
    <w:bookmarkEnd w:id="11"/>
    <w:bookmarkStart w:id="12" w:name="target-architecture-vs.-today"/>
    <w:p>
      <w:pPr>
        <w:pStyle w:val="Heading2"/>
      </w:pPr>
      <w:r>
        <w:rPr>
          <w:rFonts w:ascii="Calibri" w:hAnsi="Calibri"/>
          <w:color w:val="0A7B7B"/>
        </w:rPr>
        <w:t xml:space="preserve">2. Target architecture (vs. today)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026"/>
        <w:gridCol w:w="46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MVP today</w:t>
            </w:r>
          </w:p>
        </w:tc>
        <w:tc>
          <w:tcPr/>
          <w:p>
            <w:pPr>
              <w:pStyle w:val="Compact"/>
            </w:pPr>
            <w:r>
              <w:t xml:space="preserve">Industrial-grade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/ edge</w:t>
            </w:r>
          </w:p>
        </w:tc>
        <w:tc>
          <w:tcPr/>
          <w:p>
            <w:pPr>
              <w:pStyle w:val="Compact"/>
            </w:pPr>
            <w:r>
              <w:t xml:space="preserve">Render domain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</w:t>
            </w:r>
            <w:r>
              <w:t xml:space="preserve"> </w:t>
            </w:r>
            <w:r>
              <w:t xml:space="preserve">DNS + CDN +</w:t>
            </w:r>
            <w:r>
              <w:t xml:space="preserve"> </w:t>
            </w:r>
            <w:r>
              <w:rPr>
                <w:b/>
                <w:bCs/>
              </w:rPr>
              <w:t xml:space="preserve">WAF</w:t>
            </w:r>
            <w:r>
              <w:t xml:space="preserve"> </w:t>
            </w:r>
            <w:r>
              <w:t xml:space="preserve">+ DDoS, Lagos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Render static</w:t>
            </w:r>
          </w:p>
        </w:tc>
        <w:tc>
          <w:tcPr/>
          <w:p>
            <w:pPr>
              <w:pStyle w:val="Compact"/>
            </w:pPr>
            <w:r>
              <w:t xml:space="preserve">Static on CDN (already cheap &amp; resilient)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1 Render 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≥2 containers, multi-AZ, behind a load balancer, auto-scaling</w:t>
            </w:r>
            <w:r>
              <w:t xml:space="preserve">, health-checked &amp; auto-replaced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(single)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 HA Postgres</w:t>
            </w:r>
            <w:r>
              <w:t xml:space="preserve"> </w:t>
            </w:r>
            <w:r>
              <w:t xml:space="preserve">— primary + standby (auto-failover),</w:t>
            </w:r>
            <w:r>
              <w:t xml:space="preserve"> </w:t>
            </w:r>
            <w:r>
              <w:rPr>
                <w:b/>
                <w:bCs/>
              </w:rPr>
              <w:t xml:space="preserve">read replica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PITR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/ queue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  <w:r>
              <w:t xml:space="preserve"> </w:t>
            </w:r>
            <w:r>
              <w:t xml:space="preserve">(sessions, rate-limit, cache) +</w:t>
            </w:r>
            <w:r>
              <w:t xml:space="preserve"> </w:t>
            </w:r>
            <w:r>
              <w:rPr>
                <w:b/>
                <w:bCs/>
              </w:rPr>
              <w:t xml:space="preserve">job queue</w:t>
            </w:r>
            <w:r>
              <w:t xml:space="preserve"> </w:t>
            </w:r>
            <w:r>
              <w:t xml:space="preserve">(emails, webhooks, OTP) so spikes don’t block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S3 / multi-AZ object storage (fine as-is)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env vars</w:t>
            </w:r>
          </w:p>
        </w:tc>
        <w:tc>
          <w:tcPr/>
          <w:p>
            <w:pPr>
              <w:pStyle w:val="Compact"/>
            </w:pPr>
            <w:r>
              <w:t xml:space="preserve">Managed</w:t>
            </w:r>
            <w:r>
              <w:t xml:space="preserve"> </w:t>
            </w:r>
            <w:r>
              <w:rPr>
                <w:b/>
                <w:bCs/>
              </w:rPr>
              <w:t xml:space="preserve">secrets store</w:t>
            </w:r>
            <w:r>
              <w:t xml:space="preserve"> </w:t>
            </w:r>
            <w:r>
              <w:t xml:space="preserve">+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console logs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Logs + metrics + traces + error tracking + uptime alerts + on-call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manual git push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with staging + blue-green/canary deploys</w:t>
            </w:r>
            <w:r>
              <w:t xml:space="preserve">, infra-as-code (Terraform)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Africa-proximate + optional multi-region DR (later)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ier-a-vs-tier-b-side-by-side"/>
    <w:p>
      <w:pPr>
        <w:pStyle w:val="Heading2"/>
      </w:pPr>
      <w:r>
        <w:rPr>
          <w:rFonts w:ascii="Calibri" w:hAnsi="Calibri"/>
          <w:color w:val="0A7B7B"/>
        </w:rPr>
        <w:t xml:space="preserve">3. Tier A vs Tier B — side by side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3"/>
        <w:gridCol w:w="3363"/>
        <w:gridCol w:w="33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A — Hardened Managed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B — Cloud-native 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Render (scaled) + Supabase Team + Cloudflare + Upstash + Sentry/Better Stack</w:t>
            </w:r>
          </w:p>
        </w:tc>
        <w:tc>
          <w:tcPr/>
          <w:p>
            <w:pPr>
              <w:pStyle w:val="Compact"/>
            </w:pPr>
            <w:r>
              <w:t xml:space="preserve">ECS Fargate + RDS/Aurora Multi-AZ + ElastiCache + CloudFront + WAF + Datadog/Grafana, on Terraform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 (Frankfurt/London)</w:t>
            </w:r>
            <w:r>
              <w:t xml:space="preserve"> </w:t>
            </w:r>
            <w:r>
              <w:t xml:space="preserve">+ Lagos CDN edge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af-south-1 (Cape Town)</w:t>
            </w:r>
            <w:r>
              <w:t xml:space="preserve"> </w:t>
            </w:r>
            <w:r>
              <w:t xml:space="preserve">+ Lagos edge — true African residency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Scales to</w:t>
            </w:r>
          </w:p>
        </w:tc>
        <w:tc>
          <w:tcPr/>
          <w:p>
            <w:pPr>
              <w:pStyle w:val="Compact"/>
            </w:pPr>
            <w:r>
              <w:t xml:space="preserve">Tens of thousands comfortably</w:t>
            </w:r>
          </w:p>
        </w:tc>
        <w:tc>
          <w:tcPr/>
          <w:p>
            <w:pPr>
              <w:pStyle w:val="Compact"/>
            </w:pPr>
            <w:r>
              <w:t xml:space="preserve">Millions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 burden</w:t>
            </w:r>
          </w:p>
        </w:tc>
        <w:tc>
          <w:tcPr/>
          <w:p>
            <w:pPr>
              <w:pStyle w:val="Compact"/>
            </w:pPr>
            <w:r>
              <w:t xml:space="preserve">Low (vendor-managed)</w:t>
            </w:r>
          </w:p>
        </w:tc>
        <w:tc>
          <w:tcPr/>
          <w:p>
            <w:pPr>
              <w:pStyle w:val="Compact"/>
            </w:pPr>
            <w:r>
              <w:t xml:space="preserve">Higher (you own the infra)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/ ISO fit</w:t>
            </w:r>
          </w:p>
        </w:tc>
        <w:tc>
          <w:tcPr/>
          <w:p>
            <w:pPr>
              <w:pStyle w:val="Compact"/>
            </w:pPr>
            <w:r>
              <w:t xml:space="preserve">Workable (rely on sub-processor reports)</w:t>
            </w:r>
          </w:p>
        </w:tc>
        <w:tc>
          <w:tcPr/>
          <w:p>
            <w:pPr>
              <w:pStyle w:val="Compact"/>
            </w:pPr>
            <w:r>
              <w:t xml:space="preserve">Stronger control &amp; evidence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effort</w:t>
            </w:r>
          </w:p>
        </w:tc>
        <w:tc>
          <w:tcPr/>
          <w:p>
            <w:pPr>
              <w:pStyle w:val="Compact"/>
            </w:pPr>
            <w:r>
              <w:t xml:space="preserve">~2–4 weeks</w:t>
            </w:r>
          </w:p>
        </w:tc>
        <w:tc>
          <w:tcPr/>
          <w:p>
            <w:pPr>
              <w:pStyle w:val="Compact"/>
            </w:pPr>
            <w:r>
              <w:t xml:space="preserve">~6–10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as</w:t>
            </w:r>
          </w:p>
        </w:tc>
        <w:tc>
          <w:tcPr/>
          <w:p>
            <w:pPr>
              <w:pStyle w:val="Compact"/>
            </w:pPr>
            <w:r>
              <w:t xml:space="preserve">Fast interim hardening</w:t>
            </w:r>
          </w:p>
        </w:tc>
        <w:tc>
          <w:tcPr/>
          <w:p>
            <w:pPr>
              <w:pStyle w:val="Compact"/>
            </w:pPr>
            <w:r>
              <w:t xml:space="preserve">The destination for your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Xcccfbd0553ad20cb9efb22b485db958e17f859f"/>
    <w:p>
      <w:pPr>
        <w:pStyle w:val="Heading2"/>
      </w:pPr>
      <w:r>
        <w:rPr>
          <w:rFonts w:ascii="Calibri" w:hAnsi="Calibri"/>
          <w:color w:val="0A7B7B"/>
        </w:rPr>
        <w:t xml:space="preserve">4. Monthly run-rate (infrastructure only) at ~50k members</w:t>
      </w:r>
    </w:p>
    <w:bookmarkStart w:id="14" w:name="tier-a-hardened-managed-eu-hosted"/>
    <w:p>
      <w:pPr>
        <w:pStyle w:val="Heading3"/>
      </w:pPr>
      <w:r>
        <w:rPr>
          <w:rFonts w:ascii="Calibri" w:hAnsi="Calibri"/>
          <w:color w:val="0A7B7B"/>
        </w:rPr>
        <w:t xml:space="preserve">Tier A — Hardened Managed (EU-hosted)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Est. 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API — 2–3 instances, autoscale + HA</w:t>
            </w:r>
          </w:p>
        </w:tc>
        <w:tc>
          <w:tcPr/>
          <w:p>
            <w:pPr>
              <w:pStyle w:val="Compact"/>
            </w:pPr>
            <w:r>
              <w:t xml:space="preserve">$200 – $500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  <w:r>
              <w:t xml:space="preserve"> </w:t>
            </w:r>
            <w:r>
              <w:rPr>
                <w:b/>
                <w:bCs/>
              </w:rPr>
              <w:t xml:space="preserve">Team</w:t>
            </w:r>
            <w:r>
              <w:t xml:space="preserve"> </w:t>
            </w:r>
            <w:r>
              <w:t xml:space="preserve">+ compute upgrade + read replica + PITR</w:t>
            </w:r>
          </w:p>
        </w:tc>
        <w:tc>
          <w:tcPr/>
          <w:p>
            <w:pPr>
              <w:pStyle w:val="Compact"/>
            </w:pPr>
            <w:r>
              <w:t xml:space="preserve">$700 – $1,400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Pro/Business (WAF, DDoS)</w:t>
            </w:r>
          </w:p>
        </w:tc>
        <w:tc>
          <w:tcPr/>
          <w:p>
            <w:pPr>
              <w:pStyle w:val="Compact"/>
            </w:pPr>
            <w:r>
              <w:t xml:space="preserve">$20 – $250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Upstash Redis</w:t>
            </w:r>
          </w:p>
        </w:tc>
        <w:tc>
          <w:tcPr/>
          <w:p>
            <w:pPr>
              <w:pStyle w:val="Compact"/>
            </w:pPr>
            <w:r>
              <w:t xml:space="preserve">$10 – $100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 (email)</w:t>
            </w:r>
          </w:p>
        </w:tc>
        <w:tc>
          <w:tcPr/>
          <w:p>
            <w:pPr>
              <w:pStyle w:val="Compact"/>
            </w:pPr>
            <w:r>
              <w:t xml:space="preserve">$20 – $90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(Sentry + Better Stack)</w:t>
            </w:r>
          </w:p>
        </w:tc>
        <w:tc>
          <w:tcPr/>
          <w:p>
            <w:pPr>
              <w:pStyle w:val="Compact"/>
            </w:pPr>
            <w:r>
              <w:t xml:space="preserve">$50 – $300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$1,200 – $2,500 / mo</w:t>
            </w:r>
          </w:p>
        </w:tc>
      </w:tr>
    </w:tbl>
    <w:bookmarkEnd w:id="14"/>
    <w:bookmarkStart w:id="15" w:name="X6c5ab8db4fc727428d941ea616ad326f7e7e3d3"/>
    <w:p>
      <w:pPr>
        <w:pStyle w:val="Heading3"/>
      </w:pPr>
      <w:r>
        <w:rPr>
          <w:rFonts w:ascii="Calibri" w:hAnsi="Calibri"/>
          <w:color w:val="0A7B7B"/>
        </w:rPr>
        <w:t xml:space="preserve">Tier B — Cloud-native AWS (af-south-1, ~20–30% region premium included)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Est. 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Fargate (2–3 tasks, multi-AZ) + ALB</w:t>
            </w:r>
          </w:p>
        </w:tc>
        <w:tc>
          <w:tcPr/>
          <w:p>
            <w:pPr>
              <w:pStyle w:val="Compact"/>
            </w:pPr>
            <w:r>
              <w:t xml:space="preserve">$130 – $350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RDS/Aurora PostgreSQL Multi-AZ (+ read replica)</w:t>
            </w:r>
          </w:p>
        </w:tc>
        <w:tc>
          <w:tcPr/>
          <w:p>
            <w:pPr>
              <w:pStyle w:val="Compact"/>
            </w:pPr>
            <w:r>
              <w:t xml:space="preserve">$300 – $700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ElastiCache Redis (multi-AZ)</w:t>
            </w:r>
          </w:p>
        </w:tc>
        <w:tc>
          <w:tcPr/>
          <w:p>
            <w:pPr>
              <w:pStyle w:val="Compact"/>
            </w:pPr>
            <w:r>
              <w:t xml:space="preserve">$60 – $150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+ CloudFront (Lagos edge)</w:t>
            </w:r>
          </w:p>
        </w:tc>
        <w:tc>
          <w:tcPr/>
          <w:p>
            <w:pPr>
              <w:pStyle w:val="Compact"/>
            </w:pPr>
            <w:r>
              <w:t xml:space="preserve">$30 – $150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WAF + Shield Standard</w:t>
            </w:r>
          </w:p>
        </w:tc>
        <w:tc>
          <w:tcPr/>
          <w:p>
            <w:pPr>
              <w:pStyle w:val="Compact"/>
            </w:pPr>
            <w:r>
              <w:t xml:space="preserve">$30 – $100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 gateway, Secrets Manager, data transfer</w:t>
            </w:r>
          </w:p>
        </w:tc>
        <w:tc>
          <w:tcPr/>
          <w:p>
            <w:pPr>
              <w:pStyle w:val="Compact"/>
            </w:pPr>
            <w:r>
              <w:t xml:space="preserve">$100 – $250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(Datadog, or cheaper self-hosted Grafana)</w:t>
            </w:r>
          </w:p>
        </w:tc>
        <w:tc>
          <w:tcPr/>
          <w:p>
            <w:pPr>
              <w:pStyle w:val="Compact"/>
            </w:pPr>
            <w:r>
              <w:t xml:space="preserve">$200 – $600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$1,500 – $3,000 / mo</w:t>
            </w:r>
          </w:p>
        </w:tc>
      </w:tr>
    </w:tbl>
    <w:p>
      <w:pPr>
        <w:pStyle w:val="BlockText"/>
      </w:pPr>
      <w:r>
        <w:rPr>
          <w:b/>
          <w:bCs/>
        </w:rPr>
        <w:t xml:space="preserve">At 50k scale the two run-rates are close (~$1.2k–$3k/mo).</w:t>
      </w:r>
      <w:r>
        <w:t xml:space="preserve"> </w:t>
      </w:r>
      <w:r>
        <w:t xml:space="preserve">The real difference is</w:t>
      </w:r>
      <w:r>
        <w:t xml:space="preserve"> </w:t>
      </w:r>
      <w:r>
        <w:rPr>
          <w:b/>
          <w:bCs/>
        </w:rPr>
        <w:t xml:space="preserve">setup cost, ops burden, residency, and headroom</w:t>
      </w:r>
      <w:r>
        <w:t xml:space="preserve"> </w:t>
      </w:r>
      <w:r>
        <w:t xml:space="preserve">— not the monthly server bill.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bf9bb2b6f893c0a1925b2449c90bb45912f4b89"/>
    <w:p>
      <w:pPr>
        <w:pStyle w:val="Heading2"/>
      </w:pPr>
      <w:r>
        <w:rPr>
          <w:rFonts w:ascii="Calibri" w:hAnsi="Calibri"/>
          <w:color w:val="0A7B7B"/>
        </w:rPr>
        <w:t xml:space="preserve">5. The costs that dominate at scale (usage-based — often bigger than servers)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242"/>
        <w:gridCol w:w="43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cost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Order of magnitude at ~50k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t xml:space="preserve">per-template-message (Meta), Nigeria</w:t>
            </w:r>
          </w:p>
        </w:tc>
        <w:tc>
          <w:tcPr/>
          <w:p>
            <w:pPr>
              <w:pStyle w:val="Compact"/>
            </w:pPr>
            <w:r>
              <w:t xml:space="preserve">~$0.01–$0.05 each →</w:t>
            </w:r>
            <w:r>
              <w:t xml:space="preserve"> </w:t>
            </w:r>
            <w:r>
              <w:rPr>
                <w:b/>
                <w:bCs/>
              </w:rPr>
              <w:t xml:space="preserve">$1k–$10k/mo</w:t>
            </w:r>
            <w:r>
              <w:t xml:space="preserve">, volume-driven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 / OTP</w:t>
            </w:r>
          </w:p>
        </w:tc>
        <w:tc>
          <w:tcPr/>
          <w:p>
            <w:pPr>
              <w:pStyle w:val="Compact"/>
            </w:pPr>
            <w:r>
              <w:t xml:space="preserve">per-message via Termii/Africa’s Talking/telco</w:t>
            </w:r>
          </w:p>
        </w:tc>
        <w:tc>
          <w:tcPr/>
          <w:p>
            <w:pPr>
              <w:pStyle w:val="Compact"/>
            </w:pPr>
            <w:r>
              <w:t xml:space="preserve">local routes cheap (~$0.002–0.003); intl OTP pricier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USSD sessions</w:t>
            </w:r>
          </w:p>
        </w:tc>
        <w:tc>
          <w:tcPr/>
          <w:p>
            <w:pPr>
              <w:pStyle w:val="Compact"/>
            </w:pPr>
            <w:r>
              <w:t xml:space="preserve">telco / Africa’s Talking per-session + shortcode rental</w:t>
            </w:r>
          </w:p>
        </w:tc>
        <w:tc>
          <w:tcPr/>
          <w:p>
            <w:pPr>
              <w:pStyle w:val="Compact"/>
            </w:pPr>
            <w:r>
              <w:t xml:space="preserve">volume-driven; possible revenue-share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(AI triage)</w:t>
            </w:r>
          </w:p>
        </w:tc>
        <w:tc>
          <w:tcPr/>
          <w:p>
            <w:pPr>
              <w:pStyle w:val="Compact"/>
            </w:pPr>
            <w:r>
              <w:t xml:space="preserve">per-token usage</w:t>
            </w:r>
          </w:p>
        </w:tc>
        <w:tc>
          <w:tcPr/>
          <w:p>
            <w:pPr>
              <w:pStyle w:val="Compact"/>
            </w:pPr>
            <w:r>
              <w:t xml:space="preserve">~$200–$1,500/mo at moderate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Paystack ~1.5% / Stripe ~2.9%</w:t>
            </w:r>
          </w:p>
        </w:tc>
        <w:tc>
          <w:tcPr/>
          <w:p>
            <w:pPr>
              <w:pStyle w:val="Compact"/>
            </w:pPr>
            <w:r>
              <w:t xml:space="preserve">% of money moved (pass-through)</w:t>
            </w:r>
          </w:p>
        </w:tc>
      </w:tr>
    </w:tbl>
    <w:p>
      <w:pPr>
        <w:pStyle w:val="BodyText"/>
      </w:pPr>
      <w:r>
        <w:rPr>
          <w:b/>
          <w:bCs/>
        </w:rPr>
        <w:t xml:space="preserve">Lever:</w:t>
      </w:r>
      <w:r>
        <w:t xml:space="preserve"> </w:t>
      </w:r>
      <w:r>
        <w:t xml:space="preserve">prefer cheaper</w:t>
      </w:r>
      <w:r>
        <w:t xml:space="preserve"> </w:t>
      </w:r>
      <w:r>
        <w:rPr>
          <w:b/>
          <w:bCs/>
        </w:rPr>
        <w:t xml:space="preserve">utility/auth</w:t>
      </w:r>
      <w:r>
        <w:t xml:space="preserve"> </w:t>
      </w:r>
      <w:r>
        <w:t xml:space="preserve">WhatsApp templates over marketing ones, batch</w:t>
      </w:r>
      <w:r>
        <w:t xml:space="preserve"> </w:t>
      </w:r>
      <w:r>
        <w:t xml:space="preserve">notifications, and route OTP through local Nigerian SMS aggregators to control this line.</w:t>
      </w:r>
    </w:p>
    <w:p>
      <w:r>
        <w:pict>
          <v:rect style="width:0;height:1.5pt" o:hralign="center" o:hrstd="t" o:hr="t"/>
        </w:pict>
      </w:r>
    </w:p>
    <w:bookmarkEnd w:id="17"/>
    <w:bookmarkStart w:id="18" w:name="one-time-setup-costs"/>
    <w:p>
      <w:pPr>
        <w:pStyle w:val="Heading2"/>
      </w:pPr>
      <w:r>
        <w:rPr>
          <w:rFonts w:ascii="Calibri" w:hAnsi="Calibri"/>
          <w:color w:val="0A7B7B"/>
        </w:rPr>
        <w:t xml:space="preserve">6. One-time setup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Tier A</w:t>
            </w:r>
          </w:p>
        </w:tc>
        <w:tc>
          <w:tcPr/>
          <w:p>
            <w:pPr>
              <w:pStyle w:val="Compact"/>
            </w:pPr>
            <w:r>
              <w:t xml:space="preserve">Tier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build-out / IaC / CI/CD / staging / monitoring / runbooks</w:t>
            </w:r>
          </w:p>
        </w:tc>
        <w:tc>
          <w:tcPr/>
          <w:p>
            <w:pPr>
              <w:pStyle w:val="Compact"/>
            </w:pPr>
            <w:r>
              <w:t xml:space="preserve">$8k – $25k (~2–4 wks)</w:t>
            </w:r>
          </w:p>
        </w:tc>
        <w:tc>
          <w:tcPr/>
          <w:p>
            <w:pPr>
              <w:pStyle w:val="Compact"/>
            </w:pPr>
            <w:r>
              <w:t xml:space="preserve">$30k – $70k (~6–10 wks)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 (Supabase → target)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included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&amp; failover testing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</w:tbl>
    <w:p>
      <w:pPr>
        <w:pStyle w:val="BodyText"/>
      </w:pPr>
      <w:r>
        <w:t xml:space="preserve">(Lower end assumes we build it together; upper end assumes a contract DevOps engineer.)</w:t>
      </w:r>
    </w:p>
    <w:p>
      <w:r>
        <w:pict>
          <v:rect style="width:0;height:1.5pt" o:hralign="center" o:hrstd="t" o:hr="t"/>
        </w:pict>
      </w:r>
    </w:p>
    <w:bookmarkEnd w:id="18"/>
    <w:bookmarkStart w:id="19" w:name="soc-2-iso-27001-security-year-one"/>
    <w:p>
      <w:pPr>
        <w:pStyle w:val="Heading2"/>
      </w:pPr>
      <w:r>
        <w:rPr>
          <w:rFonts w:ascii="Calibri" w:hAnsi="Calibri"/>
          <w:color w:val="0A7B7B"/>
        </w:rPr>
        <w:t xml:space="preserve">7. SOC 2 / ISO 27001 + security (year one)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Year-one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automation platform (Vanta / Drata / Secureframe)</w:t>
            </w:r>
          </w:p>
        </w:tc>
        <w:tc>
          <w:tcPr/>
          <w:p>
            <w:pPr>
              <w:pStyle w:val="Compact"/>
            </w:pPr>
            <w:r>
              <w:t xml:space="preserve">$7k – $25k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Type II auditor (Type I first, then Type II)</w:t>
            </w:r>
          </w:p>
        </w:tc>
        <w:tc>
          <w:tcPr/>
          <w:p>
            <w:pPr>
              <w:pStyle w:val="Compact"/>
            </w:pPr>
            <w:r>
              <w:t xml:space="preserve">$12k – $30k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27001 certification body audit</w:t>
            </w:r>
          </w:p>
        </w:tc>
        <w:tc>
          <w:tcPr/>
          <w:p>
            <w:pPr>
              <w:pStyle w:val="Compact"/>
            </w:pPr>
            <w:r>
              <w:t xml:space="preserve">$10k – $25k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Penetration test</w:t>
            </w:r>
          </w:p>
        </w:tc>
        <w:tc>
          <w:tcPr/>
          <w:p>
            <w:pPr>
              <w:pStyle w:val="Compact"/>
            </w:pPr>
            <w:r>
              <w:t xml:space="preserve">$5k – $20k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vCISO / consultant (optional, if no in-house security lead)</w:t>
            </w:r>
          </w:p>
        </w:tc>
        <w:tc>
          <w:tcPr/>
          <w:p>
            <w:pPr>
              <w:pStyle w:val="Compact"/>
            </w:pPr>
            <w:r>
              <w:t xml:space="preserve">$2k – $6k 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Year-one total (excl. vCISO)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$40k – $90k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Recurring thereafter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$20k – $40k / yr</w:t>
            </w:r>
          </w:p>
        </w:tc>
      </w:tr>
    </w:tbl>
    <w:p>
      <w:pPr>
        <w:pStyle w:val="BlockText"/>
      </w:pPr>
      <w:r>
        <w:t xml:space="preserve">⏱</w:t>
      </w:r>
      <w:r>
        <w:t xml:space="preserve"> </w:t>
      </w:r>
      <w:r>
        <w:rPr>
          <w:b/>
          <w:bCs/>
        </w:rPr>
        <w:t xml:space="preserve">Timeline note:</w:t>
      </w:r>
      <w:r>
        <w:t xml:space="preserve"> </w:t>
      </w:r>
      <w:r>
        <w:t xml:space="preserve">SOC 2</w:t>
      </w:r>
      <w:r>
        <w:t xml:space="preserve"> </w:t>
      </w:r>
      <w:r>
        <w:rPr>
          <w:b/>
          <w:bCs/>
        </w:rPr>
        <w:t xml:space="preserve">Type II</w:t>
      </w:r>
      <w:r>
        <w:t xml:space="preserve"> </w:t>
      </w:r>
      <w:r>
        <w:t xml:space="preserve">requires an observation window (typically</w:t>
      </w:r>
      <w:r>
        <w:t xml:space="preserve"> </w:t>
      </w:r>
      <w:r>
        <w:rPr>
          <w:b/>
          <w:bCs/>
        </w:rPr>
        <w:t xml:space="preserve">3–12 months</w:t>
      </w:r>
      <w:r>
        <w:t xml:space="preserve">). Start the controls + tooling early; certification follows the window.</w:t>
      </w:r>
      <w:r>
        <w:t xml:space="preserve"> </w:t>
      </w:r>
      <w:r>
        <w:t xml:space="preserve">ISO 27001 similarly runs a Stage 1 + Stage 2 audit over a few months.</w:t>
      </w:r>
    </w:p>
    <w:p>
      <w:r>
        <w:pict>
          <v:rect style="width:0;height:1.5pt" o:hralign="center" o:hrstd="t" o:hr="t"/>
        </w:pict>
      </w:r>
    </w:p>
    <w:bookmarkEnd w:id="19"/>
    <w:bookmarkStart w:id="20" w:name="ongoing-people-ops"/>
    <w:p>
      <w:pPr>
        <w:pStyle w:val="Heading2"/>
      </w:pPr>
      <w:r>
        <w:rPr>
          <w:rFonts w:ascii="Calibri" w:hAnsi="Calibri"/>
          <w:color w:val="0A7B7B"/>
        </w:rPr>
        <w:t xml:space="preserve">8. Ongoing people / 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52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Tier A</w:t>
            </w:r>
          </w:p>
        </w:tc>
        <w:tc>
          <w:tcPr/>
          <w:p>
            <w:pPr>
              <w:pStyle w:val="Compact"/>
            </w:pPr>
            <w:r>
              <w:t xml:space="preserve">Tier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/ SRE coverage</w:t>
            </w:r>
          </w:p>
        </w:tc>
        <w:tc>
          <w:tcPr/>
          <w:p>
            <w:pPr>
              <w:pStyle w:val="Compact"/>
            </w:pPr>
            <w:r>
              <w:t xml:space="preserve">light — fractional, a few hrs/mo ($0–$2k/mo)</w:t>
            </w:r>
          </w:p>
        </w:tc>
        <w:tc>
          <w:tcPr/>
          <w:p>
            <w:pPr>
              <w:pStyle w:val="Compact"/>
            </w:pPr>
            <w:r>
              <w:t xml:space="preserve">real coverage — fractional $2k–$6k/mo or a hire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</w:tbl>
    <w:p>
      <w:pPr>
        <w:pStyle w:val="BodyText"/>
      </w:pPr>
      <w:r>
        <w:t xml:space="preserve">People are frequently the</w:t>
      </w:r>
      <w:r>
        <w:t xml:space="preserve"> </w:t>
      </w:r>
      <w:r>
        <w:rPr>
          <w:b/>
          <w:bCs/>
        </w:rPr>
        <w:t xml:space="preserve">single largest real line item</w:t>
      </w:r>
      <w:r>
        <w:t xml:space="preserve"> </w:t>
      </w:r>
      <w:r>
        <w:t xml:space="preserve">once you’re live.</w:t>
      </w:r>
    </w:p>
    <w:p>
      <w:r>
        <w:pict>
          <v:rect style="width:0;height:1.5pt" o:hralign="center" o:hrstd="t" o:hr="t"/>
        </w:pict>
      </w:r>
    </w:p>
    <w:bookmarkEnd w:id="20"/>
    <w:bookmarkStart w:id="22" w:name="recommended-path-first-year-budget"/>
    <w:p>
      <w:pPr>
        <w:pStyle w:val="Heading2"/>
      </w:pPr>
      <w:r>
        <w:rPr>
          <w:rFonts w:ascii="Calibri" w:hAnsi="Calibri"/>
          <w:color w:val="0A7B7B"/>
        </w:rPr>
        <w:t xml:space="preserve">9. Recommended path &amp; first-year budget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b/>
          <w:bCs/>
        </w:rPr>
        <w:t xml:space="preserve">Africa residency + SOC 2/ISO are firm</w:t>
      </w:r>
      <w:r>
        <w:t xml:space="preserve">, the destination is</w:t>
      </w:r>
      <w:r>
        <w:t xml:space="preserve"> </w:t>
      </w:r>
      <w:r>
        <w:rPr>
          <w:b/>
          <w:bCs/>
        </w:rPr>
        <w:t xml:space="preserve">Tier B (AWS af-south-1)</w:t>
      </w:r>
      <w:r>
        <w:t xml:space="preserve">.</w:t>
      </w:r>
      <w:r>
        <w:t xml:space="preserve"> </w:t>
      </w:r>
      <w:r>
        <w:t xml:space="preserve">To avoid building twice, go cloud-native but keep it</w:t>
      </w:r>
      <w:r>
        <w:t xml:space="preserve"> </w:t>
      </w:r>
      <w:r>
        <w:rPr>
          <w:b/>
          <w:bCs/>
        </w:rPr>
        <w:t xml:space="preserve">right-sized for 50k</w:t>
      </w:r>
      <w:r>
        <w:t xml:space="preserve">, and layer</w:t>
      </w:r>
      <w:r>
        <w:t xml:space="preserve"> </w:t>
      </w:r>
      <w:r>
        <w:t xml:space="preserve">compliance over a window rather than all at once.</w:t>
      </w:r>
    </w:p>
    <w:p>
      <w:pPr>
        <w:pStyle w:val="BodyText"/>
      </w:pPr>
      <w:r>
        <w:rPr>
          <w:b/>
          <w:bCs/>
        </w:rPr>
        <w:t xml:space="preserve">Phase 1 — Reliability foundation (now, ~2–4 wks):</w:t>
      </w:r>
      <w:r>
        <w:t xml:space="preserve"> </w:t>
      </w:r>
      <w:r>
        <w:t xml:space="preserve">HA database + PITR, ≥2 API</w:t>
      </w:r>
      <w:r>
        <w:t xml:space="preserve"> </w:t>
      </w:r>
      <w:r>
        <w:t xml:space="preserve">instances + load balancer, Cloudflare WAF, CI/CD + staging, monitoring + alerting, a job</w:t>
      </w:r>
      <w:r>
        <w:t xml:space="preserve"> </w:t>
      </w:r>
      <w:r>
        <w:t xml:space="preserve">queue.</w:t>
      </w:r>
      <w:r>
        <w:t xml:space="preserve"> </w:t>
      </w:r>
      <w:r>
        <w:rPr>
          <w:i/>
          <w:iCs/>
        </w:rPr>
        <w:t xml:space="preserve">Biggest reliability gain per dollar.</w:t>
      </w:r>
      <w:r>
        <w:t xml:space="preserve"> </w:t>
      </w:r>
      <w:r>
        <w:t xml:space="preserve">Can start on the managed stack for speed.</w:t>
      </w:r>
    </w:p>
    <w:p>
      <w:pPr>
        <w:pStyle w:val="BodyText"/>
      </w:pPr>
      <w:r>
        <w:rPr>
          <w:b/>
          <w:bCs/>
        </w:rPr>
        <w:t xml:space="preserve">Phase 2 — Cloud-native cutover (when procurement/scale demands, ~6–10 wks):</w:t>
      </w:r>
      <w:r>
        <w:t xml:space="preserve"> </w:t>
      </w:r>
      <w:r>
        <w:t xml:space="preserve">Terraform</w:t>
      </w:r>
      <w:r>
        <w:t xml:space="preserve"> </w:t>
      </w:r>
      <w:r>
        <w:t xml:space="preserve">on AWS af-south-1, ECS + RDS Multi-AZ + ElastiCache, migrate data, load-test, runbooks.</w:t>
      </w:r>
    </w:p>
    <w:p>
      <w:pPr>
        <w:pStyle w:val="BodyText"/>
      </w:pPr>
      <w:r>
        <w:rPr>
          <w:b/>
          <w:bCs/>
        </w:rPr>
        <w:t xml:space="preserve">Phase 3 — Compliance window (start in parallel with Phase 2):</w:t>
      </w:r>
      <w:r>
        <w:t xml:space="preserve"> </w:t>
      </w:r>
      <w:r>
        <w:t xml:space="preserve">Vanta/Drata, pen test,</w:t>
      </w:r>
      <w:r>
        <w:t xml:space="preserve"> </w:t>
      </w:r>
      <w:r>
        <w:t xml:space="preserve">SOC 2 Type I → Type II, ISO 27001. Budget the 3–12 month observation window.</w:t>
      </w:r>
    </w:p>
    <w:p>
      <w:pPr>
        <w:pStyle w:val="BodyText"/>
      </w:pPr>
      <w:r>
        <w:rPr>
          <w:b/>
          <w:bCs/>
        </w:rPr>
        <w:t xml:space="preserve">Phase 4 — Multi-region DR (only if a 99.99% SLA is contractually required).</w:t>
      </w:r>
    </w:p>
    <w:bookmarkStart w:id="21" w:name="Xa84b1c48d94746b3984bfd1fe682769ede1d53f"/>
    <w:p>
      <w:pPr>
        <w:pStyle w:val="Heading3"/>
      </w:pPr>
      <w:r>
        <w:rPr>
          <w:rFonts w:ascii="Calibri" w:hAnsi="Calibri"/>
          <w:color w:val="0A7B7B"/>
        </w:rPr>
        <w:t xml:space="preserve">Indicative year-one all-in (recommended Tier B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Year-one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build-out / setup</w:t>
            </w:r>
          </w:p>
        </w:tc>
        <w:tc>
          <w:tcPr/>
          <w:p>
            <w:pPr>
              <w:pStyle w:val="Compact"/>
            </w:pPr>
            <w:r>
              <w:t xml:space="preserve">$30k – $70k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run-rate (~$2k–$3k/mo × 12)</w:t>
            </w:r>
          </w:p>
        </w:tc>
        <w:tc>
          <w:tcPr/>
          <w:p>
            <w:pPr>
              <w:pStyle w:val="Compact"/>
            </w:pPr>
            <w:r>
              <w:t xml:space="preserve">$24k – $36k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+ ISO + pen test</w:t>
            </w:r>
          </w:p>
        </w:tc>
        <w:tc>
          <w:tcPr/>
          <w:p>
            <w:pPr>
              <w:pStyle w:val="Compact"/>
            </w:pPr>
            <w:r>
              <w:t xml:space="preserve">$40k – $90k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/ SRE (~$2k–$6k/mo × 12)</w:t>
            </w:r>
          </w:p>
        </w:tc>
        <w:tc>
          <w:tcPr/>
          <w:p>
            <w:pPr>
              <w:pStyle w:val="Compact"/>
            </w:pPr>
            <w:r>
              <w:t xml:space="preserve">$24k – $72k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(excl. variable comms &amp; payments)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$118k – $268k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comms (WhatsApp/SMS/USSD) + AI</w:t>
            </w:r>
          </w:p>
        </w:tc>
        <w:tc>
          <w:tcPr/>
          <w:p>
            <w:pPr>
              <w:pStyle w:val="Compact"/>
            </w:pPr>
            <w:r>
              <w:t xml:space="preserve">usage-driven; $18k–$130k+/yr at volume</w:t>
            </w:r>
          </w:p>
        </w:tc>
      </w:tr>
    </w:tbl>
    <w:p>
      <w:pPr>
        <w:pStyle w:val="BlockText"/>
      </w:pPr>
      <w:r>
        <w:t xml:space="preserve">The headline: at 50k members,</w:t>
      </w:r>
      <w:r>
        <w:t xml:space="preserve"> </w:t>
      </w:r>
      <w:r>
        <w:rPr>
          <w:b/>
          <w:bCs/>
        </w:rPr>
        <w:t xml:space="preserve">servers are the small part</w:t>
      </w:r>
      <w:r>
        <w:t xml:space="preserve">. Setup, compliance, people,</w:t>
      </w:r>
      <w:r>
        <w:t xml:space="preserve"> </w:t>
      </w:r>
      <w:r>
        <w:t xml:space="preserve">and per-message comms are what move the budget — plan around those.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ecision-summary"/>
    <w:p>
      <w:pPr>
        <w:pStyle w:val="Heading2"/>
      </w:pPr>
      <w:r>
        <w:rPr>
          <w:rFonts w:ascii="Calibri" w:hAnsi="Calibri"/>
          <w:color w:val="0A7B7B"/>
        </w:rPr>
        <w:t xml:space="preserve">10. Decision summary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 reliability now</w:t>
      </w:r>
      <w:r>
        <w:t xml:space="preserve"> </w:t>
      </w:r>
      <w:r>
        <w:t xml:space="preserve">on a hardened stack (Phase 1) — quick win, low cost.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Land on AWS af-south-1</w:t>
      </w:r>
      <w:r>
        <w:t xml:space="preserve"> </w:t>
      </w:r>
      <w:r>
        <w:t xml:space="preserve">(Tier B) for residency + SOC 2 fit — don’t over-invest in EU managed.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the compliance window early</w:t>
      </w:r>
      <w:r>
        <w:t xml:space="preserve"> </w:t>
      </w:r>
      <w:r>
        <w:t xml:space="preserve">— it’s gated by time, not money.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Engineer comms costs</w:t>
      </w:r>
      <w:r>
        <w:t xml:space="preserve"> </w:t>
      </w:r>
      <w:r>
        <w:t xml:space="preserve">(WhatsApp template type, local SMS routing) — the real scale lever.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Defer multi-region</w:t>
      </w:r>
      <w:r>
        <w:t xml:space="preserve"> </w:t>
      </w:r>
      <w:r>
        <w:t xml:space="preserve">until a contract demands 99.99%.</w:t>
      </w:r>
    </w:p>
    <w:bookmarkEnd w:id="23"/>
    <w:bookmarkEnd w:id="24"/>
    <w:p>
      <w:r>
        <w:br w:type="page"/>
      </w:r>
    </w:p>
    <w:p>
      <w:r>
        <w:rPr>
          <w:rFonts w:ascii="Calibri" w:hAnsi="Calibri"/>
          <w:b/>
          <w:color w:val="0A7B7B"/>
          <w:sz w:val="36"/>
        </w:rPr>
        <w:t>Architecture diagrams</w:t>
      </w:r>
    </w:p>
    <w:p>
      <w:r>
        <w:rPr>
          <w:rFonts w:ascii="Calibri" w:hAnsi="Calibri"/>
          <w:b/>
          <w:color w:val="0A7B7B"/>
          <w:sz w:val="23"/>
        </w:rPr>
        <w:t>Target production architecture (Tier B, AWS af-south-1)</w:t>
      </w:r>
    </w:p>
    <w:p>
      <w:pPr>
        <w:jc w:val="center"/>
      </w:pPr>
      <w:r>
        <w:drawing>
          <wp:inline>
            <wp:extent cx="5852160" cy="3513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arget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31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A7B7B"/>
          <w:sz w:val="23"/>
        </w:rPr>
        <w:t>Fault tolerance &amp; failover (multi-AZ)</w:t>
      </w:r>
    </w:p>
    <w:p>
      <w:pPr>
        <w:jc w:val="center"/>
      </w:pPr>
      <w:r>
        <w:drawing>
          <wp:inline>
            <wp:extent cx="5852160" cy="3513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ault-toler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33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A7B7B"/>
          <w:sz w:val="23"/>
        </w:rPr>
        <w:t>Phased roadmap</w:t>
      </w:r>
    </w:p>
    <w:p>
      <w:pPr>
        <w:jc w:val="center"/>
      </w:pPr>
      <w:r>
        <w:drawing>
          <wp:inline>
            <wp:extent cx="5852160" cy="17947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hased-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947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2026-06-16T11:34:43Z</dcterms:created>
  <dcterms:modified xsi:type="dcterms:W3CDTF">2026-06-16T11:34:43Z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