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9072"/>
      </w:tblGrid>
      <w:tr>
        <w:trPr>
          <w:trHeight w:val="8000" w:hRule="auto"/>
          <w:jc w:val="center"/>
        </w:trPr>
        <w:tc>
          <w:tcPr>
            <w:tcW w:w="9072" w:type="dxa"/>
            <w:tcBorders>
              <w:top w:val="single" w:color="000000" w:sz="0"/>
              <w:left w:val="single" w:color="000000" w:sz="0"/>
              <w:bottom w:val="single" w:color="000000" w:sz="0"/>
              <w:right w:val="single" w:color="000000" w:sz="0"/>
            </w:tcBorders>
            <w:shd w:color="auto" w:fill="0a2540"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120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72"/>
                <w:shd w:fill="auto" w:val="clear"/>
              </w:rPr>
              <w:t xml:space="preserve">CASPAA</w:t>
            </w:r>
          </w:p>
          <w:p>
            <w:pPr>
              <w:spacing w:before="0" w:after="48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34D399"/>
                <w:spacing w:val="0"/>
                <w:position w:val="0"/>
                <w:sz w:val="18"/>
                <w:shd w:fill="auto" w:val="clear"/>
              </w:rPr>
              <w:t xml:space="preserve">STRATEGIC DOCUMENT  ·  CONFIDENTIAL</w: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56"/>
                <w:shd w:fill="auto" w:val="clear"/>
              </w:rPr>
              <w:t xml:space="preserve">Feature Gap Analysis &amp;</w:t>
              <w:br/>
              <w:t xml:space="preserve">Competitive Positioning</w:t>
            </w:r>
          </w:p>
          <w:p>
            <w:pPr>
              <w:spacing w:before="32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B0C4DE"/>
                <w:spacing w:val="0"/>
                <w:position w:val="0"/>
                <w:sz w:val="22"/>
                <w:shd w:fill="auto" w:val="clear"/>
              </w:rPr>
              <w:t xml:space="preserve">A structured assessment of CASPAA's current capabilities versus the EDVES benchmark,</w:t>
              <w:br/>
              <w:t xml:space="preserve">with strategic recommendations for the next product phase.</w:t>
            </w:r>
          </w:p>
          <w:p>
            <w:pPr>
              <w:spacing w:before="800" w:after="200" w:line="276"/>
              <w:ind w:right="0" w:left="0" w:firstLine="0"/>
              <w:jc w:val="center"/>
              <w:rPr>
                <w:rFonts w:ascii="Calibri" w:hAnsi="Calibri" w:cs="Calibri" w:eastAsia="Calibri"/>
                <w:spacing w:val="0"/>
                <w:position w:val="0"/>
                <w:shd w:fill="auto" w:val="clear"/>
              </w:rPr>
            </w:pPr>
            <w:r>
              <w:rPr>
                <w:rFonts w:ascii="Calibri" w:hAnsi="Calibri" w:cs="Calibri" w:eastAsia="Calibri"/>
                <w:color w:val="90A8C0"/>
                <w:spacing w:val="0"/>
                <w:position w:val="0"/>
                <w:sz w:val="18"/>
                <w:shd w:fill="auto" w:val="clear"/>
              </w:rPr>
              <w:t xml:space="preserve">Prepared By: Product &amp; Engineering     |     Date: June 2026     |     Version: 1.0     |     Audience: Stakeholders</w:t>
            </w:r>
          </w:p>
        </w:tc>
      </w:tr>
    </w:tbl>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2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18"/>
          <w:shd w:fill="auto" w:val="clear"/>
        </w:rPr>
        <w:t xml:space="preserve">01 </w:t>
      </w:r>
      <w:r>
        <w:rPr>
          <w:rFonts w:ascii="Calibri" w:hAnsi="Calibri" w:cs="Calibri" w:eastAsia="Calibri"/>
          <w:b/>
          <w:color w:val="0D6E3F"/>
          <w:spacing w:val="0"/>
          <w:position w:val="0"/>
          <w:sz w:val="18"/>
          <w:shd w:fill="auto" w:val="clear"/>
        </w:rPr>
        <w:t xml:space="preserve">—</w:t>
      </w:r>
      <w:r>
        <w:rPr>
          <w:rFonts w:ascii="Calibri" w:hAnsi="Calibri" w:cs="Calibri" w:eastAsia="Calibri"/>
          <w:b/>
          <w:color w:val="0D6E3F"/>
          <w:spacing w:val="0"/>
          <w:position w:val="0"/>
          <w:sz w:val="18"/>
          <w:shd w:fill="auto" w:val="clear"/>
        </w:rPr>
        <w:t xml:space="preserve"> OVERVIEW</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44"/>
          <w:shd w:fill="auto" w:val="clear"/>
        </w:rPr>
        <w:t xml:space="preserve">Executive Summary</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6B7280"/>
          <w:spacing w:val="0"/>
          <w:position w:val="0"/>
          <w:sz w:val="22"/>
          <w:shd w:fill="auto" w:val="clear"/>
        </w:rPr>
        <w:t xml:space="preserve">This document benchmarks CASPAA against EDVES </w:t>
      </w:r>
      <w:r>
        <w:rPr>
          <w:rFonts w:ascii="Calibri" w:hAnsi="Calibri" w:cs="Calibri" w:eastAsia="Calibri"/>
          <w:color w:val="6B7280"/>
          <w:spacing w:val="0"/>
          <w:position w:val="0"/>
          <w:sz w:val="22"/>
          <w:shd w:fill="auto" w:val="clear"/>
        </w:rPr>
        <w:t xml:space="preserve">—</w:t>
      </w:r>
      <w:r>
        <w:rPr>
          <w:rFonts w:ascii="Calibri" w:hAnsi="Calibri" w:cs="Calibri" w:eastAsia="Calibri"/>
          <w:color w:val="6B7280"/>
          <w:spacing w:val="0"/>
          <w:position w:val="0"/>
          <w:sz w:val="22"/>
          <w:shd w:fill="auto" w:val="clear"/>
        </w:rPr>
        <w:t xml:space="preserve"> one of the leading school management platforms in Africa with 1,800+ schools across 11 countries. The goal is to identify where CASPAA leads, where it lags, and what to build next to win the market.</w:t>
      </w:r>
    </w:p>
    <w:tbl>
      <w:tblPr/>
      <w:tblGrid>
        <w:gridCol w:w="3024"/>
        <w:gridCol w:w="3024"/>
        <w:gridCol w:w="3024"/>
      </w:tblGrid>
      <w:tr>
        <w:trPr>
          <w:trHeight w:val="1" w:hRule="atLeast"/>
          <w:jc w:val="center"/>
        </w:trPr>
        <w:tc>
          <w:tcPr>
            <w:tcW w:w="3024" w:type="dxa"/>
            <w:tcBorders>
              <w:top w:val="single" w:color="000000" w:sz="0"/>
              <w:left w:val="single" w:color="000000" w:sz="0"/>
              <w:bottom w:val="single" w:color="000000" w:sz="0"/>
              <w:right w:val="single" w:color="000000" w:sz="0"/>
            </w:tcBorders>
            <w:shd w:color="auto" w:fill="d1fae5" w:val="clear"/>
            <w:tcMar>
              <w:left w:w="108" w:type="dxa"/>
              <w:right w:w="108" w:type="dxa"/>
            </w:tcMar>
            <w:vAlign w:val="top"/>
          </w:tcPr>
          <w:p>
            <w:pPr>
              <w:spacing w:before="20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64"/>
                <w:shd w:fill="auto" w:val="clear"/>
              </w:rPr>
              <w:t xml:space="preserve">6</w: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2"/>
                <w:shd w:fill="auto" w:val="clear"/>
              </w:rPr>
              <w:t xml:space="preserve">Unique Advantages</w:t>
            </w:r>
          </w:p>
          <w:p>
            <w:pPr>
              <w:spacing w:before="0" w:after="200" w:line="276"/>
              <w:ind w:right="0" w:left="0" w:firstLine="0"/>
              <w:jc w:val="center"/>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Features CASPAA has that EDVES does not offer </w:t>
            </w:r>
            <w:r>
              <w:rPr>
                <w:rFonts w:ascii="Calibri" w:hAnsi="Calibri" w:cs="Calibri" w:eastAsia="Calibri"/>
                <w:color w:val="6B7280"/>
                <w:spacing w:val="0"/>
                <w:position w:val="0"/>
                <w:sz w:val="18"/>
                <w:shd w:fill="auto" w:val="clear"/>
              </w:rPr>
              <w:t xml:space="preserve">—</w:t>
            </w:r>
            <w:r>
              <w:rPr>
                <w:rFonts w:ascii="Calibri" w:hAnsi="Calibri" w:cs="Calibri" w:eastAsia="Calibri"/>
                <w:color w:val="6B7280"/>
                <w:spacing w:val="0"/>
                <w:position w:val="0"/>
                <w:sz w:val="18"/>
                <w:shd w:fill="auto" w:val="clear"/>
              </w:rPr>
              <w:t xml:space="preserve"> genuine competitive moats.</w:t>
            </w:r>
          </w:p>
        </w:tc>
        <w:tc>
          <w:tcPr>
            <w:tcW w:w="3024" w:type="dxa"/>
            <w:tcBorders>
              <w:top w:val="single" w:color="000000" w:sz="0"/>
              <w:left w:val="single" w:color="000000" w:sz="0"/>
              <w:bottom w:val="single" w:color="000000" w:sz="0"/>
              <w:right w:val="single" w:color="000000" w:sz="0"/>
            </w:tcBorders>
            <w:shd w:color="auto" w:fill="fef3c7" w:val="clear"/>
            <w:tcMar>
              <w:left w:w="108" w:type="dxa"/>
              <w:right w:w="108" w:type="dxa"/>
            </w:tcMar>
            <w:vAlign w:val="top"/>
          </w:tcPr>
          <w:p>
            <w:pPr>
              <w:spacing w:before="20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D97706"/>
                <w:spacing w:val="0"/>
                <w:position w:val="0"/>
                <w:sz w:val="64"/>
                <w:shd w:fill="auto" w:val="clear"/>
              </w:rPr>
              <w:t xml:space="preserve">14</w: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2"/>
                <w:shd w:fill="auto" w:val="clear"/>
              </w:rPr>
              <w:t xml:space="preserve">Critical Gaps</w:t>
            </w:r>
          </w:p>
          <w:p>
            <w:pPr>
              <w:spacing w:before="0" w:after="200" w:line="276"/>
              <w:ind w:right="0" w:left="0" w:firstLine="0"/>
              <w:jc w:val="center"/>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Features EDVES has that CASPAA is fully missing </w:t>
            </w:r>
            <w:r>
              <w:rPr>
                <w:rFonts w:ascii="Calibri" w:hAnsi="Calibri" w:cs="Calibri" w:eastAsia="Calibri"/>
                <w:color w:val="6B7280"/>
                <w:spacing w:val="0"/>
                <w:position w:val="0"/>
                <w:sz w:val="18"/>
                <w:shd w:fill="auto" w:val="clear"/>
              </w:rPr>
              <w:t xml:space="preserve">—</w:t>
            </w:r>
            <w:r>
              <w:rPr>
                <w:rFonts w:ascii="Calibri" w:hAnsi="Calibri" w:cs="Calibri" w:eastAsia="Calibri"/>
                <w:color w:val="6B7280"/>
                <w:spacing w:val="0"/>
                <w:position w:val="0"/>
                <w:sz w:val="18"/>
                <w:shd w:fill="auto" w:val="clear"/>
              </w:rPr>
              <w:t xml:space="preserve"> must close to compete at parity.</w:t>
            </w:r>
          </w:p>
        </w:tc>
        <w:tc>
          <w:tcPr>
            <w:tcW w:w="3024" w:type="dxa"/>
            <w:tcBorders>
              <w:top w:val="single" w:color="000000" w:sz="0"/>
              <w:left w:val="single" w:color="000000" w:sz="0"/>
              <w:bottom w:val="single" w:color="000000" w:sz="0"/>
              <w:right w:val="single" w:color="000000" w:sz="0"/>
            </w:tcBorders>
            <w:shd w:color="auto" w:fill="auto" w:val="clear"/>
            <w:tcMar>
              <w:left w:w="108" w:type="dxa"/>
              <w:right w:w="108" w:type="dxa"/>
            </w:tcMar>
            <w:vAlign w:val="top"/>
          </w:tcPr>
          <w:p>
            <w:pPr>
              <w:spacing w:before="20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D4ED8"/>
                <w:spacing w:val="0"/>
                <w:position w:val="0"/>
                <w:sz w:val="64"/>
                <w:shd w:fill="auto" w:val="clear"/>
              </w:rPr>
              <w:t xml:space="preserve">5</w:t>
            </w:r>
          </w:p>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2"/>
                <w:shd w:fill="auto" w:val="clear"/>
              </w:rPr>
              <w:t xml:space="preserve">Partial / Stub</w:t>
            </w:r>
          </w:p>
          <w:p>
            <w:pPr>
              <w:spacing w:before="0" w:after="200" w:line="276"/>
              <w:ind w:right="0" w:left="0" w:firstLine="0"/>
              <w:jc w:val="center"/>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Features CASPAA has started but not completed </w:t>
            </w:r>
            <w:r>
              <w:rPr>
                <w:rFonts w:ascii="Calibri" w:hAnsi="Calibri" w:cs="Calibri" w:eastAsia="Calibri"/>
                <w:color w:val="6B7280"/>
                <w:spacing w:val="0"/>
                <w:position w:val="0"/>
                <w:sz w:val="18"/>
                <w:shd w:fill="auto" w:val="clear"/>
              </w:rPr>
              <w:t xml:space="preserve">—</w:t>
            </w:r>
            <w:r>
              <w:rPr>
                <w:rFonts w:ascii="Calibri" w:hAnsi="Calibri" w:cs="Calibri" w:eastAsia="Calibri"/>
                <w:color w:val="6B7280"/>
                <w:spacing w:val="0"/>
                <w:position w:val="0"/>
                <w:sz w:val="18"/>
                <w:shd w:fill="auto" w:val="clear"/>
              </w:rPr>
              <w:t xml:space="preserve"> quick wins with focused effort.</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2"/>
          <w:shd w:fill="auto" w:val="clear"/>
        </w:rPr>
      </w:pPr>
    </w:p>
    <w:tbl>
      <w:tblPr/>
      <w:tblGrid>
        <w:gridCol w:w="9072"/>
      </w:tblGrid>
      <w:tr>
        <w:trPr>
          <w:trHeight w:val="1" w:hRule="atLeast"/>
          <w:jc w:val="left"/>
        </w:trPr>
        <w:tc>
          <w:tcPr>
            <w:tcW w:w="9072" w:type="dxa"/>
            <w:tcBorders>
              <w:top w:val="single" w:color="000000" w:sz="0"/>
              <w:left w:val="single" w:color="000000" w:sz="0"/>
              <w:bottom w:val="single" w:color="000000" w:sz="0"/>
              <w:right w:val="single" w:color="000000" w:sz="0"/>
            </w:tcBorders>
            <w:shd w:color="auto" w:fill="0a2540"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4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34D399"/>
                <w:spacing w:val="0"/>
                <w:position w:val="0"/>
                <w:sz w:val="26"/>
                <w:shd w:fill="auto" w:val="clear"/>
              </w:rPr>
              <w:t xml:space="preserve">Strategic Positioning Statement</w:t>
            </w:r>
          </w:p>
          <w:p>
            <w:pPr>
              <w:spacing w:before="0" w:after="240" w:line="276"/>
              <w:ind w:right="0" w:left="0" w:firstLine="0"/>
              <w:jc w:val="left"/>
              <w:rPr>
                <w:rFonts w:ascii="Calibri" w:hAnsi="Calibri" w:cs="Calibri" w:eastAsia="Calibri"/>
                <w:spacing w:val="0"/>
                <w:position w:val="0"/>
                <w:shd w:fill="auto" w:val="clear"/>
              </w:rPr>
            </w:pPr>
            <w:r>
              <w:rPr>
                <w:rFonts w:ascii="Calibri" w:hAnsi="Calibri" w:cs="Calibri" w:eastAsia="Calibri"/>
                <w:color w:val="D0E0F0"/>
                <w:spacing w:val="0"/>
                <w:position w:val="0"/>
                <w:sz w:val="21"/>
                <w:shd w:fill="auto" w:val="clear"/>
              </w:rPr>
              <w:t xml:space="preserve">CASPAA is not simply a school management system </w:t>
            </w:r>
            <w:r>
              <w:rPr>
                <w:rFonts w:ascii="Calibri" w:hAnsi="Calibri" w:cs="Calibri" w:eastAsia="Calibri"/>
                <w:color w:val="D0E0F0"/>
                <w:spacing w:val="0"/>
                <w:position w:val="0"/>
                <w:sz w:val="21"/>
                <w:shd w:fill="auto" w:val="clear"/>
              </w:rPr>
              <w:t xml:space="preserve">—</w:t>
            </w:r>
            <w:r>
              <w:rPr>
                <w:rFonts w:ascii="Calibri" w:hAnsi="Calibri" w:cs="Calibri" w:eastAsia="Calibri"/>
                <w:color w:val="D0E0F0"/>
                <w:spacing w:val="0"/>
                <w:position w:val="0"/>
                <w:sz w:val="21"/>
                <w:shd w:fill="auto" w:val="clear"/>
              </w:rPr>
              <w:t xml:space="preserve"> it is a School Operating System with a built-in financial infrastructure layer that no African EdTech platform currently offers at the same depth. Our fee lending, reconciliation engine, SaaS operator dashboard, and digital consent workflows are genuine differentiators. The priority now is to close the learning content gap (video lessons, class notes, simulations) and complete the operational modules (transport, hostel, health) so that CASPAA is a complete platform </w:t>
            </w:r>
            <w:r>
              <w:rPr>
                <w:rFonts w:ascii="Calibri" w:hAnsi="Calibri" w:cs="Calibri" w:eastAsia="Calibri"/>
                <w:color w:val="D0E0F0"/>
                <w:spacing w:val="0"/>
                <w:position w:val="0"/>
                <w:sz w:val="21"/>
                <w:shd w:fill="auto" w:val="clear"/>
              </w:rPr>
              <w:t xml:space="preserve">—</w:t>
            </w:r>
            <w:r>
              <w:rPr>
                <w:rFonts w:ascii="Calibri" w:hAnsi="Calibri" w:cs="Calibri" w:eastAsia="Calibri"/>
                <w:color w:val="D0E0F0"/>
                <w:spacing w:val="0"/>
                <w:position w:val="0"/>
                <w:sz w:val="21"/>
                <w:shd w:fill="auto" w:val="clear"/>
              </w:rPr>
              <w:t xml:space="preserve"> not just a strong one.</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2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18"/>
          <w:shd w:fill="auto" w:val="clear"/>
        </w:rPr>
        <w:t xml:space="preserve">02 </w:t>
      </w:r>
      <w:r>
        <w:rPr>
          <w:rFonts w:ascii="Calibri" w:hAnsi="Calibri" w:cs="Calibri" w:eastAsia="Calibri"/>
          <w:b/>
          <w:color w:val="0D6E3F"/>
          <w:spacing w:val="0"/>
          <w:position w:val="0"/>
          <w:sz w:val="18"/>
          <w:shd w:fill="auto" w:val="clear"/>
        </w:rPr>
        <w:t xml:space="preserve">—</w:t>
      </w:r>
      <w:r>
        <w:rPr>
          <w:rFonts w:ascii="Calibri" w:hAnsi="Calibri" w:cs="Calibri" w:eastAsia="Calibri"/>
          <w:b/>
          <w:color w:val="0D6E3F"/>
          <w:spacing w:val="0"/>
          <w:position w:val="0"/>
          <w:sz w:val="18"/>
          <w:shd w:fill="auto" w:val="clear"/>
        </w:rPr>
        <w:t xml:space="preserve"> COMPETITIVE LANDSCAPE</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44"/>
          <w:shd w:fill="auto" w:val="clear"/>
        </w:rPr>
        <w:t xml:space="preserve">Where We Lead vs. Where We Lag</w:t>
      </w:r>
    </w:p>
    <w:p>
      <w:pPr>
        <w:spacing w:before="16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32"/>
          <w:shd w:fill="auto" w:val="clear"/>
        </w:rPr>
        <w:t xml:space="preserve">CASPAA Advantages </w:t>
      </w:r>
      <w:r>
        <w:rPr>
          <w:rFonts w:ascii="Calibri" w:hAnsi="Calibri" w:cs="Calibri" w:eastAsia="Calibri"/>
          <w:b/>
          <w:color w:val="0D6E3F"/>
          <w:spacing w:val="0"/>
          <w:position w:val="0"/>
          <w:sz w:val="32"/>
          <w:shd w:fill="auto" w:val="clear"/>
        </w:rPr>
        <w:t xml:space="preserve">—</w:t>
      </w:r>
      <w:r>
        <w:rPr>
          <w:rFonts w:ascii="Calibri" w:hAnsi="Calibri" w:cs="Calibri" w:eastAsia="Calibri"/>
          <w:b/>
          <w:color w:val="0D6E3F"/>
          <w:spacing w:val="0"/>
          <w:position w:val="0"/>
          <w:sz w:val="32"/>
          <w:shd w:fill="auto" w:val="clear"/>
        </w:rPr>
        <w:t xml:space="preserve"> Features EDVES Does Not Have</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Fee Lending &amp; Financing Module: </w:t>
      </w:r>
      <w:r>
        <w:rPr>
          <w:rFonts w:ascii="Calibri" w:hAnsi="Calibri" w:cs="Calibri" w:eastAsia="Calibri"/>
          <w:color w:val="374151"/>
          <w:spacing w:val="0"/>
          <w:position w:val="0"/>
          <w:sz w:val="21"/>
          <w:shd w:fill="auto" w:val="clear"/>
        </w:rPr>
        <w:t xml:space="preserve">Parents apply for fee loans; full repayment schedule tracking. No African EdTech competitor has this.</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Platform Super Admin Layer: </w:t>
      </w:r>
      <w:r>
        <w:rPr>
          <w:rFonts w:ascii="Calibri" w:hAnsi="Calibri" w:cs="Calibri" w:eastAsia="Calibri"/>
          <w:color w:val="374151"/>
          <w:spacing w:val="0"/>
          <w:position w:val="0"/>
          <w:sz w:val="21"/>
          <w:shd w:fill="auto" w:val="clear"/>
        </w:rPr>
        <w:t xml:space="preserve">MRR, ARR, school health scores, remittance management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a true SaaS operator view.</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Digital Consent Forms: </w:t>
      </w:r>
      <w:r>
        <w:rPr>
          <w:rFonts w:ascii="Calibri" w:hAnsi="Calibri" w:cs="Calibri" w:eastAsia="Calibri"/>
          <w:color w:val="374151"/>
          <w:spacing w:val="0"/>
          <w:position w:val="0"/>
          <w:sz w:val="21"/>
          <w:shd w:fill="auto" w:val="clear"/>
        </w:rPr>
        <w:t xml:space="preserve">Paperless activity &amp; trip approvals with parent tracking. EDVES does not offer this.</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Student Gamification: </w:t>
      </w:r>
      <w:r>
        <w:rPr>
          <w:rFonts w:ascii="Calibri" w:hAnsi="Calibri" w:cs="Calibri" w:eastAsia="Calibri"/>
          <w:color w:val="374151"/>
          <w:spacing w:val="0"/>
          <w:position w:val="0"/>
          <w:sz w:val="21"/>
          <w:shd w:fill="auto" w:val="clear"/>
        </w:rPr>
        <w:t xml:space="preserve">Stars, points, achievement badges driving student engagement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more sophisticated than EDVES's house points.</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Substitute Teacher Coverage Workflow: </w:t>
      </w:r>
      <w:r>
        <w:rPr>
          <w:rFonts w:ascii="Calibri" w:hAnsi="Calibri" w:cs="Calibri" w:eastAsia="Calibri"/>
          <w:color w:val="374151"/>
          <w:spacing w:val="0"/>
          <w:position w:val="0"/>
          <w:sz w:val="21"/>
          <w:shd w:fill="auto" w:val="clear"/>
        </w:rPr>
        <w:t xml:space="preserve">Structured coverage requests and acceptance; no equivalent in EDVES.</w:t>
      </w:r>
    </w:p>
    <w:p>
      <w:pPr>
        <w:numPr>
          <w:ilvl w:val="0"/>
          <w:numId w:val="34"/>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Role Impersonation: </w:t>
      </w:r>
      <w:r>
        <w:rPr>
          <w:rFonts w:ascii="Calibri" w:hAnsi="Calibri" w:cs="Calibri" w:eastAsia="Calibri"/>
          <w:color w:val="374151"/>
          <w:spacing w:val="0"/>
          <w:position w:val="0"/>
          <w:sz w:val="21"/>
          <w:shd w:fill="auto" w:val="clear"/>
        </w:rPr>
        <w:t xml:space="preserve">Admins can view the system exactly as any user role sees it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powerful for support and demos.</w:t>
      </w:r>
    </w:p>
    <w:p>
      <w:pPr>
        <w:spacing w:before="24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DC2626"/>
          <w:spacing w:val="0"/>
          <w:position w:val="0"/>
          <w:sz w:val="32"/>
          <w:shd w:fill="auto" w:val="clear"/>
        </w:rPr>
        <w:t xml:space="preserve">Critical Gaps </w:t>
      </w:r>
      <w:r>
        <w:rPr>
          <w:rFonts w:ascii="Calibri" w:hAnsi="Calibri" w:cs="Calibri" w:eastAsia="Calibri"/>
          <w:b/>
          <w:color w:val="DC2626"/>
          <w:spacing w:val="0"/>
          <w:position w:val="0"/>
          <w:sz w:val="32"/>
          <w:shd w:fill="auto" w:val="clear"/>
        </w:rPr>
        <w:t xml:space="preserve">—</w:t>
      </w:r>
      <w:r>
        <w:rPr>
          <w:rFonts w:ascii="Calibri" w:hAnsi="Calibri" w:cs="Calibri" w:eastAsia="Calibri"/>
          <w:b/>
          <w:color w:val="DC2626"/>
          <w:spacing w:val="0"/>
          <w:position w:val="0"/>
          <w:sz w:val="32"/>
          <w:shd w:fill="auto" w:val="clear"/>
        </w:rPr>
        <w:t xml:space="preserve"> Features EDVES Has That We Are Missing</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Video Lessons &amp; E-Videos: </w:t>
      </w:r>
      <w:r>
        <w:rPr>
          <w:rFonts w:ascii="Calibri" w:hAnsi="Calibri" w:cs="Calibri" w:eastAsia="Calibri"/>
          <w:color w:val="374151"/>
          <w:spacing w:val="0"/>
          <w:position w:val="0"/>
          <w:sz w:val="21"/>
          <w:shd w:fill="auto" w:val="clear"/>
        </w:rPr>
        <w:t xml:space="preserve">Student and teacher video content library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core daily student usage.</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Virtual Classroom: </w:t>
      </w:r>
      <w:r>
        <w:rPr>
          <w:rFonts w:ascii="Calibri" w:hAnsi="Calibri" w:cs="Calibri" w:eastAsia="Calibri"/>
          <w:color w:val="374151"/>
          <w:spacing w:val="0"/>
          <w:position w:val="0"/>
          <w:sz w:val="21"/>
          <w:shd w:fill="auto" w:val="clear"/>
        </w:rPr>
        <w:t xml:space="preserve">Live online classes; currently only a stub in CASPAA.</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Class Notes for Students: </w:t>
      </w:r>
      <w:r>
        <w:rPr>
          <w:rFonts w:ascii="Calibri" w:hAnsi="Calibri" w:cs="Calibri" w:eastAsia="Calibri"/>
          <w:color w:val="374151"/>
          <w:spacing w:val="0"/>
          <w:position w:val="0"/>
          <w:sz w:val="21"/>
          <w:shd w:fill="auto" w:val="clear"/>
        </w:rPr>
        <w:t xml:space="preserve">Teacher-posted notes accessible in the student portal.</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Maths &amp; Science Simulations (PhET): </w:t>
      </w:r>
      <w:r>
        <w:rPr>
          <w:rFonts w:ascii="Calibri" w:hAnsi="Calibri" w:cs="Calibri" w:eastAsia="Calibri"/>
          <w:color w:val="374151"/>
          <w:spacing w:val="0"/>
          <w:position w:val="0"/>
          <w:sz w:val="21"/>
          <w:shd w:fill="auto" w:val="clear"/>
        </w:rPr>
        <w:t xml:space="preserve">Interactive science labs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a key EDVES selling point, free to implement.</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School Bus &amp; Transport Management: </w:t>
      </w:r>
      <w:r>
        <w:rPr>
          <w:rFonts w:ascii="Calibri" w:hAnsi="Calibri" w:cs="Calibri" w:eastAsia="Calibri"/>
          <w:color w:val="374151"/>
          <w:spacing w:val="0"/>
          <w:position w:val="0"/>
          <w:sz w:val="21"/>
          <w:shd w:fill="auto" w:val="clear"/>
        </w:rPr>
        <w:t xml:space="preserve">Route tracking, driver assignment, parent pickup tracking.</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Hostel Management: </w:t>
      </w:r>
      <w:r>
        <w:rPr>
          <w:rFonts w:ascii="Calibri" w:hAnsi="Calibri" w:cs="Calibri" w:eastAsia="Calibri"/>
          <w:color w:val="374151"/>
          <w:spacing w:val="0"/>
          <w:position w:val="0"/>
          <w:sz w:val="21"/>
          <w:shd w:fill="auto" w:val="clear"/>
        </w:rPr>
        <w:t xml:space="preserve">Boarding student records and room assignments.</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House Point System: </w:t>
      </w:r>
      <w:r>
        <w:rPr>
          <w:rFonts w:ascii="Calibri" w:hAnsi="Calibri" w:cs="Calibri" w:eastAsia="Calibri"/>
          <w:color w:val="374151"/>
          <w:spacing w:val="0"/>
          <w:position w:val="0"/>
          <w:sz w:val="21"/>
          <w:shd w:fill="auto" w:val="clear"/>
        </w:rPr>
        <w:t xml:space="preserve">Dedicated pastoral care module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currently buried in discipline.</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Parent Feedback Tool: </w:t>
      </w:r>
      <w:r>
        <w:rPr>
          <w:rFonts w:ascii="Calibri" w:hAnsi="Calibri" w:cs="Calibri" w:eastAsia="Calibri"/>
          <w:color w:val="374151"/>
          <w:spacing w:val="0"/>
          <w:position w:val="0"/>
          <w:sz w:val="21"/>
          <w:shd w:fill="auto" w:val="clear"/>
        </w:rPr>
        <w:t xml:space="preserve">Structured parent-to-school feedback forms, distinct from consent forms.</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Secure Pickup (Parent Portal): </w:t>
      </w:r>
      <w:r>
        <w:rPr>
          <w:rFonts w:ascii="Calibri" w:hAnsi="Calibri" w:cs="Calibri" w:eastAsia="Calibri"/>
          <w:color w:val="374151"/>
          <w:spacing w:val="0"/>
          <w:position w:val="0"/>
          <w:sz w:val="21"/>
          <w:shd w:fill="auto" w:val="clear"/>
        </w:rPr>
        <w:t xml:space="preserve">Approved pickup person management per child.</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Event Calendar: </w:t>
      </w:r>
      <w:r>
        <w:rPr>
          <w:rFonts w:ascii="Calibri" w:hAnsi="Calibri" w:cs="Calibri" w:eastAsia="Calibri"/>
          <w:color w:val="374151"/>
          <w:spacing w:val="0"/>
          <w:position w:val="0"/>
          <w:sz w:val="21"/>
          <w:shd w:fill="auto" w:val="clear"/>
        </w:rPr>
        <w:t xml:space="preserve">School-wide events visible across all roles </w:t>
      </w:r>
      <w:r>
        <w:rPr>
          <w:rFonts w:ascii="Calibri" w:hAnsi="Calibri" w:cs="Calibri" w:eastAsia="Calibri"/>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Admin, Teacher, Parent, Student.</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Teacher Payslip View: </w:t>
      </w:r>
      <w:r>
        <w:rPr>
          <w:rFonts w:ascii="Calibri" w:hAnsi="Calibri" w:cs="Calibri" w:eastAsia="Calibri"/>
          <w:color w:val="374151"/>
          <w:spacing w:val="0"/>
          <w:position w:val="0"/>
          <w:sz w:val="21"/>
          <w:shd w:fill="auto" w:val="clear"/>
        </w:rPr>
        <w:t xml:space="preserve">Teachers viewing their own salary statements; payroll data exists but view is missing.</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Communication Diary: </w:t>
      </w:r>
      <w:r>
        <w:rPr>
          <w:rFonts w:ascii="Calibri" w:hAnsi="Calibri" w:cs="Calibri" w:eastAsia="Calibri"/>
          <w:color w:val="374151"/>
          <w:spacing w:val="0"/>
          <w:position w:val="0"/>
          <w:sz w:val="21"/>
          <w:shd w:fill="auto" w:val="clear"/>
        </w:rPr>
        <w:t xml:space="preserve">Structured daily teacher </w:t>
      </w:r>
      <w:r>
        <w:rPr>
          <w:rFonts w:ascii="Segoe UI Symbol" w:hAnsi="Segoe UI Symbol" w:cs="Segoe UI Symbol" w:eastAsia="Segoe UI Symbol"/>
          <w:color w:val="374151"/>
          <w:spacing w:val="0"/>
          <w:position w:val="0"/>
          <w:sz w:val="21"/>
          <w:shd w:fill="auto" w:val="clear"/>
        </w:rPr>
        <w:t xml:space="preserve">↔</w:t>
      </w:r>
      <w:r>
        <w:rPr>
          <w:rFonts w:ascii="Calibri" w:hAnsi="Calibri" w:cs="Calibri" w:eastAsia="Calibri"/>
          <w:color w:val="374151"/>
          <w:spacing w:val="0"/>
          <w:position w:val="0"/>
          <w:sz w:val="21"/>
          <w:shd w:fill="auto" w:val="clear"/>
        </w:rPr>
        <w:t xml:space="preserve"> parent notes with read receipts.</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Formative Assessment: </w:t>
      </w:r>
      <w:r>
        <w:rPr>
          <w:rFonts w:ascii="Calibri" w:hAnsi="Calibri" w:cs="Calibri" w:eastAsia="Calibri"/>
          <w:color w:val="374151"/>
          <w:spacing w:val="0"/>
          <w:position w:val="0"/>
          <w:sz w:val="21"/>
          <w:shd w:fill="auto" w:val="clear"/>
        </w:rPr>
        <w:t xml:space="preserve">Distinct in-class ongoing assessment, not just end-of-term CBT.</w:t>
      </w:r>
    </w:p>
    <w:p>
      <w:pPr>
        <w:numPr>
          <w:ilvl w:val="0"/>
          <w:numId w:val="36"/>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21"/>
          <w:shd w:fill="auto" w:val="clear"/>
        </w:rPr>
        <w:t xml:space="preserve">Bulk SMS &amp; Email: </w:t>
      </w:r>
      <w:r>
        <w:rPr>
          <w:rFonts w:ascii="Calibri" w:hAnsi="Calibri" w:cs="Calibri" w:eastAsia="Calibri"/>
          <w:color w:val="374151"/>
          <w:spacing w:val="0"/>
          <w:position w:val="0"/>
          <w:sz w:val="21"/>
          <w:shd w:fill="auto" w:val="clear"/>
        </w:rPr>
        <w:t xml:space="preserve">Critical in Nigerian market. Currently marked TBD in codebase.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2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18"/>
          <w:shd w:fill="auto" w:val="clear"/>
        </w:rPr>
        <w:t xml:space="preserve">03 </w:t>
      </w:r>
      <w:r>
        <w:rPr>
          <w:rFonts w:ascii="Calibri" w:hAnsi="Calibri" w:cs="Calibri" w:eastAsia="Calibri"/>
          <w:b/>
          <w:color w:val="0D6E3F"/>
          <w:spacing w:val="0"/>
          <w:position w:val="0"/>
          <w:sz w:val="18"/>
          <w:shd w:fill="auto" w:val="clear"/>
        </w:rPr>
        <w:t xml:space="preserve">—</w:t>
      </w:r>
      <w:r>
        <w:rPr>
          <w:rFonts w:ascii="Calibri" w:hAnsi="Calibri" w:cs="Calibri" w:eastAsia="Calibri"/>
          <w:b/>
          <w:color w:val="0D6E3F"/>
          <w:spacing w:val="0"/>
          <w:position w:val="0"/>
          <w:sz w:val="18"/>
          <w:shd w:fill="auto" w:val="clear"/>
        </w:rPr>
        <w:t xml:space="preserve"> DETAILED COMPARISON</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44"/>
          <w:shd w:fill="auto" w:val="clear"/>
        </w:rPr>
        <w:t xml:space="preserve">Full Feature-by-Feature Breakdown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6B7280"/>
          <w:spacing w:val="0"/>
          <w:position w:val="0"/>
          <w:sz w:val="21"/>
          <w:shd w:fill="auto" w:val="clear"/>
        </w:rPr>
        <w:t xml:space="preserve">Every major feature category compared across both platforms, with priority classification for the CASPAA roadmap.</w:t>
      </w:r>
    </w:p>
    <w:tbl>
      <w:tblPr/>
      <w:tblGrid>
        <w:gridCol w:w="1814"/>
        <w:gridCol w:w="1814"/>
        <w:gridCol w:w="1814"/>
        <w:gridCol w:w="1814"/>
        <w:gridCol w:w="1814"/>
      </w:tblGrid>
      <w:tr>
        <w:trPr>
          <w:trHeight w:val="1" w:hRule="atLeast"/>
          <w:jc w:val="center"/>
        </w:trPr>
        <w:tc>
          <w:tcPr>
            <w:tcW w:w="1814" w:type="dxa"/>
            <w:tcBorders>
              <w:top w:val="single" w:color="000000" w:sz="4"/>
              <w:left w:val="single" w:color="000000" w:sz="4"/>
              <w:bottom w:val="single" w:color="000000" w:sz="4"/>
              <w:right w:val="single" w:color="000000" w:sz="4"/>
            </w:tcBorders>
            <w:shd w:color="auto" w:fill="0a2540" w:val="clear"/>
            <w:tcMar>
              <w:left w:w="108" w:type="dxa"/>
              <w:right w:w="108" w:type="dxa"/>
            </w:tcMar>
            <w:vAlign w:val="center"/>
          </w:tcPr>
          <w:p>
            <w:pPr>
              <w:spacing w:before="60" w:after="6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Feature</w:t>
            </w:r>
          </w:p>
        </w:tc>
        <w:tc>
          <w:tcPr>
            <w:tcW w:w="1814" w:type="dxa"/>
            <w:tcBorders>
              <w:top w:val="single" w:color="000000" w:sz="4"/>
              <w:left w:val="single" w:color="000000" w:sz="4"/>
              <w:bottom w:val="single" w:color="000000" w:sz="4"/>
              <w:right w:val="single" w:color="000000" w:sz="4"/>
            </w:tcBorders>
            <w:shd w:color="auto" w:fill="0a2540" w:val="clear"/>
            <w:tcMar>
              <w:left w:w="108" w:type="dxa"/>
              <w:right w:w="108" w:type="dxa"/>
            </w:tcMar>
            <w:vAlign w:val="center"/>
          </w:tcPr>
          <w:p>
            <w:pPr>
              <w:spacing w:before="60" w:after="6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EDVES</w:t>
            </w:r>
          </w:p>
        </w:tc>
        <w:tc>
          <w:tcPr>
            <w:tcW w:w="1814" w:type="dxa"/>
            <w:tcBorders>
              <w:top w:val="single" w:color="000000" w:sz="4"/>
              <w:left w:val="single" w:color="000000" w:sz="4"/>
              <w:bottom w:val="single" w:color="000000" w:sz="4"/>
              <w:right w:val="single" w:color="000000" w:sz="4"/>
            </w:tcBorders>
            <w:shd w:color="auto" w:fill="0a2540" w:val="clear"/>
            <w:tcMar>
              <w:left w:w="108" w:type="dxa"/>
              <w:right w:w="108" w:type="dxa"/>
            </w:tcMar>
            <w:vAlign w:val="center"/>
          </w:tcPr>
          <w:p>
            <w:pPr>
              <w:spacing w:before="60" w:after="6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CASPAA Now</w:t>
            </w:r>
          </w:p>
        </w:tc>
        <w:tc>
          <w:tcPr>
            <w:tcW w:w="1814" w:type="dxa"/>
            <w:tcBorders>
              <w:top w:val="single" w:color="000000" w:sz="4"/>
              <w:left w:val="single" w:color="000000" w:sz="4"/>
              <w:bottom w:val="single" w:color="000000" w:sz="4"/>
              <w:right w:val="single" w:color="000000" w:sz="4"/>
            </w:tcBorders>
            <w:shd w:color="auto" w:fill="0a2540" w:val="clear"/>
            <w:tcMar>
              <w:left w:w="108" w:type="dxa"/>
              <w:right w:w="108" w:type="dxa"/>
            </w:tcMar>
            <w:vAlign w:val="center"/>
          </w:tcPr>
          <w:p>
            <w:pPr>
              <w:spacing w:before="60" w:after="6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Priority</w:t>
            </w:r>
          </w:p>
        </w:tc>
        <w:tc>
          <w:tcPr>
            <w:tcW w:w="1814" w:type="dxa"/>
            <w:tcBorders>
              <w:top w:val="single" w:color="000000" w:sz="4"/>
              <w:left w:val="single" w:color="000000" w:sz="4"/>
              <w:bottom w:val="single" w:color="000000" w:sz="4"/>
              <w:right w:val="single" w:color="000000" w:sz="4"/>
            </w:tcBorders>
            <w:shd w:color="auto" w:fill="0a2540" w:val="clear"/>
            <w:tcMar>
              <w:left w:w="108" w:type="dxa"/>
              <w:right w:w="108" w:type="dxa"/>
            </w:tcMar>
            <w:vAlign w:val="center"/>
          </w:tcPr>
          <w:p>
            <w:pPr>
              <w:spacing w:before="60" w:after="6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Notes</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Financial Management</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Fee Structure Management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Both complete. CASPAA adds activity-based fee layering.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Invoice Generation</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includes line-item detail per activity.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Online Payment Integration</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Partial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Gateway UI exists; actual payment processing not wired.</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Payment Reconciliation</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Basic</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advantage: dedicated reconciliation workflow.</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Expense Tracking</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Payroll Processing</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Teacher Payslip (self-view)</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Teachers cannot see their own payslip; data exists, view missing.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Financial Reports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Fee Lending / Financing</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None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Unique CASPAA differentiator. Parents borrow school fees.</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Academic &amp; Learning</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Result Management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Attendance Tracking</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adds staff clock-in/out.</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Online CBT / Exams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Offline CBT / Exams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EDVES supports offline exam-taking.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Assignments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Lesson Plans (Teacher)</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Class Notes (Student access)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Teachers post notes; students read them in portal.</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Video Lessons / E-Videos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Stub</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Learning hub exists but has no video content functionality.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Virtual Classroom (Live)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Stub</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Can integrate Zoom/Google Meet or Jitsi.</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Maths &amp; Science Simulations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PhET</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EDVES key differentiator. PhET is free and embeddable.</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Formative Assessment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Ongoing in-class assessment, distinct from term-end CBT.</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Timetable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Curriculum Mapping</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Multi</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Partial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EDVES supports NERDC, Cambridge, IGCSE, IB.</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Student Management</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Student Enrollment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Admissions Workflow</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Partial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Full application form workflow incomplete.</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Behaviour / Discipline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House Point System</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Dedicated</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Buried</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has behavior tracking but no dedicated house point module.</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Student Gamification</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Basic</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stars/points/badges system is more advanced.</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Alumni Tracking</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Basic</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CASPAA has career tracking and alumni network support.</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Staff Management</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Staff Directory</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Leave Management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Performance Appraisal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 CASPAA has multi-stage approval.</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Substitute Coverage</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None</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Unique CASPAA feature.</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Teacher Analytics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Partial</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Cross-teacher vs. student analytics missing.</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Communication</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Messaging (Internal)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Announcements / Broadcast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Parity.</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Bulk SMS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Critical for Nigerian schools. Currently TBD in CASPAA.</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Email Notifications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Currently TBD in CASPAA.</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Communication Diary</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spacing w:val="0"/>
                <w:position w:val="0"/>
                <w:shd w:fill="auto" w:val="clear"/>
              </w:rPr>
            </w:pPr>
            <w:r>
              <w:rPr>
                <w:rFonts w:ascii="Calibri" w:hAnsi="Calibri" w:cs="Calibri" w:eastAsia="Calibri"/>
                <w:color w:val="6B7280"/>
                <w:spacing w:val="0"/>
                <w:position w:val="0"/>
                <w:sz w:val="18"/>
                <w:shd w:fill="auto" w:val="clear"/>
              </w:rPr>
              <w:t xml:space="preserve">Structured teacher</w:t>
            </w:r>
            <w:r>
              <w:rPr>
                <w:rFonts w:ascii="Segoe UI Symbol" w:hAnsi="Segoe UI Symbol" w:cs="Segoe UI Symbol" w:eastAsia="Segoe UI Symbol"/>
                <w:color w:val="6B7280"/>
                <w:spacing w:val="0"/>
                <w:position w:val="0"/>
                <w:sz w:val="18"/>
                <w:shd w:fill="auto" w:val="clear"/>
              </w:rPr>
              <w:t xml:space="preserve">↔</w:t>
            </w:r>
            <w:r>
              <w:rPr>
                <w:rFonts w:ascii="Calibri" w:hAnsi="Calibri" w:cs="Calibri" w:eastAsia="Calibri"/>
                <w:color w:val="6B7280"/>
                <w:spacing w:val="0"/>
                <w:position w:val="0"/>
                <w:sz w:val="18"/>
                <w:shd w:fill="auto" w:val="clear"/>
              </w:rPr>
              <w:t xml:space="preserve">parent daily notes, distinct from messaging.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Parent Feedback Tool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Formal school feedback surveys.</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Event Calendar</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8"/>
                <w:shd w:fill="auto" w:val="clear"/>
              </w:rPr>
              <w:t xml:space="preserve">P1</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School-wide event calendar visible to all roles.</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Digital Consent Forms</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None</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Unique CASPAA feature.</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Operations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Inventory Management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Stub</w:t>
            </w:r>
          </w:p>
        </w:tc>
        <w:tc>
          <w:tcPr>
            <w:tcW w:w="1814" w:type="dxa"/>
            <w:tcBorders>
              <w:top w:val="single" w:color="000000" w:sz="4"/>
              <w:left w:val="single" w:color="000000" w:sz="4"/>
              <w:bottom w:val="single" w:color="000000" w:sz="4"/>
              <w:right w:val="single" w:color="000000" w:sz="4"/>
            </w:tcBorders>
            <w:shd w:color="auto" w:fill="fef3c7"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Menu exists; logic not built.</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Health / Sickbay</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Stub</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Menu exists; logic not built.</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Transport / School Bus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Route management, driver assignment, parent tracking.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Secure Pickup (Parent)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Approved pickup persons per child.</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Hostel Management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Boarding student records, room assignments.</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AI &amp; Intelligence</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AI Grading Assistance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AI-assisted marking and feedback generation.</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Student Performance Prediction</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AI flags at-risk students based on trends.</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AI Question Generation</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Auto-generate CBT questions from lesson notes.</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AI Chatbot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Student and teacher assistant chatbot.</w:t>
            </w:r>
          </w:p>
        </w:tc>
      </w:tr>
      <w:tr>
        <w:trPr>
          <w:trHeight w:val="1" w:hRule="atLeast"/>
          <w:jc w:val="center"/>
        </w:trPr>
        <w:tc>
          <w:tcPr>
            <w:tcW w:w="9070" w:type="dxa"/>
            <w:gridSpan w:val="5"/>
            <w:tcBorders>
              <w:top w:val="single" w:color="000000" w:sz="4"/>
              <w:left w:val="single" w:color="000000" w:sz="4"/>
              <w:bottom w:val="single" w:color="000000" w:sz="4"/>
              <w:right w:val="single" w:color="000000" w:sz="4"/>
            </w:tcBorders>
            <w:shd w:color="auto" w:fill="1a4a7a" w:val="clear"/>
            <w:tcMar>
              <w:left w:w="108" w:type="dxa"/>
              <w:right w:w="108" w:type="dxa"/>
            </w:tcMar>
            <w:vAlign w:val="center"/>
          </w:tcPr>
          <w:p>
            <w:pPr>
              <w:spacing w:before="60" w:after="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FFFF"/>
                <w:spacing w:val="0"/>
                <w:position w:val="0"/>
                <w:sz w:val="18"/>
                <w:shd w:fill="auto" w:val="clear"/>
              </w:rPr>
              <w:t xml:space="preserve">Platform &amp; Business</w:t>
            </w: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color w:val="auto"/>
                <w:spacing w:val="0"/>
                <w:position w:val="0"/>
                <w:sz w:val="22"/>
                <w:shd w:fill="auto" w:val="clear"/>
              </w:rPr>
            </w:pPr>
          </w:p>
          <w:p>
            <w:pPr>
              <w:spacing w:before="60" w:after="60" w:line="240"/>
              <w:ind w:right="0" w:left="0" w:firstLine="0"/>
              <w:jc w:val="left"/>
              <w:rPr>
                <w:rFonts w:ascii="Calibri" w:hAnsi="Calibri" w:cs="Calibri" w:eastAsia="Calibri"/>
                <w:spacing w:val="0"/>
                <w:position w:val="0"/>
                <w:shd w:fill="auto" w:val="clear"/>
              </w:rPr>
            </w:pP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Multi-Curriculum Support</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Missing</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8"/>
                <w:shd w:fill="auto" w:val="clear"/>
              </w:rPr>
              <w:t xml:space="preserve">P3</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NERDC, Cambridge, IGCSE, IB.</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SaaS Operator Dashboard</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None</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MRR, ARR, school health </w:t>
            </w:r>
            <w:r>
              <w:rPr>
                <w:rFonts w:ascii="Calibri" w:hAnsi="Calibri" w:cs="Calibri" w:eastAsia="Calibri"/>
                <w:color w:val="6B7280"/>
                <w:spacing w:val="0"/>
                <w:position w:val="0"/>
                <w:sz w:val="18"/>
                <w:shd w:fill="auto" w:val="clear"/>
              </w:rPr>
              <w:t xml:space="preserve">—</w:t>
            </w:r>
            <w:r>
              <w:rPr>
                <w:rFonts w:ascii="Calibri" w:hAnsi="Calibri" w:cs="Calibri" w:eastAsia="Calibri"/>
                <w:color w:val="6B7280"/>
                <w:spacing w:val="0"/>
                <w:position w:val="0"/>
                <w:sz w:val="18"/>
                <w:shd w:fill="auto" w:val="clear"/>
              </w:rPr>
              <w:t xml:space="preserve"> unique to CASPAA.</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Role Impersonation</w:t>
            </w:r>
          </w:p>
        </w:tc>
        <w:tc>
          <w:tcPr>
            <w:tcW w:w="1814" w:type="dxa"/>
            <w:tcBorders>
              <w:top w:val="single" w:color="000000" w:sz="4"/>
              <w:left w:val="single" w:color="000000" w:sz="4"/>
              <w:bottom w:val="single" w:color="000000" w:sz="4"/>
              <w:right w:val="single" w:color="000000" w:sz="4"/>
            </w:tcBorders>
            <w:shd w:color="auto" w:fill="fee2e2"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C2626"/>
                <w:spacing w:val="0"/>
                <w:position w:val="0"/>
                <w:sz w:val="18"/>
                <w:shd w:fill="auto" w:val="clear"/>
              </w:rPr>
              <w:t xml:space="preserve">✗</w:t>
            </w:r>
            <w:r>
              <w:rPr>
                <w:rFonts w:ascii="Calibri" w:hAnsi="Calibri" w:cs="Calibri" w:eastAsia="Calibri"/>
                <w:color w:val="DC2626"/>
                <w:spacing w:val="0"/>
                <w:position w:val="0"/>
                <w:sz w:val="18"/>
                <w:shd w:fill="auto" w:val="clear"/>
              </w:rPr>
              <w:t xml:space="preserve"> None</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0D6E3F"/>
                <w:spacing w:val="0"/>
                <w:position w:val="0"/>
                <w:sz w:val="18"/>
                <w:shd w:fill="auto" w:val="clear"/>
              </w:rPr>
              <w:t xml:space="preserve">LEAD</w:t>
            </w:r>
          </w:p>
        </w:tc>
        <w:tc>
          <w:tcPr>
            <w:tcW w:w="1814" w:type="dxa"/>
            <w:tcBorders>
              <w:top w:val="single" w:color="000000" w:sz="4"/>
              <w:left w:val="single" w:color="000000" w:sz="4"/>
              <w:bottom w:val="single" w:color="000000" w:sz="4"/>
              <w:right w:val="single" w:color="000000" w:sz="4"/>
            </w:tcBorders>
            <w:shd w:color="auto" w:fill="ffffff"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Admin can view as any user for support/debugging.</w:t>
            </w:r>
          </w:p>
        </w:tc>
      </w:tr>
      <w:tr>
        <w:trPr>
          <w:trHeight w:val="1" w:hRule="atLeast"/>
          <w:jc w:val="center"/>
        </w:trPr>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8"/>
                <w:shd w:fill="auto" w:val="clear"/>
              </w:rPr>
              <w:t xml:space="preserve">Tiered Subscription Plans</w:t>
            </w:r>
          </w:p>
        </w:tc>
        <w:tc>
          <w:tcPr>
            <w:tcW w:w="1814" w:type="dxa"/>
            <w:tcBorders>
              <w:top w:val="single" w:color="000000" w:sz="4"/>
              <w:left w:val="single" w:color="000000" w:sz="4"/>
              <w:bottom w:val="single" w:color="000000" w:sz="4"/>
              <w:right w:val="single" w:color="000000" w:sz="4"/>
            </w:tcBorders>
            <w:shd w:color="auto" w:fill="d1fae5"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0D6E3F"/>
                <w:spacing w:val="0"/>
                <w:position w:val="0"/>
                <w:sz w:val="18"/>
                <w:shd w:fill="auto" w:val="clear"/>
              </w:rPr>
              <w:t xml:space="preserve">✓</w:t>
            </w:r>
            <w:r>
              <w:rPr>
                <w:rFonts w:ascii="Calibri" w:hAnsi="Calibri" w:cs="Calibri" w:eastAsia="Calibri"/>
                <w:color w:val="0D6E3F"/>
                <w:spacing w:val="0"/>
                <w:position w:val="0"/>
                <w:sz w:val="18"/>
                <w:shd w:fill="auto" w:val="clear"/>
              </w:rPr>
              <w:t xml:space="preserve"> Full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spacing w:val="0"/>
                <w:position w:val="0"/>
                <w:shd w:fill="auto" w:val="clear"/>
              </w:rPr>
            </w:pPr>
            <w:r>
              <w:rPr>
                <w:rFonts w:ascii="Segoe UI Symbol" w:hAnsi="Segoe UI Symbol" w:cs="Segoe UI Symbol" w:eastAsia="Segoe UI Symbol"/>
                <w:color w:val="D97706"/>
                <w:spacing w:val="0"/>
                <w:position w:val="0"/>
                <w:sz w:val="18"/>
                <w:shd w:fill="auto" w:val="clear"/>
              </w:rPr>
              <w:t xml:space="preserve">⚠</w:t>
            </w:r>
            <w:r>
              <w:rPr>
                <w:rFonts w:ascii="Calibri" w:hAnsi="Calibri" w:cs="Calibri" w:eastAsia="Calibri"/>
                <w:color w:val="D97706"/>
                <w:spacing w:val="0"/>
                <w:position w:val="0"/>
                <w:sz w:val="18"/>
                <w:shd w:fill="auto" w:val="clear"/>
              </w:rPr>
              <w:t xml:space="preserve"> Partial</w:t>
            </w:r>
          </w:p>
        </w:tc>
        <w:tc>
          <w:tcPr>
            <w:tcW w:w="1814" w:type="dxa"/>
            <w:tcBorders>
              <w:top w:val="single" w:color="000000" w:sz="4"/>
              <w:left w:val="single" w:color="000000" w:sz="4"/>
              <w:bottom w:val="single" w:color="000000" w:sz="4"/>
              <w:right w:val="single" w:color="000000" w:sz="4"/>
            </w:tcBorders>
            <w:shd w:color="auto" w:fill="auto"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8"/>
                <w:shd w:fill="auto" w:val="clear"/>
              </w:rPr>
              <w:t xml:space="preserve">P2</w:t>
            </w:r>
          </w:p>
        </w:tc>
        <w:tc>
          <w:tcPr>
            <w:tcW w:w="1814" w:type="dxa"/>
            <w:tcBorders>
              <w:top w:val="single" w:color="000000" w:sz="4"/>
              <w:left w:val="single" w:color="000000" w:sz="4"/>
              <w:bottom w:val="single" w:color="000000" w:sz="4"/>
              <w:right w:val="single" w:color="000000" w:sz="4"/>
            </w:tcBorders>
            <w:shd w:color="auto" w:fill="f3f4f6" w:val="clear"/>
            <w:tcMar>
              <w:left w:w="108" w:type="dxa"/>
              <w:right w:w="108" w:type="dxa"/>
            </w:tcMar>
            <w:vAlign w:val="center"/>
          </w:tcPr>
          <w:p>
            <w:pPr>
              <w:spacing w:before="40" w:after="40" w:line="240"/>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8"/>
                <w:shd w:fill="auto" w:val="clear"/>
              </w:rPr>
              <w:t xml:space="preserve">Plans defined; feature gating not fully enforced.</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2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18"/>
          <w:shd w:fill="auto" w:val="clear"/>
        </w:rPr>
        <w:t xml:space="preserve">04 </w:t>
      </w:r>
      <w:r>
        <w:rPr>
          <w:rFonts w:ascii="Calibri" w:hAnsi="Calibri" w:cs="Calibri" w:eastAsia="Calibri"/>
          <w:b/>
          <w:color w:val="0D6E3F"/>
          <w:spacing w:val="0"/>
          <w:position w:val="0"/>
          <w:sz w:val="18"/>
          <w:shd w:fill="auto" w:val="clear"/>
        </w:rPr>
        <w:t xml:space="preserve">—</w:t>
      </w:r>
      <w:r>
        <w:rPr>
          <w:rFonts w:ascii="Calibri" w:hAnsi="Calibri" w:cs="Calibri" w:eastAsia="Calibri"/>
          <w:b/>
          <w:color w:val="0D6E3F"/>
          <w:spacing w:val="0"/>
          <w:position w:val="0"/>
          <w:sz w:val="18"/>
          <w:shd w:fill="auto" w:val="clear"/>
        </w:rPr>
        <w:t xml:space="preserve"> ROADMAP</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44"/>
          <w:shd w:fill="auto" w:val="clear"/>
        </w:rPr>
        <w:t xml:space="preserve">Priority Breakdown for Next Phase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6B7280"/>
          <w:spacing w:val="0"/>
          <w:position w:val="0"/>
          <w:sz w:val="21"/>
          <w:shd w:fill="auto" w:val="clear"/>
        </w:rPr>
        <w:t xml:space="preserve">Prioritized by stakeholder visibility, competitive parity, and implementation effort.</w:t>
      </w:r>
    </w:p>
    <w:p>
      <w:pPr>
        <w:spacing w:before="24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DC2626"/>
          <w:spacing w:val="0"/>
          <w:position w:val="0"/>
          <w:sz w:val="24"/>
          <w:shd w:fill="auto" w:val="clear"/>
        </w:rPr>
        <w:t xml:space="preserve">P1 </w:t>
      </w:r>
      <w:r>
        <w:rPr>
          <w:rFonts w:ascii="Calibri" w:hAnsi="Calibri" w:cs="Calibri" w:eastAsia="Calibri"/>
          <w:b/>
          <w:color w:val="DC2626"/>
          <w:spacing w:val="0"/>
          <w:position w:val="0"/>
          <w:sz w:val="24"/>
          <w:shd w:fill="auto" w:val="clear"/>
        </w:rPr>
        <w:t xml:space="preserve">—</w:t>
      </w:r>
      <w:r>
        <w:rPr>
          <w:rFonts w:ascii="Calibri" w:hAnsi="Calibri" w:cs="Calibri" w:eastAsia="Calibri"/>
          <w:b/>
          <w:color w:val="DC2626"/>
          <w:spacing w:val="0"/>
          <w:position w:val="0"/>
          <w:sz w:val="24"/>
          <w:shd w:fill="auto" w:val="clear"/>
        </w:rPr>
        <w:t xml:space="preserve"> Critical (Must Build Now)</w:t>
      </w:r>
    </w:p>
    <w:tbl>
      <w:tblPr/>
      <w:tblGrid>
        <w:gridCol w:w="3024"/>
        <w:gridCol w:w="3024"/>
        <w:gridCol w:w="3024"/>
      </w:tblGrid>
      <w:tr>
        <w:trPr>
          <w:trHeight w:val="1" w:hRule="atLeast"/>
          <w:jc w:val="center"/>
        </w:trPr>
        <w:tc>
          <w:tcPr>
            <w:tcW w:w="3024" w:type="dxa"/>
            <w:tcBorders>
              <w:top w:val="single" w:color="000000" w:sz="0"/>
              <w:left w:val="single" w:color="000000" w:sz="0"/>
              <w:bottom w:val="single" w:color="000000" w:sz="0"/>
              <w:right w:val="single" w:color="000000" w:sz="0"/>
            </w:tcBorders>
            <w:shd w:color="auto" w:fill="dc262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t>
            </w:r>
          </w:p>
        </w:tc>
        <w:tc>
          <w:tcPr>
            <w:tcW w:w="3024" w:type="dxa"/>
            <w:tcBorders>
              <w:top w:val="single" w:color="000000" w:sz="0"/>
              <w:left w:val="single" w:color="000000" w:sz="0"/>
              <w:bottom w:val="single" w:color="000000" w:sz="0"/>
              <w:right w:val="single" w:color="000000" w:sz="0"/>
            </w:tcBorders>
            <w:shd w:color="auto" w:fill="dc262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Module</w:t>
            </w:r>
          </w:p>
        </w:tc>
        <w:tc>
          <w:tcPr>
            <w:tcW w:w="3024" w:type="dxa"/>
            <w:tcBorders>
              <w:top w:val="single" w:color="000000" w:sz="0"/>
              <w:left w:val="single" w:color="000000" w:sz="0"/>
              <w:bottom w:val="single" w:color="000000" w:sz="0"/>
              <w:right w:val="single" w:color="000000" w:sz="0"/>
            </w:tcBorders>
            <w:shd w:color="auto" w:fill="dc262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Why It Matters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1</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Event Calendar</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All roles need a shared school calendar. High visibility to parents &amp; teachers.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2</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Bulk SMS &amp; Email</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Critical in Nigerian market. Parents expect SMS alerts for fees, results, events.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3</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Class Notes (Student Portal)</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Teachers post notes; students read in Learning hub. Core to student daily usage.</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4</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Video Lessons</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Embed video content per subject. Can start with YouTube embeds + upload links.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5</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Science Simulations (PhET)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PhET is free &amp; embeddable. Major EDVES selling point </w:t>
            </w:r>
            <w:r>
              <w:rPr>
                <w:rFonts w:ascii="Calibri" w:hAnsi="Calibri" w:cs="Calibri" w:eastAsia="Calibri"/>
                <w:color w:val="6B7280"/>
                <w:spacing w:val="0"/>
                <w:position w:val="0"/>
                <w:sz w:val="19"/>
                <w:shd w:fill="auto" w:val="clear"/>
              </w:rPr>
              <w:t xml:space="preserve">—</w:t>
            </w:r>
            <w:r>
              <w:rPr>
                <w:rFonts w:ascii="Calibri" w:hAnsi="Calibri" w:cs="Calibri" w:eastAsia="Calibri"/>
                <w:color w:val="6B7280"/>
                <w:spacing w:val="0"/>
                <w:position w:val="0"/>
                <w:sz w:val="19"/>
                <w:shd w:fill="auto" w:val="clear"/>
              </w:rPr>
              <w:t xml:space="preserve"> easy to replicate.</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C2626"/>
                <w:spacing w:val="0"/>
                <w:position w:val="0"/>
                <w:sz w:val="19"/>
                <w:shd w:fill="auto" w:val="clear"/>
              </w:rPr>
              <w:t xml:space="preserve">6</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Online Payment Gateway</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UI exists; needs to connect to Paystack or Flutterwave to process real payments.</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4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D97706"/>
          <w:spacing w:val="0"/>
          <w:position w:val="0"/>
          <w:sz w:val="24"/>
          <w:shd w:fill="auto" w:val="clear"/>
        </w:rPr>
        <w:t xml:space="preserve">P2 </w:t>
      </w:r>
      <w:r>
        <w:rPr>
          <w:rFonts w:ascii="Calibri" w:hAnsi="Calibri" w:cs="Calibri" w:eastAsia="Calibri"/>
          <w:b/>
          <w:color w:val="D97706"/>
          <w:spacing w:val="0"/>
          <w:position w:val="0"/>
          <w:sz w:val="24"/>
          <w:shd w:fill="auto" w:val="clear"/>
        </w:rPr>
        <w:t xml:space="preserve">—</w:t>
      </w:r>
      <w:r>
        <w:rPr>
          <w:rFonts w:ascii="Calibri" w:hAnsi="Calibri" w:cs="Calibri" w:eastAsia="Calibri"/>
          <w:b/>
          <w:color w:val="D97706"/>
          <w:spacing w:val="0"/>
          <w:position w:val="0"/>
          <w:sz w:val="24"/>
          <w:shd w:fill="auto" w:val="clear"/>
        </w:rPr>
        <w:t xml:space="preserve"> Important (Build Next)</w:t>
      </w:r>
    </w:p>
    <w:tbl>
      <w:tblPr/>
      <w:tblGrid>
        <w:gridCol w:w="3024"/>
        <w:gridCol w:w="3024"/>
        <w:gridCol w:w="3024"/>
      </w:tblGrid>
      <w:tr>
        <w:trPr>
          <w:trHeight w:val="1" w:hRule="atLeast"/>
          <w:jc w:val="center"/>
        </w:trPr>
        <w:tc>
          <w:tcPr>
            <w:tcW w:w="3024" w:type="dxa"/>
            <w:tcBorders>
              <w:top w:val="single" w:color="000000" w:sz="0"/>
              <w:left w:val="single" w:color="000000" w:sz="0"/>
              <w:bottom w:val="single" w:color="000000" w:sz="0"/>
              <w:right w:val="single" w:color="000000" w:sz="0"/>
            </w:tcBorders>
            <w:shd w:color="auto" w:fill="d9770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t>
            </w:r>
          </w:p>
        </w:tc>
        <w:tc>
          <w:tcPr>
            <w:tcW w:w="3024" w:type="dxa"/>
            <w:tcBorders>
              <w:top w:val="single" w:color="000000" w:sz="0"/>
              <w:left w:val="single" w:color="000000" w:sz="0"/>
              <w:bottom w:val="single" w:color="000000" w:sz="0"/>
              <w:right w:val="single" w:color="000000" w:sz="0"/>
            </w:tcBorders>
            <w:shd w:color="auto" w:fill="d9770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Module</w:t>
            </w:r>
          </w:p>
        </w:tc>
        <w:tc>
          <w:tcPr>
            <w:tcW w:w="3024" w:type="dxa"/>
            <w:tcBorders>
              <w:top w:val="single" w:color="000000" w:sz="0"/>
              <w:left w:val="single" w:color="000000" w:sz="0"/>
              <w:bottom w:val="single" w:color="000000" w:sz="0"/>
              <w:right w:val="single" w:color="000000" w:sz="0"/>
            </w:tcBorders>
            <w:shd w:color="auto" w:fill="d97706"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Why It Matters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7</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House Point System</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Dedicated pastoral care module surfaced to students, teachers, and parents.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8</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Teacher Payslip View</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Data already in payroll; just needs a teacher-facing view. Quick win.</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9</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Transport Management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School bus routes, driver assignment, parent tracking alerts and secure pickup.</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10</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Parent Feedback Tool</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Structured survey/rating from parents to school. Builds trust and NPS.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11</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Communication Diary</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spacing w:val="0"/>
                <w:position w:val="0"/>
                <w:shd w:fill="auto" w:val="clear"/>
              </w:rPr>
            </w:pPr>
            <w:r>
              <w:rPr>
                <w:rFonts w:ascii="Calibri" w:hAnsi="Calibri" w:cs="Calibri" w:eastAsia="Calibri"/>
                <w:color w:val="6B7280"/>
                <w:spacing w:val="0"/>
                <w:position w:val="0"/>
                <w:sz w:val="19"/>
                <w:shd w:fill="auto" w:val="clear"/>
              </w:rPr>
              <w:t xml:space="preserve">Structured daily teacher </w:t>
            </w:r>
            <w:r>
              <w:rPr>
                <w:rFonts w:ascii="Segoe UI Symbol" w:hAnsi="Segoe UI Symbol" w:cs="Segoe UI Symbol" w:eastAsia="Segoe UI Symbol"/>
                <w:color w:val="6B7280"/>
                <w:spacing w:val="0"/>
                <w:position w:val="0"/>
                <w:sz w:val="19"/>
                <w:shd w:fill="auto" w:val="clear"/>
              </w:rPr>
              <w:t xml:space="preserve">↔</w:t>
            </w:r>
            <w:r>
              <w:rPr>
                <w:rFonts w:ascii="Calibri" w:hAnsi="Calibri" w:cs="Calibri" w:eastAsia="Calibri"/>
                <w:color w:val="6B7280"/>
                <w:spacing w:val="0"/>
                <w:position w:val="0"/>
                <w:sz w:val="19"/>
                <w:shd w:fill="auto" w:val="clear"/>
              </w:rPr>
              <w:t xml:space="preserve"> parent notes with read receipts.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12</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Formative Assessment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In-class ongoing quizzes and scoring, distinct from end-of-term CBT.</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13</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Health / Sickbay</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Complete the stub: student health records, incidents, parent notification.</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D97706"/>
                <w:spacing w:val="0"/>
                <w:position w:val="0"/>
                <w:sz w:val="19"/>
                <w:shd w:fill="auto" w:val="clear"/>
              </w:rPr>
              <w:t xml:space="preserve">14</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Inventory Management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Complete the stub: items, stock levels, procurement, issue tracking.</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24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D4ED8"/>
          <w:spacing w:val="0"/>
          <w:position w:val="0"/>
          <w:sz w:val="24"/>
          <w:shd w:fill="auto" w:val="clear"/>
        </w:rPr>
        <w:t xml:space="preserve">P3 </w:t>
      </w:r>
      <w:r>
        <w:rPr>
          <w:rFonts w:ascii="Calibri" w:hAnsi="Calibri" w:cs="Calibri" w:eastAsia="Calibri"/>
          <w:b/>
          <w:color w:val="1D4ED8"/>
          <w:spacing w:val="0"/>
          <w:position w:val="0"/>
          <w:sz w:val="24"/>
          <w:shd w:fill="auto" w:val="clear"/>
        </w:rPr>
        <w:t xml:space="preserve">—</w:t>
      </w:r>
      <w:r>
        <w:rPr>
          <w:rFonts w:ascii="Calibri" w:hAnsi="Calibri" w:cs="Calibri" w:eastAsia="Calibri"/>
          <w:b/>
          <w:color w:val="1D4ED8"/>
          <w:spacing w:val="0"/>
          <w:position w:val="0"/>
          <w:sz w:val="24"/>
          <w:shd w:fill="auto" w:val="clear"/>
        </w:rPr>
        <w:t xml:space="preserve"> Strategic (Future Phase)</w:t>
      </w:r>
    </w:p>
    <w:tbl>
      <w:tblPr/>
      <w:tblGrid>
        <w:gridCol w:w="3024"/>
        <w:gridCol w:w="3024"/>
        <w:gridCol w:w="3024"/>
      </w:tblGrid>
      <w:tr>
        <w:trPr>
          <w:trHeight w:val="1" w:hRule="atLeast"/>
          <w:jc w:val="center"/>
        </w:trPr>
        <w:tc>
          <w:tcPr>
            <w:tcW w:w="3024" w:type="dxa"/>
            <w:tcBorders>
              <w:top w:val="single" w:color="000000" w:sz="0"/>
              <w:left w:val="single" w:color="000000" w:sz="0"/>
              <w:bottom w:val="single" w:color="000000" w:sz="0"/>
              <w:right w:val="single" w:color="000000" w:sz="0"/>
            </w:tcBorders>
            <w:shd w:color="auto" w:fill="1d4ed8"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t>
            </w:r>
          </w:p>
        </w:tc>
        <w:tc>
          <w:tcPr>
            <w:tcW w:w="3024" w:type="dxa"/>
            <w:tcBorders>
              <w:top w:val="single" w:color="000000" w:sz="0"/>
              <w:left w:val="single" w:color="000000" w:sz="0"/>
              <w:bottom w:val="single" w:color="000000" w:sz="0"/>
              <w:right w:val="single" w:color="000000" w:sz="0"/>
            </w:tcBorders>
            <w:shd w:color="auto" w:fill="1d4ed8"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Module</w:t>
            </w:r>
          </w:p>
        </w:tc>
        <w:tc>
          <w:tcPr>
            <w:tcW w:w="3024" w:type="dxa"/>
            <w:tcBorders>
              <w:top w:val="single" w:color="000000" w:sz="0"/>
              <w:left w:val="single" w:color="000000" w:sz="0"/>
              <w:bottom w:val="single" w:color="000000" w:sz="0"/>
              <w:right w:val="single" w:color="000000" w:sz="0"/>
            </w:tcBorders>
            <w:shd w:color="auto" w:fill="1d4ed8"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8"/>
                <w:shd w:fill="auto" w:val="clear"/>
              </w:rPr>
              <w:t xml:space="preserve">Why It Matters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15</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Virtual Classroom (Live)</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Zoom/Jitsi/Google Meet integration for live online classes.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16</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AI Grading &amp; Assistance</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AI-powered marking, question generation from lesson notes, chatbot.</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17</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Student Performance AI</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Predictive analytics flagging at-risk students based on attendance and results.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18</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Hostel Management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Boarding students: rooms, meals, check-in/out, parent communication.</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19</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Multi-Curriculum Support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NERDC, Cambridge, IGCSE, IB curriculum tagging on lessons and assessments.</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20</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Offline CBT</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Exam-taking when internet is unavailable; syncs when reconnected.</w:t>
            </w:r>
          </w:p>
        </w:tc>
      </w:tr>
      <w:tr>
        <w:trPr>
          <w:trHeight w:val="1" w:hRule="atLeast"/>
          <w:jc w:val="center"/>
        </w:trPr>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1D4ED8"/>
                <w:spacing w:val="0"/>
                <w:position w:val="0"/>
                <w:sz w:val="19"/>
                <w:shd w:fill="auto" w:val="clear"/>
              </w:rPr>
              <w:t xml:space="preserve">21</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b/>
                <w:color w:val="0A2540"/>
                <w:spacing w:val="0"/>
                <w:position w:val="0"/>
                <w:sz w:val="19"/>
                <w:shd w:fill="auto" w:val="clear"/>
              </w:rPr>
              <w:t xml:space="preserve">Reseller / Partner Network</w:t>
            </w:r>
          </w:p>
        </w:tc>
        <w:tc>
          <w:tcPr>
            <w:tcW w:w="3024"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center"/>
          </w:tcPr>
          <w:p>
            <w:pPr>
              <w:spacing w:before="60" w:after="60" w:line="276"/>
              <w:ind w:right="0" w:left="0" w:firstLine="0"/>
              <w:jc w:val="left"/>
              <w:rPr>
                <w:rFonts w:ascii="Calibri" w:hAnsi="Calibri" w:cs="Calibri" w:eastAsia="Calibri"/>
                <w:spacing w:val="0"/>
                <w:position w:val="0"/>
                <w:shd w:fill="auto" w:val="clear"/>
              </w:rPr>
            </w:pPr>
            <w:r>
              <w:rPr>
                <w:rFonts w:ascii="Calibri" w:hAnsi="Calibri" w:cs="Calibri" w:eastAsia="Calibri"/>
                <w:color w:val="6B7280"/>
                <w:spacing w:val="0"/>
                <w:position w:val="0"/>
                <w:sz w:val="19"/>
                <w:shd w:fill="auto" w:val="clear"/>
              </w:rPr>
              <w:t xml:space="preserve">Commission-based partner portal for city-level resellers.</w:t>
            </w:r>
          </w:p>
        </w:tc>
      </w:tr>
    </w:tbl>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320" w:after="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18"/>
          <w:shd w:fill="auto" w:val="clear"/>
        </w:rPr>
        <w:t xml:space="preserve">05 </w:t>
      </w:r>
      <w:r>
        <w:rPr>
          <w:rFonts w:ascii="Calibri" w:hAnsi="Calibri" w:cs="Calibri" w:eastAsia="Calibri"/>
          <w:b/>
          <w:color w:val="0D6E3F"/>
          <w:spacing w:val="0"/>
          <w:position w:val="0"/>
          <w:sz w:val="18"/>
          <w:shd w:fill="auto" w:val="clear"/>
        </w:rPr>
        <w:t xml:space="preserve">—</w:t>
      </w:r>
      <w:r>
        <w:rPr>
          <w:rFonts w:ascii="Calibri" w:hAnsi="Calibri" w:cs="Calibri" w:eastAsia="Calibri"/>
          <w:b/>
          <w:color w:val="0D6E3F"/>
          <w:spacing w:val="0"/>
          <w:position w:val="0"/>
          <w:sz w:val="18"/>
          <w:shd w:fill="auto" w:val="clear"/>
        </w:rPr>
        <w:t xml:space="preserve"> CONCLUSION</w:t>
      </w:r>
    </w:p>
    <w:p>
      <w:pPr>
        <w:spacing w:before="28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A2540"/>
          <w:spacing w:val="0"/>
          <w:position w:val="0"/>
          <w:sz w:val="44"/>
          <w:shd w:fill="auto" w:val="clear"/>
        </w:rPr>
        <w:t xml:space="preserve">Recommendation</w:t>
      </w:r>
    </w:p>
    <w:p>
      <w:pPr>
        <w:spacing w:before="0" w:after="24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6B7280"/>
          <w:spacing w:val="0"/>
          <w:position w:val="0"/>
          <w:sz w:val="22"/>
          <w:shd w:fill="auto" w:val="clear"/>
        </w:rPr>
        <w:t xml:space="preserve">CASPAA enters the market with a stronger financial and platform infrastructure than EDVES. The single most important action is to close the learning content gap </w:t>
      </w:r>
      <w:r>
        <w:rPr>
          <w:rFonts w:ascii="Calibri" w:hAnsi="Calibri" w:cs="Calibri" w:eastAsia="Calibri"/>
          <w:color w:val="6B7280"/>
          <w:spacing w:val="0"/>
          <w:position w:val="0"/>
          <w:sz w:val="22"/>
          <w:shd w:fill="auto" w:val="clear"/>
        </w:rPr>
        <w:t xml:space="preserve">—</w:t>
      </w:r>
      <w:r>
        <w:rPr>
          <w:rFonts w:ascii="Calibri" w:hAnsi="Calibri" w:cs="Calibri" w:eastAsia="Calibri"/>
          <w:color w:val="6B7280"/>
          <w:spacing w:val="0"/>
          <w:position w:val="0"/>
          <w:sz w:val="22"/>
          <w:shd w:fill="auto" w:val="clear"/>
        </w:rPr>
        <w:t xml:space="preserve"> because that is what students and parents interact with daily, and it is the primary reason schools choose EDVES today.</w:t>
      </w:r>
    </w:p>
    <w:p>
      <w:pPr>
        <w:spacing w:before="16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D6E3F"/>
          <w:spacing w:val="0"/>
          <w:position w:val="0"/>
          <w:sz w:val="32"/>
          <w:shd w:fill="auto" w:val="clear"/>
        </w:rPr>
        <w:t xml:space="preserve">Immediate Focus</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Wire up online payment gateway (Paystack/Flutterwave)</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Build Event Calendar visible across all roles</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Implement Class Notes in the student learning hub</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Add Video Lesson embedding per subject</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Integrate PhET Simulations for Maths &amp; Science</w:t>
      </w:r>
    </w:p>
    <w:p>
      <w:pPr>
        <w:numPr>
          <w:ilvl w:val="0"/>
          <w:numId w:val="298"/>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Activate Bulk SMS via Africa's Talking or Termii</w:t>
      </w:r>
    </w:p>
    <w:p>
      <w:pPr>
        <w:spacing w:before="200" w:after="8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D4ED8"/>
          <w:spacing w:val="0"/>
          <w:position w:val="0"/>
          <w:sz w:val="32"/>
          <w:shd w:fill="auto" w:val="clear"/>
        </w:rPr>
        <w:t xml:space="preserve">Medium-Term Focus</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Dedicate House Point System as its own module</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Build Transport Management + Secure Pickup</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Add Parent Feedback Tool</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Complete Inventory &amp; Health/Sickbay stubs</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Add Communication Diary for teacher-parent notes</w:t>
      </w:r>
    </w:p>
    <w:p>
      <w:pPr>
        <w:numPr>
          <w:ilvl w:val="0"/>
          <w:numId w:val="300"/>
        </w:numPr>
        <w:tabs>
          <w:tab w:val="left" w:pos="360" w:leader="none"/>
        </w:tabs>
        <w:spacing w:before="20" w:after="40" w:line="276"/>
        <w:ind w:right="0" w:left="432" w:hanging="360"/>
        <w:jc w:val="left"/>
        <w:rPr>
          <w:rFonts w:ascii="Calibri" w:hAnsi="Calibri" w:cs="Calibri" w:eastAsia="Calibri"/>
          <w:color w:val="auto"/>
          <w:spacing w:val="0"/>
          <w:position w:val="0"/>
          <w:sz w:val="22"/>
          <w:shd w:fill="auto" w:val="clear"/>
        </w:rPr>
      </w:pPr>
      <w:r>
        <w:rPr>
          <w:rFonts w:ascii="Calibri" w:hAnsi="Calibri" w:cs="Calibri" w:eastAsia="Calibri"/>
          <w:color w:val="374151"/>
          <w:spacing w:val="0"/>
          <w:position w:val="0"/>
          <w:sz w:val="21"/>
          <w:shd w:fill="auto" w:val="clear"/>
        </w:rPr>
        <w:t xml:space="preserve">Begin AI roadmap: question generation from lesson notes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34">
    <w:abstractNumId w:val="18"/>
  </w:num>
  <w:num w:numId="36">
    <w:abstractNumId w:val="12"/>
  </w:num>
  <w:num w:numId="298">
    <w:abstractNumId w:val="6"/>
  </w:num>
  <w:num w:numId="30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