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rPr>
          <w:trHeight w:val="8000"/>
        </w:trPr>
        <w:tc>
          <w:tcPr>
            <w:tcW w:type="dxa" w:w="9072"/>
            <w:shd w:val="clear" w:color="auto" w:fill="0A2540"/>
          </w:tcPr>
          <w:p/>
          <w:p>
            <w:pPr>
              <w:spacing w:before="1200"/>
              <w:jc w:val="center"/>
            </w:pPr>
            <w:r>
              <w:rPr>
                <w:b/>
                <w:color w:val="FFFFFF"/>
                <w:sz w:val="72"/>
              </w:rPr>
              <w:t>CASPAA</w:t>
            </w:r>
          </w:p>
          <w:p>
            <w:pPr>
              <w:spacing w:after="480"/>
              <w:jc w:val="center"/>
            </w:pPr>
            <w:r>
              <w:rPr>
                <w:color w:val="34D399"/>
                <w:sz w:val="18"/>
              </w:rPr>
              <w:t>STRATEGIC DOCUMENT  ·  CONFIDENTIAL</w:t>
            </w:r>
          </w:p>
          <w:p>
            <w:pPr>
              <w:jc w:val="center"/>
            </w:pPr>
            <w:r>
              <w:rPr>
                <w:b/>
                <w:color w:val="FFFFFF"/>
                <w:sz w:val="56"/>
              </w:rPr>
              <w:t>Feature Gap Analysis &amp;</w:t>
              <w:br/>
              <w:t>Competitive Positioning</w:t>
            </w:r>
          </w:p>
          <w:p>
            <w:pPr>
              <w:spacing w:before="320"/>
              <w:jc w:val="center"/>
            </w:pPr>
            <w:r>
              <w:rPr>
                <w:color w:val="B0C4DE"/>
                <w:sz w:val="22"/>
              </w:rPr>
              <w:t>A structured assessment of CASPAA's current capabilities versus the EDVES benchmark,</w:t>
              <w:br/>
              <w:t>with strategic recommendations for the next product phase.</w:t>
            </w:r>
          </w:p>
          <w:p>
            <w:pPr>
              <w:spacing w:before="800"/>
              <w:jc w:val="center"/>
            </w:pPr>
            <w:r>
              <w:rPr>
                <w:color w:val="90A8C0"/>
                <w:sz w:val="18"/>
              </w:rPr>
              <w:t>Prepared By: Product &amp; Engineering     |     Date: June 2026     |     Version: 1.0     |     Audience: Stakeholders</w:t>
            </w:r>
          </w:p>
        </w:tc>
      </w:tr>
    </w:tbl>
    <w:p>
      <w:r>
        <w:br w:type="page"/>
      </w:r>
    </w:p>
    <w:p>
      <w:pPr>
        <w:spacing w:before="320" w:after="40"/>
      </w:pPr>
      <w:r>
        <w:rPr>
          <w:b/>
          <w:color w:val="0D6E3F"/>
          <w:sz w:val="18"/>
        </w:rPr>
        <w:t>01 — OVERVIEW</w:t>
      </w:r>
    </w:p>
    <w:p>
      <w:pPr>
        <w:spacing w:before="280" w:after="80"/>
        <w:jc w:val="left"/>
      </w:pPr>
      <w:r>
        <w:rPr>
          <w:b/>
          <w:i w:val="0"/>
          <w:color w:val="0A2540"/>
          <w:sz w:val="44"/>
        </w:rPr>
        <w:t>Executive Summary</w:t>
      </w:r>
    </w:p>
    <w:p>
      <w:pPr>
        <w:spacing w:before="0" w:after="240"/>
        <w:jc w:val="left"/>
      </w:pPr>
      <w:r>
        <w:rPr>
          <w:b w:val="0"/>
          <w:i w:val="0"/>
          <w:color w:val="6B7280"/>
          <w:sz w:val="22"/>
        </w:rPr>
        <w:t>This document benchmarks CASPAA against EDVES — one of the leading school management platforms in Africa with 1,800+ schools across 11 countries. The goal is to identify where CASPAA leads, where it lags, and what to build next to win the market.</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D1FAE5"/>
          </w:tcPr>
          <w:p>
            <w:pPr>
              <w:spacing w:before="200"/>
              <w:jc w:val="center"/>
            </w:pPr>
            <w:r>
              <w:rPr>
                <w:b/>
                <w:color w:val="0D6E3F"/>
                <w:sz w:val="64"/>
              </w:rPr>
              <w:t>7</w:t>
            </w:r>
          </w:p>
          <w:p>
            <w:pPr>
              <w:jc w:val="center"/>
            </w:pPr>
            <w:r>
              <w:rPr>
                <w:b/>
                <w:color w:val="0A2540"/>
                <w:sz w:val="22"/>
              </w:rPr>
              <w:t>Unique Advantages</w:t>
            </w:r>
          </w:p>
          <w:p>
            <w:pPr>
              <w:spacing w:after="200"/>
              <w:jc w:val="center"/>
            </w:pPr>
            <w:r>
              <w:rPr>
                <w:color w:val="6B7280"/>
                <w:sz w:val="18"/>
              </w:rPr>
              <w:t>Features CASPAA has that EDVES does not offer — genuine competitive moats.</w:t>
            </w:r>
          </w:p>
        </w:tc>
        <w:tc>
          <w:tcPr>
            <w:tcW w:type="dxa" w:w="3024"/>
            <w:shd w:val="clear" w:color="auto" w:fill="FEF3C7"/>
          </w:tcPr>
          <w:p>
            <w:pPr>
              <w:spacing w:before="200"/>
              <w:jc w:val="center"/>
            </w:pPr>
            <w:r>
              <w:rPr>
                <w:b/>
                <w:color w:val="D97706"/>
                <w:sz w:val="64"/>
              </w:rPr>
              <w:t>14</w:t>
            </w:r>
          </w:p>
          <w:p>
            <w:pPr>
              <w:jc w:val="center"/>
            </w:pPr>
            <w:r>
              <w:rPr>
                <w:b/>
                <w:color w:val="0A2540"/>
                <w:sz w:val="22"/>
              </w:rPr>
              <w:t>Critical Gaps</w:t>
            </w:r>
          </w:p>
          <w:p>
            <w:pPr>
              <w:spacing w:after="200"/>
              <w:jc w:val="center"/>
            </w:pPr>
            <w:r>
              <w:rPr>
                <w:color w:val="6B7280"/>
                <w:sz w:val="18"/>
              </w:rPr>
              <w:t>Features EDVES has that CASPAA is fully missing — must close to compete at parity.</w:t>
            </w:r>
          </w:p>
        </w:tc>
        <w:tc>
          <w:tcPr>
            <w:tcW w:type="dxa" w:w="3024"/>
            <w:shd w:val="clear" w:color="auto" w:fill="DBEAFE"/>
          </w:tcPr>
          <w:p>
            <w:pPr>
              <w:spacing w:before="200"/>
              <w:jc w:val="center"/>
            </w:pPr>
            <w:r>
              <w:rPr>
                <w:b/>
                <w:color w:val="1D4ED8"/>
                <w:sz w:val="64"/>
              </w:rPr>
              <w:t>5</w:t>
            </w:r>
          </w:p>
          <w:p>
            <w:pPr>
              <w:jc w:val="center"/>
            </w:pPr>
            <w:r>
              <w:rPr>
                <w:b/>
                <w:color w:val="0A2540"/>
                <w:sz w:val="22"/>
              </w:rPr>
              <w:t>Partial / Stub</w:t>
            </w:r>
          </w:p>
          <w:p>
            <w:pPr>
              <w:spacing w:after="200"/>
              <w:jc w:val="center"/>
            </w:pPr>
            <w:r>
              <w:rPr>
                <w:color w:val="6B7280"/>
                <w:sz w:val="18"/>
              </w:rPr>
              <w:t>Features CASPAA has started but not completed — quick wins with focused effort.</w:t>
            </w:r>
          </w:p>
        </w:tc>
      </w:tr>
      <w:tr>
        <w:tc>
          <w:tcPr>
            <w:tcW w:type="dxa" w:w="3024"/>
          </w:tcPr>
          <w:p/>
        </w:tc>
        <w:tc>
          <w:tcPr>
            <w:tcW w:type="dxa" w:w="3024"/>
          </w:tcPr>
          <w:p/>
        </w:tc>
        <w:tc>
          <w:tcPr>
            <w:tcW w:type="dxa" w:w="3024"/>
          </w:tcPr>
          <w:p/>
        </w:tc>
      </w:tr>
    </w:tbl>
    <w:p/>
    <w:tbl>
      <w:tblPr>
        <w:tblW w:type="auto" w:w="0"/>
        <w:tblLook w:firstColumn="1" w:firstRow="1" w:lastColumn="0" w:lastRow="0" w:noHBand="0" w:noVBand="1" w:val="04A0"/>
      </w:tblPr>
      <w:tblGrid>
        <w:gridCol w:w="9072"/>
      </w:tblGrid>
      <w:tr>
        <w:tc>
          <w:tcPr>
            <w:tcW w:type="dxa" w:w="9072"/>
            <w:shd w:val="clear" w:color="auto" w:fill="0A2540"/>
          </w:tcPr>
          <w:p/>
          <w:p>
            <w:pPr>
              <w:spacing w:before="240"/>
            </w:pPr>
            <w:r>
              <w:rPr>
                <w:b/>
                <w:color w:val="34D399"/>
                <w:sz w:val="26"/>
              </w:rPr>
              <w:t>Strategic Positioning Statement</w:t>
            </w:r>
          </w:p>
          <w:p>
            <w:pPr>
              <w:spacing w:after="240"/>
            </w:pPr>
            <w:r>
              <w:rPr>
                <w:color w:val="D0E0F0"/>
                <w:sz w:val="21"/>
              </w:rPr>
              <w:t>CASPAA is not simply a school management system — it is a School Operating System with a built-in financial infrastructure layer that no African EdTech platform currently offers at the same depth. Our fee lending, reconciliation engine, SaaS operator dashboard, and digital consent workflows are genuine differentiators. The priority now is to close the learning content gap (video lessons, class notes, simulations) and complete the operational modules (transport, hostel, health) so that CASPAA is a complete platform — not just a strong one.</w:t>
            </w:r>
          </w:p>
        </w:tc>
      </w:tr>
    </w:tbl>
    <w:p/>
    <w:p>
      <w:pPr>
        <w:spacing w:before="320" w:after="40"/>
      </w:pPr>
      <w:r>
        <w:rPr>
          <w:b/>
          <w:color w:val="0D6E3F"/>
          <w:sz w:val="18"/>
        </w:rPr>
        <w:t>02 — COMPETITIVE LANDSCAPE</w:t>
      </w:r>
    </w:p>
    <w:p>
      <w:pPr>
        <w:spacing w:before="280" w:after="80"/>
        <w:jc w:val="left"/>
      </w:pPr>
      <w:r>
        <w:rPr>
          <w:b/>
          <w:i w:val="0"/>
          <w:color w:val="0A2540"/>
          <w:sz w:val="44"/>
        </w:rPr>
        <w:t>Where We Lead vs. Where We Lag</w:t>
      </w:r>
    </w:p>
    <w:p>
      <w:pPr>
        <w:spacing w:before="160" w:after="80"/>
        <w:jc w:val="left"/>
      </w:pPr>
      <w:r>
        <w:rPr>
          <w:b/>
          <w:i w:val="0"/>
          <w:color w:val="0D6E3F"/>
          <w:sz w:val="32"/>
        </w:rPr>
        <w:t>CASPAA Advantages — Features EDVES Does Not Have</w:t>
      </w:r>
    </w:p>
    <w:p>
      <w:pPr>
        <w:pStyle w:val="ListBullet"/>
        <w:spacing w:before="20" w:after="40"/>
        <w:ind w:left="432"/>
      </w:pPr>
      <w:r>
        <w:rPr>
          <w:b/>
          <w:color w:val="0A2540"/>
          <w:sz w:val="21"/>
        </w:rPr>
        <w:t xml:space="preserve">Fee Lending &amp; Financing Module: </w:t>
      </w:r>
      <w:r>
        <w:rPr>
          <w:color w:val="374151"/>
          <w:sz w:val="21"/>
        </w:rPr>
        <w:t>Parents apply for fee loans; full repayment schedule tracking. No African EdTech competitor has this.</w:t>
      </w:r>
    </w:p>
    <w:p>
      <w:pPr>
        <w:pStyle w:val="ListBullet"/>
        <w:spacing w:before="20" w:after="40"/>
        <w:ind w:left="432"/>
      </w:pPr>
      <w:r>
        <w:rPr>
          <w:b/>
          <w:color w:val="0A2540"/>
          <w:sz w:val="21"/>
        </w:rPr>
        <w:t xml:space="preserve">Platform Super Admin Layer: </w:t>
      </w:r>
      <w:r>
        <w:rPr>
          <w:color w:val="374151"/>
          <w:sz w:val="21"/>
        </w:rPr>
        <w:t>MRR, ARR, school health scores, remittance management — a true SaaS operator view.</w:t>
      </w:r>
    </w:p>
    <w:p>
      <w:pPr>
        <w:pStyle w:val="ListBullet"/>
        <w:spacing w:before="20" w:after="40"/>
        <w:ind w:left="432"/>
      </w:pPr>
      <w:r>
        <w:rPr>
          <w:b/>
          <w:color w:val="0A2540"/>
          <w:sz w:val="21"/>
        </w:rPr>
        <w:t xml:space="preserve">Role-Based Chat System: </w:t>
      </w:r>
      <w:r>
        <w:rPr>
          <w:color w:val="374151"/>
          <w:sz w:val="21"/>
        </w:rPr>
        <w:t>Parents can only message their children's teachers (not the whole school). Admin/Principal has separate "Chat with Teacher" and "Chat with Parent" buttons. Includes file/image attachments and WhatsApp handoff. EDVES messaging is generic; CASPAA's is context-aware.</w:t>
      </w:r>
    </w:p>
    <w:p>
      <w:pPr>
        <w:pStyle w:val="ListBullet"/>
        <w:spacing w:before="20" w:after="40"/>
        <w:ind w:left="432"/>
      </w:pPr>
      <w:r>
        <w:rPr>
          <w:b/>
          <w:color w:val="0A2540"/>
          <w:sz w:val="21"/>
        </w:rPr>
        <w:t xml:space="preserve">Digital Consent Forms: </w:t>
      </w:r>
      <w:r>
        <w:rPr>
          <w:color w:val="374151"/>
          <w:sz w:val="21"/>
        </w:rPr>
        <w:t>Paperless activity &amp; trip approvals with parent tracking. EDVES does not offer this.</w:t>
      </w:r>
    </w:p>
    <w:p>
      <w:pPr>
        <w:pStyle w:val="ListBullet"/>
        <w:spacing w:before="20" w:after="40"/>
        <w:ind w:left="432"/>
      </w:pPr>
      <w:r>
        <w:rPr>
          <w:b/>
          <w:color w:val="0A2540"/>
          <w:sz w:val="21"/>
        </w:rPr>
        <w:t xml:space="preserve">Student Gamification: </w:t>
      </w:r>
      <w:r>
        <w:rPr>
          <w:color w:val="374151"/>
          <w:sz w:val="21"/>
        </w:rPr>
        <w:t>Stars, points, achievement badges driving student engagement — more sophisticated than EDVES's house points.</w:t>
      </w:r>
    </w:p>
    <w:p>
      <w:pPr>
        <w:pStyle w:val="ListBullet"/>
        <w:spacing w:before="20" w:after="40"/>
        <w:ind w:left="432"/>
      </w:pPr>
      <w:r>
        <w:rPr>
          <w:b/>
          <w:color w:val="0A2540"/>
          <w:sz w:val="21"/>
        </w:rPr>
        <w:t xml:space="preserve">Substitute Teacher Coverage Workflow: </w:t>
      </w:r>
      <w:r>
        <w:rPr>
          <w:color w:val="374151"/>
          <w:sz w:val="21"/>
        </w:rPr>
        <w:t>Structured coverage requests and acceptance; no equivalent in EDVES.</w:t>
      </w:r>
    </w:p>
    <w:p>
      <w:pPr>
        <w:pStyle w:val="ListBullet"/>
        <w:spacing w:before="20" w:after="40"/>
        <w:ind w:left="432"/>
      </w:pPr>
      <w:r>
        <w:rPr>
          <w:b/>
          <w:color w:val="0A2540"/>
          <w:sz w:val="21"/>
        </w:rPr>
        <w:t xml:space="preserve">Role Impersonation: </w:t>
      </w:r>
      <w:r>
        <w:rPr>
          <w:color w:val="374151"/>
          <w:sz w:val="21"/>
        </w:rPr>
        <w:t>Admins can view the system exactly as any user role sees it — powerful for support and demos.</w:t>
      </w:r>
    </w:p>
    <w:p>
      <w:pPr>
        <w:spacing w:before="240" w:after="80"/>
        <w:jc w:val="left"/>
      </w:pPr>
      <w:r>
        <w:rPr>
          <w:b/>
          <w:i w:val="0"/>
          <w:color w:val="DC2626"/>
          <w:sz w:val="32"/>
        </w:rPr>
        <w:t>Critical Gaps — Features EDVES Has That We Are Missing</w:t>
      </w:r>
    </w:p>
    <w:p>
      <w:pPr>
        <w:pStyle w:val="ListBullet"/>
        <w:spacing w:before="20" w:after="40"/>
        <w:ind w:left="432"/>
      </w:pPr>
      <w:r>
        <w:rPr>
          <w:b/>
          <w:color w:val="0A2540"/>
          <w:sz w:val="21"/>
        </w:rPr>
        <w:t xml:space="preserve">Video Lessons &amp; E-Videos: </w:t>
      </w:r>
      <w:r>
        <w:rPr>
          <w:color w:val="374151"/>
          <w:sz w:val="21"/>
        </w:rPr>
        <w:t>Student and teacher video content library — core daily student usage.</w:t>
      </w:r>
    </w:p>
    <w:p>
      <w:pPr>
        <w:pStyle w:val="ListBullet"/>
        <w:spacing w:before="20" w:after="40"/>
        <w:ind w:left="432"/>
      </w:pPr>
      <w:r>
        <w:rPr>
          <w:b/>
          <w:color w:val="0A2540"/>
          <w:sz w:val="21"/>
        </w:rPr>
        <w:t xml:space="preserve">Virtual Classroom: </w:t>
      </w:r>
      <w:r>
        <w:rPr>
          <w:color w:val="374151"/>
          <w:sz w:val="21"/>
        </w:rPr>
        <w:t>Live online classes; currently only a stub in CASPAA.</w:t>
      </w:r>
    </w:p>
    <w:p>
      <w:pPr>
        <w:pStyle w:val="ListBullet"/>
        <w:spacing w:before="20" w:after="40"/>
        <w:ind w:left="432"/>
      </w:pPr>
      <w:r>
        <w:rPr>
          <w:b/>
          <w:color w:val="0A2540"/>
          <w:sz w:val="21"/>
        </w:rPr>
        <w:t xml:space="preserve">Class Notes for Students: </w:t>
      </w:r>
      <w:r>
        <w:rPr>
          <w:color w:val="374151"/>
          <w:sz w:val="21"/>
        </w:rPr>
        <w:t>Teacher-posted notes accessible in the student portal.</w:t>
      </w:r>
    </w:p>
    <w:p>
      <w:pPr>
        <w:pStyle w:val="ListBullet"/>
        <w:spacing w:before="20" w:after="40"/>
        <w:ind w:left="432"/>
      </w:pPr>
      <w:r>
        <w:rPr>
          <w:b/>
          <w:color w:val="0A2540"/>
          <w:sz w:val="21"/>
        </w:rPr>
        <w:t xml:space="preserve">Maths &amp; Science Simulations (PhET): </w:t>
      </w:r>
      <w:r>
        <w:rPr>
          <w:color w:val="374151"/>
          <w:sz w:val="21"/>
        </w:rPr>
        <w:t>Interactive science labs — a key EDVES selling point, free to implement.</w:t>
      </w:r>
    </w:p>
    <w:p>
      <w:pPr>
        <w:pStyle w:val="ListBullet"/>
        <w:spacing w:before="20" w:after="40"/>
        <w:ind w:left="432"/>
      </w:pPr>
      <w:r>
        <w:rPr>
          <w:b/>
          <w:color w:val="0A2540"/>
          <w:sz w:val="21"/>
        </w:rPr>
        <w:t xml:space="preserve">School Bus &amp; Transport Management: </w:t>
      </w:r>
      <w:r>
        <w:rPr>
          <w:color w:val="374151"/>
          <w:sz w:val="21"/>
        </w:rPr>
        <w:t>Route tracking, driver assignment, parent pickup tracking.</w:t>
      </w:r>
    </w:p>
    <w:p>
      <w:pPr>
        <w:pStyle w:val="ListBullet"/>
        <w:spacing w:before="20" w:after="40"/>
        <w:ind w:left="432"/>
      </w:pPr>
      <w:r>
        <w:rPr>
          <w:b/>
          <w:color w:val="0A2540"/>
          <w:sz w:val="21"/>
        </w:rPr>
        <w:t xml:space="preserve">Hostel Management: </w:t>
      </w:r>
      <w:r>
        <w:rPr>
          <w:color w:val="374151"/>
          <w:sz w:val="21"/>
        </w:rPr>
        <w:t>Boarding student records and room assignments.</w:t>
      </w:r>
    </w:p>
    <w:p>
      <w:pPr>
        <w:pStyle w:val="ListBullet"/>
        <w:spacing w:before="20" w:after="40"/>
        <w:ind w:left="432"/>
      </w:pPr>
      <w:r>
        <w:rPr>
          <w:b/>
          <w:color w:val="0A2540"/>
          <w:sz w:val="21"/>
        </w:rPr>
        <w:t xml:space="preserve">House Point System: </w:t>
      </w:r>
      <w:r>
        <w:rPr>
          <w:color w:val="374151"/>
          <w:sz w:val="21"/>
        </w:rPr>
        <w:t>Dedicated pastoral care module — currently buried in discipline.</w:t>
      </w:r>
    </w:p>
    <w:p>
      <w:pPr>
        <w:pStyle w:val="ListBullet"/>
        <w:spacing w:before="20" w:after="40"/>
        <w:ind w:left="432"/>
      </w:pPr>
      <w:r>
        <w:rPr>
          <w:b/>
          <w:color w:val="0A2540"/>
          <w:sz w:val="21"/>
        </w:rPr>
        <w:t xml:space="preserve">Parent Feedback Tool: </w:t>
      </w:r>
      <w:r>
        <w:rPr>
          <w:color w:val="374151"/>
          <w:sz w:val="21"/>
        </w:rPr>
        <w:t>Structured parent-to-school feedback forms, distinct from consent forms.</w:t>
      </w:r>
    </w:p>
    <w:p>
      <w:pPr>
        <w:pStyle w:val="ListBullet"/>
        <w:spacing w:before="20" w:after="40"/>
        <w:ind w:left="432"/>
      </w:pPr>
      <w:r>
        <w:rPr>
          <w:b/>
          <w:color w:val="0A2540"/>
          <w:sz w:val="21"/>
        </w:rPr>
        <w:t xml:space="preserve">Secure Pickup (Parent Portal): </w:t>
      </w:r>
      <w:r>
        <w:rPr>
          <w:color w:val="374151"/>
          <w:sz w:val="21"/>
        </w:rPr>
        <w:t>Approved pickup person management per child.</w:t>
      </w:r>
    </w:p>
    <w:p>
      <w:pPr>
        <w:pStyle w:val="ListBullet"/>
        <w:spacing w:before="20" w:after="40"/>
        <w:ind w:left="432"/>
      </w:pPr>
      <w:r>
        <w:rPr>
          <w:b/>
          <w:color w:val="0A2540"/>
          <w:sz w:val="21"/>
        </w:rPr>
        <w:t xml:space="preserve">Event Calendar: </w:t>
      </w:r>
      <w:r>
        <w:rPr>
          <w:color w:val="374151"/>
          <w:sz w:val="21"/>
        </w:rPr>
        <w:t>School-wide events visible across all roles — Admin, Teacher, Parent, Student.</w:t>
      </w:r>
    </w:p>
    <w:p>
      <w:pPr>
        <w:pStyle w:val="ListBullet"/>
        <w:spacing w:before="20" w:after="40"/>
        <w:ind w:left="432"/>
      </w:pPr>
      <w:r>
        <w:rPr>
          <w:b/>
          <w:color w:val="0A2540"/>
          <w:sz w:val="21"/>
        </w:rPr>
        <w:t xml:space="preserve">Teacher Payslip View: </w:t>
      </w:r>
      <w:r>
        <w:rPr>
          <w:color w:val="374151"/>
          <w:sz w:val="21"/>
        </w:rPr>
        <w:t>Teachers viewing their own salary statements; payroll data exists but view is missing.</w:t>
      </w:r>
    </w:p>
    <w:p>
      <w:pPr>
        <w:pStyle w:val="ListBullet"/>
        <w:spacing w:before="20" w:after="40"/>
        <w:ind w:left="432"/>
      </w:pPr>
      <w:r>
        <w:rPr>
          <w:b/>
          <w:color w:val="0A2540"/>
          <w:sz w:val="21"/>
        </w:rPr>
        <w:t xml:space="preserve">Communication Diary: </w:t>
      </w:r>
      <w:r>
        <w:rPr>
          <w:color w:val="374151"/>
          <w:sz w:val="21"/>
        </w:rPr>
        <w:t>Structured per-student daily notes (Homework/Behaviour/Health categories) with read receipts — distinct from the free-form chat system.</w:t>
      </w:r>
    </w:p>
    <w:p>
      <w:pPr>
        <w:pStyle w:val="ListBullet"/>
        <w:spacing w:before="20" w:after="40"/>
        <w:ind w:left="432"/>
      </w:pPr>
      <w:r>
        <w:rPr>
          <w:b/>
          <w:color w:val="0A2540"/>
          <w:sz w:val="21"/>
        </w:rPr>
        <w:t xml:space="preserve">Formative Assessment: </w:t>
      </w:r>
      <w:r>
        <w:rPr>
          <w:color w:val="374151"/>
          <w:sz w:val="21"/>
        </w:rPr>
        <w:t>Distinct in-class ongoing assessment, not just end-of-term CBT.</w:t>
      </w:r>
    </w:p>
    <w:p>
      <w:pPr>
        <w:pStyle w:val="ListBullet"/>
        <w:spacing w:before="20" w:after="40"/>
        <w:ind w:left="432"/>
      </w:pPr>
      <w:r>
        <w:rPr>
          <w:b/>
          <w:color w:val="0A2540"/>
          <w:sz w:val="21"/>
        </w:rPr>
        <w:t xml:space="preserve">Bulk SMS &amp; Email: </w:t>
      </w:r>
      <w:r>
        <w:rPr>
          <w:color w:val="374151"/>
          <w:sz w:val="21"/>
        </w:rPr>
        <w:t>Critical in Nigerian market. Currently marked TBD in codebase.</w:t>
      </w:r>
    </w:p>
    <w:p>
      <w:r>
        <w:br w:type="page"/>
      </w:r>
    </w:p>
    <w:p>
      <w:pPr>
        <w:spacing w:before="320" w:after="40"/>
      </w:pPr>
      <w:r>
        <w:rPr>
          <w:b/>
          <w:color w:val="0D6E3F"/>
          <w:sz w:val="18"/>
        </w:rPr>
        <w:t>03 — DETAILED COMPARISON</w:t>
      </w:r>
    </w:p>
    <w:p>
      <w:pPr>
        <w:spacing w:before="280" w:after="80"/>
        <w:jc w:val="left"/>
      </w:pPr>
      <w:r>
        <w:rPr>
          <w:b/>
          <w:i w:val="0"/>
          <w:color w:val="0A2540"/>
          <w:sz w:val="44"/>
        </w:rPr>
        <w:t>Full Feature-by-Feature Breakdown</w:t>
      </w:r>
    </w:p>
    <w:p>
      <w:pPr>
        <w:spacing w:before="0" w:after="200"/>
        <w:jc w:val="left"/>
      </w:pPr>
      <w:r>
        <w:rPr>
          <w:b w:val="0"/>
          <w:i w:val="0"/>
          <w:color w:val="6B7280"/>
          <w:sz w:val="21"/>
        </w:rPr>
        <w:t>Every major feature category compared across both platforms, with priority classification for the CASPAA roadmap.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92"/>
            <w:shd w:val="clear" w:color="auto" w:fill="0A2540"/>
            <w:vAlign w:val="center"/>
          </w:tcPr>
          <w:p>
            <w:pPr>
              <w:spacing w:before="60" w:after="60"/>
            </w:pPr>
            <w:r>
              <w:rPr>
                <w:b/>
                <w:color w:val="FFFFFF"/>
                <w:sz w:val="18"/>
              </w:rPr>
              <w:t>Feature</w:t>
            </w:r>
          </w:p>
        </w:tc>
        <w:tc>
          <w:tcPr>
            <w:tcW w:type="dxa" w:w="1224"/>
            <w:shd w:val="clear" w:color="auto" w:fill="0A2540"/>
            <w:vAlign w:val="center"/>
          </w:tcPr>
          <w:p>
            <w:pPr>
              <w:spacing w:before="60" w:after="60"/>
            </w:pPr>
            <w:r>
              <w:rPr>
                <w:b/>
                <w:color w:val="FFFFFF"/>
                <w:sz w:val="18"/>
              </w:rPr>
              <w:t>EDVES</w:t>
            </w:r>
          </w:p>
        </w:tc>
        <w:tc>
          <w:tcPr>
            <w:tcW w:type="dxa" w:w="1224"/>
            <w:shd w:val="clear" w:color="auto" w:fill="0A2540"/>
            <w:vAlign w:val="center"/>
          </w:tcPr>
          <w:p>
            <w:pPr>
              <w:spacing w:before="60" w:after="60"/>
            </w:pPr>
            <w:r>
              <w:rPr>
                <w:b/>
                <w:color w:val="FFFFFF"/>
                <w:sz w:val="18"/>
              </w:rPr>
              <w:t>CASPAA Now</w:t>
            </w:r>
          </w:p>
        </w:tc>
        <w:tc>
          <w:tcPr>
            <w:tcW w:type="dxa" w:w="936"/>
            <w:shd w:val="clear" w:color="auto" w:fill="0A2540"/>
            <w:vAlign w:val="center"/>
          </w:tcPr>
          <w:p>
            <w:pPr>
              <w:spacing w:before="60" w:after="60"/>
            </w:pPr>
            <w:r>
              <w:rPr>
                <w:b/>
                <w:color w:val="FFFFFF"/>
                <w:sz w:val="18"/>
              </w:rPr>
              <w:t>Priority</w:t>
            </w:r>
          </w:p>
        </w:tc>
        <w:tc>
          <w:tcPr>
            <w:tcW w:type="dxa" w:w="3384"/>
            <w:shd w:val="clear" w:color="auto" w:fill="0A2540"/>
            <w:vAlign w:val="center"/>
          </w:tcPr>
          <w:p>
            <w:pPr>
              <w:spacing w:before="60" w:after="60"/>
            </w:pPr>
            <w:r>
              <w:rPr>
                <w:b/>
                <w:color w:val="FFFFFF"/>
                <w:sz w:val="18"/>
              </w:rPr>
              <w:t>Notes</w:t>
            </w:r>
          </w:p>
        </w:tc>
      </w:tr>
      <w:tr>
        <w:tc>
          <w:tcPr>
            <w:tcW w:type="dxa" w:w="3384"/>
            <w:gridSpan w:val="5"/>
            <w:shd w:val="clear" w:color="auto" w:fill="1A4A7A"/>
            <w:vAlign w:val="center"/>
          </w:tcPr>
          <w:p>
            <w:pPr>
              <w:spacing w:before="60" w:after="60"/>
            </w:pPr>
            <w:r>
              <w:rPr>
                <w:b/>
                <w:color w:val="FFFFFF"/>
                <w:sz w:val="18"/>
              </w:rPr>
              <w:t>Financial Management</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Fee Structure Management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Both complete. CASPAA adds activity-based fee layering.</w:t>
            </w:r>
          </w:p>
        </w:tc>
      </w:tr>
      <w:tr>
        <w:tc>
          <w:tcPr>
            <w:tcW w:type="dxa" w:w="2592"/>
            <w:shd w:val="clear" w:color="auto" w:fill="F3F4F6"/>
            <w:vAlign w:val="center"/>
          </w:tcPr>
          <w:p>
            <w:pPr>
              <w:spacing w:before="40" w:after="40"/>
            </w:pPr>
            <w:r>
              <w:rPr>
                <w:b/>
                <w:color w:val="0A2540"/>
                <w:sz w:val="18"/>
              </w:rPr>
              <w:t>Invoice Generation</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CASPAA includes line-item detail per activity.</w:t>
            </w:r>
          </w:p>
        </w:tc>
      </w:tr>
      <w:tr>
        <w:tc>
          <w:tcPr>
            <w:tcW w:type="dxa" w:w="2592"/>
            <w:shd w:val="clear" w:color="auto" w:fill="FFFFFF"/>
            <w:vAlign w:val="center"/>
          </w:tcPr>
          <w:p>
            <w:pPr>
              <w:spacing w:before="40" w:after="40"/>
            </w:pPr>
            <w:r>
              <w:rPr>
                <w:b/>
                <w:color w:val="0A2540"/>
                <w:sz w:val="18"/>
              </w:rPr>
              <w:t>Online Payment Integration</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Partial</w:t>
            </w:r>
          </w:p>
        </w:tc>
        <w:tc>
          <w:tcPr>
            <w:tcW w:type="dxa" w:w="936"/>
            <w:shd w:val="clear" w:color="auto" w:fill="FEE2E2"/>
            <w:vAlign w:val="center"/>
          </w:tcPr>
          <w:p>
            <w:pPr>
              <w:spacing w:before="40" w:after="40"/>
            </w:pPr>
            <w:r>
              <w:rPr>
                <w:b w:val="0"/>
                <w:color w:val="DC2626"/>
                <w:sz w:val="18"/>
              </w:rPr>
              <w:t>P1</w:t>
            </w:r>
          </w:p>
        </w:tc>
        <w:tc>
          <w:tcPr>
            <w:tcW w:type="dxa" w:w="3384"/>
            <w:shd w:val="clear" w:color="auto" w:fill="FFFFFF"/>
            <w:vAlign w:val="center"/>
          </w:tcPr>
          <w:p>
            <w:pPr>
              <w:spacing w:before="40" w:after="40"/>
            </w:pPr>
            <w:r>
              <w:rPr>
                <w:b w:val="0"/>
                <w:color w:val="6B7280"/>
                <w:sz w:val="18"/>
              </w:rPr>
              <w:t>Gateway UI exists; actual payment processing not wired.</w:t>
            </w:r>
          </w:p>
        </w:tc>
      </w:tr>
      <w:tr>
        <w:tc>
          <w:tcPr>
            <w:tcW w:type="dxa" w:w="2592"/>
            <w:shd w:val="clear" w:color="auto" w:fill="F3F4F6"/>
            <w:vAlign w:val="center"/>
          </w:tcPr>
          <w:p>
            <w:pPr>
              <w:spacing w:before="40" w:after="40"/>
            </w:pPr>
            <w:r>
              <w:rPr>
                <w:b/>
                <w:color w:val="0A2540"/>
                <w:sz w:val="18"/>
              </w:rPr>
              <w:t>Payment Reconciliation</w:t>
            </w:r>
          </w:p>
        </w:tc>
        <w:tc>
          <w:tcPr>
            <w:tcW w:type="dxa" w:w="1224"/>
            <w:shd w:val="clear" w:color="auto" w:fill="FEF3C7"/>
            <w:vAlign w:val="center"/>
          </w:tcPr>
          <w:p>
            <w:pPr>
              <w:spacing w:before="40" w:after="40"/>
            </w:pPr>
            <w:r>
              <w:rPr>
                <w:b w:val="0"/>
                <w:color w:val="D97706"/>
                <w:sz w:val="18"/>
              </w:rPr>
              <w:t>⚠ Basic</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3F4F6"/>
            <w:vAlign w:val="center"/>
          </w:tcPr>
          <w:p>
            <w:pPr>
              <w:spacing w:before="40" w:after="40"/>
            </w:pPr>
            <w:r>
              <w:rPr>
                <w:b w:val="0"/>
                <w:color w:val="6B7280"/>
                <w:sz w:val="18"/>
              </w:rPr>
              <w:t>CASPAA advantage: dedicated reconciliation workflow.</w:t>
            </w:r>
          </w:p>
        </w:tc>
      </w:tr>
      <w:tr>
        <w:tc>
          <w:tcPr>
            <w:tcW w:type="dxa" w:w="2592"/>
            <w:shd w:val="clear" w:color="auto" w:fill="FFFFFF"/>
            <w:vAlign w:val="center"/>
          </w:tcPr>
          <w:p>
            <w:pPr>
              <w:spacing w:before="40" w:after="40"/>
            </w:pPr>
            <w:r>
              <w:rPr>
                <w:b/>
                <w:color w:val="0A2540"/>
                <w:sz w:val="18"/>
              </w:rPr>
              <w:t>Expense Tracking</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Payroll Processing</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Parity.</w:t>
            </w:r>
          </w:p>
        </w:tc>
      </w:tr>
      <w:tr>
        <w:tc>
          <w:tcPr>
            <w:tcW w:type="dxa" w:w="2592"/>
            <w:shd w:val="clear" w:color="auto" w:fill="FFFFFF"/>
            <w:vAlign w:val="center"/>
          </w:tcPr>
          <w:p>
            <w:pPr>
              <w:spacing w:before="40" w:after="40"/>
            </w:pPr>
            <w:r>
              <w:rPr>
                <w:b/>
                <w:color w:val="0A2540"/>
                <w:sz w:val="18"/>
              </w:rPr>
              <w:t>Teacher Payslip (self-view)</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F3C7"/>
            <w:vAlign w:val="center"/>
          </w:tcPr>
          <w:p>
            <w:pPr>
              <w:spacing w:before="40" w:after="40"/>
            </w:pPr>
            <w:r>
              <w:rPr>
                <w:b w:val="0"/>
                <w:color w:val="D97706"/>
                <w:sz w:val="18"/>
              </w:rPr>
              <w:t>P2</w:t>
            </w:r>
          </w:p>
        </w:tc>
        <w:tc>
          <w:tcPr>
            <w:tcW w:type="dxa" w:w="3384"/>
            <w:shd w:val="clear" w:color="auto" w:fill="FFFFFF"/>
            <w:vAlign w:val="center"/>
          </w:tcPr>
          <w:p>
            <w:pPr>
              <w:spacing w:before="40" w:after="40"/>
            </w:pPr>
            <w:r>
              <w:rPr>
                <w:b w:val="0"/>
                <w:color w:val="6B7280"/>
                <w:sz w:val="18"/>
              </w:rPr>
              <w:t>Teachers cannot see their own payslip; data exists, view missing.</w:t>
            </w:r>
          </w:p>
        </w:tc>
      </w:tr>
      <w:tr>
        <w:tc>
          <w:tcPr>
            <w:tcW w:type="dxa" w:w="2592"/>
            <w:shd w:val="clear" w:color="auto" w:fill="F3F4F6"/>
            <w:vAlign w:val="center"/>
          </w:tcPr>
          <w:p>
            <w:pPr>
              <w:spacing w:before="40" w:after="40"/>
            </w:pPr>
            <w:r>
              <w:rPr>
                <w:b/>
                <w:color w:val="0A2540"/>
                <w:sz w:val="18"/>
              </w:rPr>
              <w:t>Financial Reports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Parity.</w:t>
            </w:r>
          </w:p>
        </w:tc>
      </w:tr>
      <w:tr>
        <w:tc>
          <w:tcPr>
            <w:tcW w:type="dxa" w:w="2592"/>
            <w:shd w:val="clear" w:color="auto" w:fill="FFFFFF"/>
            <w:vAlign w:val="center"/>
          </w:tcPr>
          <w:p>
            <w:pPr>
              <w:spacing w:before="40" w:after="40"/>
            </w:pPr>
            <w:r>
              <w:rPr>
                <w:b/>
                <w:color w:val="0A2540"/>
                <w:sz w:val="18"/>
              </w:rPr>
              <w:t>Fee Lending / Financing</w:t>
            </w:r>
          </w:p>
        </w:tc>
        <w:tc>
          <w:tcPr>
            <w:tcW w:type="dxa" w:w="1224"/>
            <w:shd w:val="clear" w:color="auto" w:fill="FEE2E2"/>
            <w:vAlign w:val="center"/>
          </w:tcPr>
          <w:p>
            <w:pPr>
              <w:spacing w:before="40" w:after="40"/>
            </w:pPr>
            <w:r>
              <w:rPr>
                <w:b w:val="0"/>
                <w:color w:val="DC2626"/>
                <w:sz w:val="18"/>
              </w:rPr>
              <w:t>✗ None</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FFFFF"/>
            <w:vAlign w:val="center"/>
          </w:tcPr>
          <w:p>
            <w:pPr>
              <w:spacing w:before="40" w:after="40"/>
            </w:pPr>
            <w:r>
              <w:rPr>
                <w:b w:val="0"/>
                <w:color w:val="6B7280"/>
                <w:sz w:val="18"/>
              </w:rPr>
              <w:t>Unique CASPAA differentiator. Parents borrow school fees.</w:t>
            </w:r>
          </w:p>
        </w:tc>
      </w:tr>
      <w:tr>
        <w:tc>
          <w:tcPr>
            <w:tcW w:type="dxa" w:w="3384"/>
            <w:gridSpan w:val="5"/>
            <w:shd w:val="clear" w:color="auto" w:fill="1A4A7A"/>
            <w:vAlign w:val="center"/>
          </w:tcPr>
          <w:p>
            <w:pPr>
              <w:spacing w:before="60" w:after="60"/>
            </w:pPr>
            <w:r>
              <w:rPr>
                <w:b/>
                <w:color w:val="FFFFFF"/>
                <w:sz w:val="18"/>
              </w:rPr>
              <w:t>Academic &amp; Learning</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Result Management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Attendance Tracking</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CASPAA adds staff clock-in/out.</w:t>
            </w:r>
          </w:p>
        </w:tc>
      </w:tr>
      <w:tr>
        <w:tc>
          <w:tcPr>
            <w:tcW w:type="dxa" w:w="2592"/>
            <w:shd w:val="clear" w:color="auto" w:fill="FFFFFF"/>
            <w:vAlign w:val="center"/>
          </w:tcPr>
          <w:p>
            <w:pPr>
              <w:spacing w:before="40" w:after="40"/>
            </w:pPr>
            <w:r>
              <w:rPr>
                <w:b/>
                <w:color w:val="0A2540"/>
                <w:sz w:val="18"/>
              </w:rPr>
              <w:t>Online CBT / Exams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Offline CBT / Exams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3F4F6"/>
            <w:vAlign w:val="center"/>
          </w:tcPr>
          <w:p>
            <w:pPr>
              <w:spacing w:before="40" w:after="40"/>
            </w:pPr>
            <w:r>
              <w:rPr>
                <w:b w:val="0"/>
                <w:color w:val="6B7280"/>
                <w:sz w:val="18"/>
              </w:rPr>
              <w:t>EDVES supports offline exam-taking.</w:t>
            </w:r>
          </w:p>
        </w:tc>
      </w:tr>
      <w:tr>
        <w:tc>
          <w:tcPr>
            <w:tcW w:type="dxa" w:w="2592"/>
            <w:shd w:val="clear" w:color="auto" w:fill="FFFFFF"/>
            <w:vAlign w:val="center"/>
          </w:tcPr>
          <w:p>
            <w:pPr>
              <w:spacing w:before="40" w:after="40"/>
            </w:pPr>
            <w:r>
              <w:rPr>
                <w:b/>
                <w:color w:val="0A2540"/>
                <w:sz w:val="18"/>
              </w:rPr>
              <w:t>Assignments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Lesson Plans (Teacher)</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Parity.</w:t>
            </w:r>
          </w:p>
        </w:tc>
      </w:tr>
      <w:tr>
        <w:tc>
          <w:tcPr>
            <w:tcW w:type="dxa" w:w="2592"/>
            <w:shd w:val="clear" w:color="auto" w:fill="FFFFFF"/>
            <w:vAlign w:val="center"/>
          </w:tcPr>
          <w:p>
            <w:pPr>
              <w:spacing w:before="40" w:after="40"/>
            </w:pPr>
            <w:r>
              <w:rPr>
                <w:b/>
                <w:color w:val="0A2540"/>
                <w:sz w:val="18"/>
              </w:rPr>
              <w:t>Class Notes (Student access)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E2E2"/>
            <w:vAlign w:val="center"/>
          </w:tcPr>
          <w:p>
            <w:pPr>
              <w:spacing w:before="40" w:after="40"/>
            </w:pPr>
            <w:r>
              <w:rPr>
                <w:b w:val="0"/>
                <w:color w:val="DC2626"/>
                <w:sz w:val="18"/>
              </w:rPr>
              <w:t>P1</w:t>
            </w:r>
          </w:p>
        </w:tc>
        <w:tc>
          <w:tcPr>
            <w:tcW w:type="dxa" w:w="3384"/>
            <w:shd w:val="clear" w:color="auto" w:fill="FFFFFF"/>
            <w:vAlign w:val="center"/>
          </w:tcPr>
          <w:p>
            <w:pPr>
              <w:spacing w:before="40" w:after="40"/>
            </w:pPr>
            <w:r>
              <w:rPr>
                <w:b w:val="0"/>
                <w:color w:val="6B7280"/>
                <w:sz w:val="18"/>
              </w:rPr>
              <w:t>Teachers post notes; students read them in portal.</w:t>
            </w:r>
          </w:p>
        </w:tc>
      </w:tr>
      <w:tr>
        <w:tc>
          <w:tcPr>
            <w:tcW w:type="dxa" w:w="2592"/>
            <w:shd w:val="clear" w:color="auto" w:fill="F3F4F6"/>
            <w:vAlign w:val="center"/>
          </w:tcPr>
          <w:p>
            <w:pPr>
              <w:spacing w:before="40" w:after="40"/>
            </w:pPr>
            <w:r>
              <w:rPr>
                <w:b/>
                <w:color w:val="0A2540"/>
                <w:sz w:val="18"/>
              </w:rPr>
              <w:t>Video Lessons / E-Videos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Stub</w:t>
            </w:r>
          </w:p>
        </w:tc>
        <w:tc>
          <w:tcPr>
            <w:tcW w:type="dxa" w:w="936"/>
            <w:shd w:val="clear" w:color="auto" w:fill="FEE2E2"/>
            <w:vAlign w:val="center"/>
          </w:tcPr>
          <w:p>
            <w:pPr>
              <w:spacing w:before="40" w:after="40"/>
            </w:pPr>
            <w:r>
              <w:rPr>
                <w:b w:val="0"/>
                <w:color w:val="DC2626"/>
                <w:sz w:val="18"/>
              </w:rPr>
              <w:t>P1</w:t>
            </w:r>
          </w:p>
        </w:tc>
        <w:tc>
          <w:tcPr>
            <w:tcW w:type="dxa" w:w="3384"/>
            <w:shd w:val="clear" w:color="auto" w:fill="F3F4F6"/>
            <w:vAlign w:val="center"/>
          </w:tcPr>
          <w:p>
            <w:pPr>
              <w:spacing w:before="40" w:after="40"/>
            </w:pPr>
            <w:r>
              <w:rPr>
                <w:b w:val="0"/>
                <w:color w:val="6B7280"/>
                <w:sz w:val="18"/>
              </w:rPr>
              <w:t>Learning hub exists but has no video content functionality.</w:t>
            </w:r>
          </w:p>
        </w:tc>
      </w:tr>
      <w:tr>
        <w:tc>
          <w:tcPr>
            <w:tcW w:type="dxa" w:w="2592"/>
            <w:shd w:val="clear" w:color="auto" w:fill="FFFFFF"/>
            <w:vAlign w:val="center"/>
          </w:tcPr>
          <w:p>
            <w:pPr>
              <w:spacing w:before="40" w:after="40"/>
            </w:pPr>
            <w:r>
              <w:rPr>
                <w:b/>
                <w:color w:val="0A2540"/>
                <w:sz w:val="18"/>
              </w:rPr>
              <w:t>Virtual Classroom (Live)</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Stub</w:t>
            </w:r>
          </w:p>
        </w:tc>
        <w:tc>
          <w:tcPr>
            <w:tcW w:type="dxa" w:w="936"/>
            <w:shd w:val="clear" w:color="auto" w:fill="FEE2E2"/>
            <w:vAlign w:val="center"/>
          </w:tcPr>
          <w:p>
            <w:pPr>
              <w:spacing w:before="40" w:after="40"/>
            </w:pPr>
            <w:r>
              <w:rPr>
                <w:b w:val="0"/>
                <w:color w:val="DC2626"/>
                <w:sz w:val="18"/>
              </w:rPr>
              <w:t>P1</w:t>
            </w:r>
          </w:p>
        </w:tc>
        <w:tc>
          <w:tcPr>
            <w:tcW w:type="dxa" w:w="3384"/>
            <w:shd w:val="clear" w:color="auto" w:fill="FFFFFF"/>
            <w:vAlign w:val="center"/>
          </w:tcPr>
          <w:p>
            <w:pPr>
              <w:spacing w:before="40" w:after="40"/>
            </w:pPr>
            <w:r>
              <w:rPr>
                <w:b w:val="0"/>
                <w:color w:val="6B7280"/>
                <w:sz w:val="18"/>
              </w:rPr>
              <w:t>Can integrate Zoom/Google Meet or Jitsi.</w:t>
            </w:r>
          </w:p>
        </w:tc>
      </w:tr>
      <w:tr>
        <w:tc>
          <w:tcPr>
            <w:tcW w:type="dxa" w:w="2592"/>
            <w:shd w:val="clear" w:color="auto" w:fill="F3F4F6"/>
            <w:vAlign w:val="center"/>
          </w:tcPr>
          <w:p>
            <w:pPr>
              <w:spacing w:before="40" w:after="40"/>
            </w:pPr>
            <w:r>
              <w:rPr>
                <w:b/>
                <w:color w:val="0A2540"/>
                <w:sz w:val="18"/>
              </w:rPr>
              <w:t>Maths &amp; Science Simulations</w:t>
            </w:r>
          </w:p>
        </w:tc>
        <w:tc>
          <w:tcPr>
            <w:tcW w:type="dxa" w:w="1224"/>
            <w:shd w:val="clear" w:color="auto" w:fill="D1FAE5"/>
            <w:vAlign w:val="center"/>
          </w:tcPr>
          <w:p>
            <w:pPr>
              <w:spacing w:before="40" w:after="40"/>
            </w:pPr>
            <w:r>
              <w:rPr>
                <w:b w:val="0"/>
                <w:color w:val="0D6E3F"/>
                <w:sz w:val="18"/>
              </w:rPr>
              <w:t>✓ PhET</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E2E2"/>
            <w:vAlign w:val="center"/>
          </w:tcPr>
          <w:p>
            <w:pPr>
              <w:spacing w:before="40" w:after="40"/>
            </w:pPr>
            <w:r>
              <w:rPr>
                <w:b w:val="0"/>
                <w:color w:val="DC2626"/>
                <w:sz w:val="18"/>
              </w:rPr>
              <w:t>P1</w:t>
            </w:r>
          </w:p>
        </w:tc>
        <w:tc>
          <w:tcPr>
            <w:tcW w:type="dxa" w:w="3384"/>
            <w:shd w:val="clear" w:color="auto" w:fill="F3F4F6"/>
            <w:vAlign w:val="center"/>
          </w:tcPr>
          <w:p>
            <w:pPr>
              <w:spacing w:before="40" w:after="40"/>
            </w:pPr>
            <w:r>
              <w:rPr>
                <w:b w:val="0"/>
                <w:color w:val="6B7280"/>
                <w:sz w:val="18"/>
              </w:rPr>
              <w:t>EDVES key differentiator. PhET is free and embeddable.</w:t>
            </w:r>
          </w:p>
        </w:tc>
      </w:tr>
      <w:tr>
        <w:tc>
          <w:tcPr>
            <w:tcW w:type="dxa" w:w="2592"/>
            <w:shd w:val="clear" w:color="auto" w:fill="FFFFFF"/>
            <w:vAlign w:val="center"/>
          </w:tcPr>
          <w:p>
            <w:pPr>
              <w:spacing w:before="40" w:after="40"/>
            </w:pPr>
            <w:r>
              <w:rPr>
                <w:b/>
                <w:color w:val="0A2540"/>
                <w:sz w:val="18"/>
              </w:rPr>
              <w:t>Formative Assessment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F3C7"/>
            <w:vAlign w:val="center"/>
          </w:tcPr>
          <w:p>
            <w:pPr>
              <w:spacing w:before="40" w:after="40"/>
            </w:pPr>
            <w:r>
              <w:rPr>
                <w:b w:val="0"/>
                <w:color w:val="D97706"/>
                <w:sz w:val="18"/>
              </w:rPr>
              <w:t>P2</w:t>
            </w:r>
          </w:p>
        </w:tc>
        <w:tc>
          <w:tcPr>
            <w:tcW w:type="dxa" w:w="3384"/>
            <w:shd w:val="clear" w:color="auto" w:fill="FFFFFF"/>
            <w:vAlign w:val="center"/>
          </w:tcPr>
          <w:p>
            <w:pPr>
              <w:spacing w:before="40" w:after="40"/>
            </w:pPr>
            <w:r>
              <w:rPr>
                <w:b w:val="0"/>
                <w:color w:val="6B7280"/>
                <w:sz w:val="18"/>
              </w:rPr>
              <w:t>Ongoing in-class assessment, distinct from term-end CBT.</w:t>
            </w:r>
          </w:p>
        </w:tc>
      </w:tr>
      <w:tr>
        <w:tc>
          <w:tcPr>
            <w:tcW w:type="dxa" w:w="2592"/>
            <w:shd w:val="clear" w:color="auto" w:fill="F3F4F6"/>
            <w:vAlign w:val="center"/>
          </w:tcPr>
          <w:p>
            <w:pPr>
              <w:spacing w:before="40" w:after="40"/>
            </w:pPr>
            <w:r>
              <w:rPr>
                <w:b/>
                <w:color w:val="0A2540"/>
                <w:sz w:val="18"/>
              </w:rPr>
              <w:t>Timetable</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Parity.</w:t>
            </w:r>
          </w:p>
        </w:tc>
      </w:tr>
      <w:tr>
        <w:tc>
          <w:tcPr>
            <w:tcW w:type="dxa" w:w="2592"/>
            <w:shd w:val="clear" w:color="auto" w:fill="FFFFFF"/>
            <w:vAlign w:val="center"/>
          </w:tcPr>
          <w:p>
            <w:pPr>
              <w:spacing w:before="40" w:after="40"/>
            </w:pPr>
            <w:r>
              <w:rPr>
                <w:b/>
                <w:color w:val="0A2540"/>
                <w:sz w:val="18"/>
              </w:rPr>
              <w:t>Curriculum Mapping</w:t>
            </w:r>
          </w:p>
        </w:tc>
        <w:tc>
          <w:tcPr>
            <w:tcW w:type="dxa" w:w="1224"/>
            <w:shd w:val="clear" w:color="auto" w:fill="D1FAE5"/>
            <w:vAlign w:val="center"/>
          </w:tcPr>
          <w:p>
            <w:pPr>
              <w:spacing w:before="40" w:after="40"/>
            </w:pPr>
            <w:r>
              <w:rPr>
                <w:b w:val="0"/>
                <w:color w:val="0D6E3F"/>
                <w:sz w:val="18"/>
              </w:rPr>
              <w:t>✓ Multi</w:t>
            </w:r>
          </w:p>
        </w:tc>
        <w:tc>
          <w:tcPr>
            <w:tcW w:type="dxa" w:w="1224"/>
            <w:shd w:val="clear" w:color="auto" w:fill="FEF3C7"/>
            <w:vAlign w:val="center"/>
          </w:tcPr>
          <w:p>
            <w:pPr>
              <w:spacing w:before="40" w:after="40"/>
            </w:pPr>
            <w:r>
              <w:rPr>
                <w:b w:val="0"/>
                <w:color w:val="D97706"/>
                <w:sz w:val="18"/>
              </w:rPr>
              <w:t>⚠ Partial</w:t>
            </w:r>
          </w:p>
        </w:tc>
        <w:tc>
          <w:tcPr>
            <w:tcW w:type="dxa" w:w="936"/>
            <w:shd w:val="clear" w:color="auto" w:fill="DBEAFE"/>
            <w:vAlign w:val="center"/>
          </w:tcPr>
          <w:p>
            <w:pPr>
              <w:spacing w:before="40" w:after="40"/>
            </w:pPr>
            <w:r>
              <w:rPr>
                <w:b w:val="0"/>
                <w:color w:val="1D4ED8"/>
                <w:sz w:val="18"/>
              </w:rPr>
              <w:t>P3</w:t>
            </w:r>
          </w:p>
        </w:tc>
        <w:tc>
          <w:tcPr>
            <w:tcW w:type="dxa" w:w="3384"/>
            <w:shd w:val="clear" w:color="auto" w:fill="FFFFFF"/>
            <w:vAlign w:val="center"/>
          </w:tcPr>
          <w:p>
            <w:pPr>
              <w:spacing w:before="40" w:after="40"/>
            </w:pPr>
            <w:r>
              <w:rPr>
                <w:b w:val="0"/>
                <w:color w:val="6B7280"/>
                <w:sz w:val="18"/>
              </w:rPr>
              <w:t>EDVES supports NERDC, Cambridge, IGCSE, IB.</w:t>
            </w:r>
          </w:p>
        </w:tc>
      </w:tr>
      <w:tr>
        <w:tc>
          <w:tcPr>
            <w:tcW w:type="dxa" w:w="3384"/>
            <w:gridSpan w:val="5"/>
            <w:shd w:val="clear" w:color="auto" w:fill="1A4A7A"/>
            <w:vAlign w:val="center"/>
          </w:tcPr>
          <w:p>
            <w:pPr>
              <w:spacing w:before="60" w:after="60"/>
            </w:pPr>
            <w:r>
              <w:rPr>
                <w:b/>
                <w:color w:val="FFFFFF"/>
                <w:sz w:val="18"/>
              </w:rPr>
              <w:t>Student Management</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Student Enrollment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Admissions Workflow</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Partial</w:t>
            </w:r>
          </w:p>
        </w:tc>
        <w:tc>
          <w:tcPr>
            <w:tcW w:type="dxa" w:w="936"/>
            <w:shd w:val="clear" w:color="auto" w:fill="FEF3C7"/>
            <w:vAlign w:val="center"/>
          </w:tcPr>
          <w:p>
            <w:pPr>
              <w:spacing w:before="40" w:after="40"/>
            </w:pPr>
            <w:r>
              <w:rPr>
                <w:b w:val="0"/>
                <w:color w:val="D97706"/>
                <w:sz w:val="18"/>
              </w:rPr>
              <w:t>P2</w:t>
            </w:r>
          </w:p>
        </w:tc>
        <w:tc>
          <w:tcPr>
            <w:tcW w:type="dxa" w:w="3384"/>
            <w:shd w:val="clear" w:color="auto" w:fill="F3F4F6"/>
            <w:vAlign w:val="center"/>
          </w:tcPr>
          <w:p>
            <w:pPr>
              <w:spacing w:before="40" w:after="40"/>
            </w:pPr>
            <w:r>
              <w:rPr>
                <w:b w:val="0"/>
                <w:color w:val="6B7280"/>
                <w:sz w:val="18"/>
              </w:rPr>
              <w:t>Full application form workflow incomplete.</w:t>
            </w:r>
          </w:p>
        </w:tc>
      </w:tr>
      <w:tr>
        <w:tc>
          <w:tcPr>
            <w:tcW w:type="dxa" w:w="2592"/>
            <w:shd w:val="clear" w:color="auto" w:fill="FFFFFF"/>
            <w:vAlign w:val="center"/>
          </w:tcPr>
          <w:p>
            <w:pPr>
              <w:spacing w:before="40" w:after="40"/>
            </w:pPr>
            <w:r>
              <w:rPr>
                <w:b/>
                <w:color w:val="0A2540"/>
                <w:sz w:val="18"/>
              </w:rPr>
              <w:t>Behaviour / Discipline</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House Point System</w:t>
            </w:r>
          </w:p>
        </w:tc>
        <w:tc>
          <w:tcPr>
            <w:tcW w:type="dxa" w:w="1224"/>
            <w:shd w:val="clear" w:color="auto" w:fill="D1FAE5"/>
            <w:vAlign w:val="center"/>
          </w:tcPr>
          <w:p>
            <w:pPr>
              <w:spacing w:before="40" w:after="40"/>
            </w:pPr>
            <w:r>
              <w:rPr>
                <w:b w:val="0"/>
                <w:color w:val="0D6E3F"/>
                <w:sz w:val="18"/>
              </w:rPr>
              <w:t>✓ Dedicated</w:t>
            </w:r>
          </w:p>
        </w:tc>
        <w:tc>
          <w:tcPr>
            <w:tcW w:type="dxa" w:w="1224"/>
            <w:shd w:val="clear" w:color="auto" w:fill="FEF3C7"/>
            <w:vAlign w:val="center"/>
          </w:tcPr>
          <w:p>
            <w:pPr>
              <w:spacing w:before="40" w:after="40"/>
            </w:pPr>
            <w:r>
              <w:rPr>
                <w:b w:val="0"/>
                <w:color w:val="D97706"/>
                <w:sz w:val="18"/>
              </w:rPr>
              <w:t>⚠ Buried</w:t>
            </w:r>
          </w:p>
        </w:tc>
        <w:tc>
          <w:tcPr>
            <w:tcW w:type="dxa" w:w="936"/>
            <w:shd w:val="clear" w:color="auto" w:fill="FEF3C7"/>
            <w:vAlign w:val="center"/>
          </w:tcPr>
          <w:p>
            <w:pPr>
              <w:spacing w:before="40" w:after="40"/>
            </w:pPr>
            <w:r>
              <w:rPr>
                <w:b w:val="0"/>
                <w:color w:val="D97706"/>
                <w:sz w:val="18"/>
              </w:rPr>
              <w:t>P2</w:t>
            </w:r>
          </w:p>
        </w:tc>
        <w:tc>
          <w:tcPr>
            <w:tcW w:type="dxa" w:w="3384"/>
            <w:shd w:val="clear" w:color="auto" w:fill="F3F4F6"/>
            <w:vAlign w:val="center"/>
          </w:tcPr>
          <w:p>
            <w:pPr>
              <w:spacing w:before="40" w:after="40"/>
            </w:pPr>
            <w:r>
              <w:rPr>
                <w:b w:val="0"/>
                <w:color w:val="6B7280"/>
                <w:sz w:val="18"/>
              </w:rPr>
              <w:t>CASPAA has behavior tracking but no dedicated house point module.</w:t>
            </w:r>
          </w:p>
        </w:tc>
      </w:tr>
      <w:tr>
        <w:tc>
          <w:tcPr>
            <w:tcW w:type="dxa" w:w="2592"/>
            <w:shd w:val="clear" w:color="auto" w:fill="FFFFFF"/>
            <w:vAlign w:val="center"/>
          </w:tcPr>
          <w:p>
            <w:pPr>
              <w:spacing w:before="40" w:after="40"/>
            </w:pPr>
            <w:r>
              <w:rPr>
                <w:b/>
                <w:color w:val="0A2540"/>
                <w:sz w:val="18"/>
              </w:rPr>
              <w:t>Student Gamification</w:t>
            </w:r>
          </w:p>
        </w:tc>
        <w:tc>
          <w:tcPr>
            <w:tcW w:type="dxa" w:w="1224"/>
            <w:shd w:val="clear" w:color="auto" w:fill="FEF3C7"/>
            <w:vAlign w:val="center"/>
          </w:tcPr>
          <w:p>
            <w:pPr>
              <w:spacing w:before="40" w:after="40"/>
            </w:pPr>
            <w:r>
              <w:rPr>
                <w:b w:val="0"/>
                <w:color w:val="D97706"/>
                <w:sz w:val="18"/>
              </w:rPr>
              <w:t>⚠ Basic</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FFFFF"/>
            <w:vAlign w:val="center"/>
          </w:tcPr>
          <w:p>
            <w:pPr>
              <w:spacing w:before="40" w:after="40"/>
            </w:pPr>
            <w:r>
              <w:rPr>
                <w:b w:val="0"/>
                <w:color w:val="6B7280"/>
                <w:sz w:val="18"/>
              </w:rPr>
              <w:t>CASPAA stars/points/badges system is more advanced.</w:t>
            </w:r>
          </w:p>
        </w:tc>
      </w:tr>
      <w:tr>
        <w:tc>
          <w:tcPr>
            <w:tcW w:type="dxa" w:w="2592"/>
            <w:shd w:val="clear" w:color="auto" w:fill="F3F4F6"/>
            <w:vAlign w:val="center"/>
          </w:tcPr>
          <w:p>
            <w:pPr>
              <w:spacing w:before="40" w:after="40"/>
            </w:pPr>
            <w:r>
              <w:rPr>
                <w:b/>
                <w:color w:val="0A2540"/>
                <w:sz w:val="18"/>
              </w:rPr>
              <w:t>Alumni Tracking</w:t>
            </w:r>
          </w:p>
        </w:tc>
        <w:tc>
          <w:tcPr>
            <w:tcW w:type="dxa" w:w="1224"/>
            <w:shd w:val="clear" w:color="auto" w:fill="FEF3C7"/>
            <w:vAlign w:val="center"/>
          </w:tcPr>
          <w:p>
            <w:pPr>
              <w:spacing w:before="40" w:after="40"/>
            </w:pPr>
            <w:r>
              <w:rPr>
                <w:b w:val="0"/>
                <w:color w:val="D97706"/>
                <w:sz w:val="18"/>
              </w:rPr>
              <w:t>⚠ Basic</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3F4F6"/>
            <w:vAlign w:val="center"/>
          </w:tcPr>
          <w:p>
            <w:pPr>
              <w:spacing w:before="40" w:after="40"/>
            </w:pPr>
            <w:r>
              <w:rPr>
                <w:b w:val="0"/>
                <w:color w:val="6B7280"/>
                <w:sz w:val="18"/>
              </w:rPr>
              <w:t>CASPAA has career tracking and alumni network support.</w:t>
            </w:r>
          </w:p>
        </w:tc>
      </w:tr>
      <w:tr>
        <w:tc>
          <w:tcPr>
            <w:tcW w:type="dxa" w:w="3384"/>
            <w:gridSpan w:val="5"/>
            <w:shd w:val="clear" w:color="auto" w:fill="1A4A7A"/>
            <w:vAlign w:val="center"/>
          </w:tcPr>
          <w:p>
            <w:pPr>
              <w:spacing w:before="60" w:after="60"/>
            </w:pPr>
            <w:r>
              <w:rPr>
                <w:b/>
                <w:color w:val="FFFFFF"/>
                <w:sz w:val="18"/>
              </w:rPr>
              <w:t>Staff Management</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Staff Directory</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w:t>
            </w:r>
          </w:p>
        </w:tc>
      </w:tr>
      <w:tr>
        <w:tc>
          <w:tcPr>
            <w:tcW w:type="dxa" w:w="2592"/>
            <w:shd w:val="clear" w:color="auto" w:fill="F3F4F6"/>
            <w:vAlign w:val="center"/>
          </w:tcPr>
          <w:p>
            <w:pPr>
              <w:spacing w:before="40" w:after="40"/>
            </w:pPr>
            <w:r>
              <w:rPr>
                <w:b/>
                <w:color w:val="0A2540"/>
                <w:sz w:val="18"/>
              </w:rPr>
              <w:t>Leave Management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Parity.</w:t>
            </w:r>
          </w:p>
        </w:tc>
      </w:tr>
      <w:tr>
        <w:tc>
          <w:tcPr>
            <w:tcW w:type="dxa" w:w="2592"/>
            <w:shd w:val="clear" w:color="auto" w:fill="FFFFFF"/>
            <w:vAlign w:val="center"/>
          </w:tcPr>
          <w:p>
            <w:pPr>
              <w:spacing w:before="40" w:after="40"/>
            </w:pPr>
            <w:r>
              <w:rPr>
                <w:b/>
                <w:color w:val="0A2540"/>
                <w:sz w:val="18"/>
              </w:rPr>
              <w:t>Performance Appraisal</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FFFFF"/>
            <w:vAlign w:val="center"/>
          </w:tcPr>
          <w:p>
            <w:pPr>
              <w:spacing w:before="40" w:after="40"/>
            </w:pPr>
            <w:r>
              <w:rPr>
                <w:b w:val="0"/>
                <w:color w:val="6B7280"/>
                <w:sz w:val="18"/>
              </w:rPr>
              <w:t>—</w:t>
            </w:r>
          </w:p>
        </w:tc>
        <w:tc>
          <w:tcPr>
            <w:tcW w:type="dxa" w:w="3384"/>
            <w:shd w:val="clear" w:color="auto" w:fill="FFFFFF"/>
            <w:vAlign w:val="center"/>
          </w:tcPr>
          <w:p>
            <w:pPr>
              <w:spacing w:before="40" w:after="40"/>
            </w:pPr>
            <w:r>
              <w:rPr>
                <w:b w:val="0"/>
                <w:color w:val="6B7280"/>
                <w:sz w:val="18"/>
              </w:rPr>
              <w:t>Parity. CASPAA has multi-stage approval.</w:t>
            </w:r>
          </w:p>
        </w:tc>
      </w:tr>
      <w:tr>
        <w:tc>
          <w:tcPr>
            <w:tcW w:type="dxa" w:w="2592"/>
            <w:shd w:val="clear" w:color="auto" w:fill="F3F4F6"/>
            <w:vAlign w:val="center"/>
          </w:tcPr>
          <w:p>
            <w:pPr>
              <w:spacing w:before="40" w:after="40"/>
            </w:pPr>
            <w:r>
              <w:rPr>
                <w:b/>
                <w:color w:val="0A2540"/>
                <w:sz w:val="18"/>
              </w:rPr>
              <w:t>Substitute Coverage</w:t>
            </w:r>
          </w:p>
        </w:tc>
        <w:tc>
          <w:tcPr>
            <w:tcW w:type="dxa" w:w="1224"/>
            <w:shd w:val="clear" w:color="auto" w:fill="FEE2E2"/>
            <w:vAlign w:val="center"/>
          </w:tcPr>
          <w:p>
            <w:pPr>
              <w:spacing w:before="40" w:after="40"/>
            </w:pPr>
            <w:r>
              <w:rPr>
                <w:b w:val="0"/>
                <w:color w:val="DC2626"/>
                <w:sz w:val="18"/>
              </w:rPr>
              <w:t>✗ None</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3F4F6"/>
            <w:vAlign w:val="center"/>
          </w:tcPr>
          <w:p>
            <w:pPr>
              <w:spacing w:before="40" w:after="40"/>
            </w:pPr>
            <w:r>
              <w:rPr>
                <w:b w:val="0"/>
                <w:color w:val="6B7280"/>
                <w:sz w:val="18"/>
              </w:rPr>
              <w:t>Unique CASPAA feature.</w:t>
            </w:r>
          </w:p>
        </w:tc>
      </w:tr>
      <w:tr>
        <w:tc>
          <w:tcPr>
            <w:tcW w:type="dxa" w:w="2592"/>
            <w:shd w:val="clear" w:color="auto" w:fill="FFFFFF"/>
            <w:vAlign w:val="center"/>
          </w:tcPr>
          <w:p>
            <w:pPr>
              <w:spacing w:before="40" w:after="40"/>
            </w:pPr>
            <w:r>
              <w:rPr>
                <w:b/>
                <w:color w:val="0A2540"/>
                <w:sz w:val="18"/>
              </w:rPr>
              <w:t>Teacher Analytics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Partial</w:t>
            </w:r>
          </w:p>
        </w:tc>
        <w:tc>
          <w:tcPr>
            <w:tcW w:type="dxa" w:w="936"/>
            <w:shd w:val="clear" w:color="auto" w:fill="FEF3C7"/>
            <w:vAlign w:val="center"/>
          </w:tcPr>
          <w:p>
            <w:pPr>
              <w:spacing w:before="40" w:after="40"/>
            </w:pPr>
            <w:r>
              <w:rPr>
                <w:b w:val="0"/>
                <w:color w:val="D97706"/>
                <w:sz w:val="18"/>
              </w:rPr>
              <w:t>P2</w:t>
            </w:r>
          </w:p>
        </w:tc>
        <w:tc>
          <w:tcPr>
            <w:tcW w:type="dxa" w:w="3384"/>
            <w:shd w:val="clear" w:color="auto" w:fill="FFFFFF"/>
            <w:vAlign w:val="center"/>
          </w:tcPr>
          <w:p>
            <w:pPr>
              <w:spacing w:before="40" w:after="40"/>
            </w:pPr>
            <w:r>
              <w:rPr>
                <w:b w:val="0"/>
                <w:color w:val="6B7280"/>
                <w:sz w:val="18"/>
              </w:rPr>
              <w:t>Cross-teacher vs. student analytics missing.</w:t>
            </w:r>
          </w:p>
        </w:tc>
      </w:tr>
      <w:tr>
        <w:tc>
          <w:tcPr>
            <w:tcW w:type="dxa" w:w="3384"/>
            <w:gridSpan w:val="5"/>
            <w:shd w:val="clear" w:color="auto" w:fill="1A4A7A"/>
            <w:vAlign w:val="center"/>
          </w:tcPr>
          <w:p>
            <w:pPr>
              <w:spacing w:before="60" w:after="60"/>
            </w:pPr>
            <w:r>
              <w:rPr>
                <w:b/>
                <w:color w:val="FFFFFF"/>
                <w:sz w:val="18"/>
              </w:rPr>
              <w:t>Communication</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Messaging / Chat System</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FFFFF"/>
            <w:vAlign w:val="center"/>
          </w:tcPr>
          <w:p>
            <w:pPr>
              <w:spacing w:before="40" w:after="40"/>
            </w:pPr>
            <w:r>
              <w:rPr>
                <w:b w:val="0"/>
                <w:color w:val="6B7280"/>
                <w:sz w:val="18"/>
              </w:rPr>
              <w:t>CASPAA has role-based routing: parents message only their children's teachers; admin/principal can message both parents and teachers separately. Includes file/image attachments and WhatsApp handoff.</w:t>
            </w:r>
          </w:p>
        </w:tc>
      </w:tr>
      <w:tr>
        <w:tc>
          <w:tcPr>
            <w:tcW w:type="dxa" w:w="2592"/>
            <w:shd w:val="clear" w:color="auto" w:fill="F3F4F6"/>
            <w:vAlign w:val="center"/>
          </w:tcPr>
          <w:p>
            <w:pPr>
              <w:spacing w:before="40" w:after="40"/>
            </w:pPr>
            <w:r>
              <w:rPr>
                <w:b/>
                <w:color w:val="0A2540"/>
                <w:sz w:val="18"/>
              </w:rPr>
              <w:t>Announcements / Broadcast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F3F4F6"/>
            <w:vAlign w:val="center"/>
          </w:tcPr>
          <w:p>
            <w:pPr>
              <w:spacing w:before="40" w:after="40"/>
            </w:pPr>
            <w:r>
              <w:rPr>
                <w:b w:val="0"/>
                <w:color w:val="6B7280"/>
                <w:sz w:val="18"/>
              </w:rPr>
              <w:t>—</w:t>
            </w:r>
          </w:p>
        </w:tc>
        <w:tc>
          <w:tcPr>
            <w:tcW w:type="dxa" w:w="3384"/>
            <w:shd w:val="clear" w:color="auto" w:fill="F3F4F6"/>
            <w:vAlign w:val="center"/>
          </w:tcPr>
          <w:p>
            <w:pPr>
              <w:spacing w:before="40" w:after="40"/>
            </w:pPr>
            <w:r>
              <w:rPr>
                <w:b w:val="0"/>
                <w:color w:val="6B7280"/>
                <w:sz w:val="18"/>
              </w:rPr>
              <w:t>Parity. CASPAA supports audience targeting (all / parents / teachers).</w:t>
            </w:r>
          </w:p>
        </w:tc>
      </w:tr>
      <w:tr>
        <w:tc>
          <w:tcPr>
            <w:tcW w:type="dxa" w:w="2592"/>
            <w:shd w:val="clear" w:color="auto" w:fill="FFFFFF"/>
            <w:vAlign w:val="center"/>
          </w:tcPr>
          <w:p>
            <w:pPr>
              <w:spacing w:before="40" w:after="40"/>
            </w:pPr>
            <w:r>
              <w:rPr>
                <w:b/>
                <w:color w:val="0A2540"/>
                <w:sz w:val="18"/>
              </w:rPr>
              <w:t>Bulk SMS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E2E2"/>
            <w:vAlign w:val="center"/>
          </w:tcPr>
          <w:p>
            <w:pPr>
              <w:spacing w:before="40" w:after="40"/>
            </w:pPr>
            <w:r>
              <w:rPr>
                <w:b w:val="0"/>
                <w:color w:val="DC2626"/>
                <w:sz w:val="18"/>
              </w:rPr>
              <w:t>P1</w:t>
            </w:r>
          </w:p>
        </w:tc>
        <w:tc>
          <w:tcPr>
            <w:tcW w:type="dxa" w:w="3384"/>
            <w:shd w:val="clear" w:color="auto" w:fill="FFFFFF"/>
            <w:vAlign w:val="center"/>
          </w:tcPr>
          <w:p>
            <w:pPr>
              <w:spacing w:before="40" w:after="40"/>
            </w:pPr>
            <w:r>
              <w:rPr>
                <w:b w:val="0"/>
                <w:color w:val="6B7280"/>
                <w:sz w:val="18"/>
              </w:rPr>
              <w:t>Critical for Nigerian schools. Currently TBD in CASPAA.</w:t>
            </w:r>
          </w:p>
        </w:tc>
      </w:tr>
      <w:tr>
        <w:tc>
          <w:tcPr>
            <w:tcW w:type="dxa" w:w="2592"/>
            <w:shd w:val="clear" w:color="auto" w:fill="F3F4F6"/>
            <w:vAlign w:val="center"/>
          </w:tcPr>
          <w:p>
            <w:pPr>
              <w:spacing w:before="40" w:after="40"/>
            </w:pPr>
            <w:r>
              <w:rPr>
                <w:b/>
                <w:color w:val="0A2540"/>
                <w:sz w:val="18"/>
              </w:rPr>
              <w:t>Email Notifications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E2E2"/>
            <w:vAlign w:val="center"/>
          </w:tcPr>
          <w:p>
            <w:pPr>
              <w:spacing w:before="40" w:after="40"/>
            </w:pPr>
            <w:r>
              <w:rPr>
                <w:b w:val="0"/>
                <w:color w:val="DC2626"/>
                <w:sz w:val="18"/>
              </w:rPr>
              <w:t>P1</w:t>
            </w:r>
          </w:p>
        </w:tc>
        <w:tc>
          <w:tcPr>
            <w:tcW w:type="dxa" w:w="3384"/>
            <w:shd w:val="clear" w:color="auto" w:fill="F3F4F6"/>
            <w:vAlign w:val="center"/>
          </w:tcPr>
          <w:p>
            <w:pPr>
              <w:spacing w:before="40" w:after="40"/>
            </w:pPr>
            <w:r>
              <w:rPr>
                <w:b w:val="0"/>
                <w:color w:val="6B7280"/>
                <w:sz w:val="18"/>
              </w:rPr>
              <w:t>Currently TBD in CASPAA.</w:t>
            </w:r>
          </w:p>
        </w:tc>
      </w:tr>
      <w:tr>
        <w:tc>
          <w:tcPr>
            <w:tcW w:type="dxa" w:w="2592"/>
            <w:shd w:val="clear" w:color="auto" w:fill="FFFFFF"/>
            <w:vAlign w:val="center"/>
          </w:tcPr>
          <w:p>
            <w:pPr>
              <w:spacing w:before="40" w:after="40"/>
            </w:pPr>
            <w:r>
              <w:rPr>
                <w:b/>
                <w:color w:val="0A2540"/>
                <w:sz w:val="18"/>
              </w:rPr>
              <w:t>Communication Diary</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F3C7"/>
            <w:vAlign w:val="center"/>
          </w:tcPr>
          <w:p>
            <w:pPr>
              <w:spacing w:before="40" w:after="40"/>
            </w:pPr>
            <w:r>
              <w:rPr>
                <w:b w:val="0"/>
                <w:color w:val="D97706"/>
                <w:sz w:val="18"/>
              </w:rPr>
              <w:t>P2</w:t>
            </w:r>
          </w:p>
        </w:tc>
        <w:tc>
          <w:tcPr>
            <w:tcW w:type="dxa" w:w="3384"/>
            <w:shd w:val="clear" w:color="auto" w:fill="FFFFFF"/>
            <w:vAlign w:val="center"/>
          </w:tcPr>
          <w:p>
            <w:pPr>
              <w:spacing w:before="40" w:after="40"/>
            </w:pPr>
            <w:r>
              <w:rPr>
                <w:b w:val="0"/>
                <w:color w:val="6B7280"/>
                <w:sz w:val="18"/>
              </w:rPr>
              <w:t>Structured per-student daily notes with categories (Homework/Behaviour/Health). Different from the chat system — this is record-keeping, not conversation.</w:t>
            </w:r>
          </w:p>
        </w:tc>
      </w:tr>
      <w:tr>
        <w:tc>
          <w:tcPr>
            <w:tcW w:type="dxa" w:w="2592"/>
            <w:shd w:val="clear" w:color="auto" w:fill="F3F4F6"/>
            <w:vAlign w:val="center"/>
          </w:tcPr>
          <w:p>
            <w:pPr>
              <w:spacing w:before="40" w:after="40"/>
            </w:pPr>
            <w:r>
              <w:rPr>
                <w:b/>
                <w:color w:val="0A2540"/>
                <w:sz w:val="18"/>
              </w:rPr>
              <w:t>Parent Feedback Tool</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F3C7"/>
            <w:vAlign w:val="center"/>
          </w:tcPr>
          <w:p>
            <w:pPr>
              <w:spacing w:before="40" w:after="40"/>
            </w:pPr>
            <w:r>
              <w:rPr>
                <w:b w:val="0"/>
                <w:color w:val="D97706"/>
                <w:sz w:val="18"/>
              </w:rPr>
              <w:t>P2</w:t>
            </w:r>
          </w:p>
        </w:tc>
        <w:tc>
          <w:tcPr>
            <w:tcW w:type="dxa" w:w="3384"/>
            <w:shd w:val="clear" w:color="auto" w:fill="F3F4F6"/>
            <w:vAlign w:val="center"/>
          </w:tcPr>
          <w:p>
            <w:pPr>
              <w:spacing w:before="40" w:after="40"/>
            </w:pPr>
            <w:r>
              <w:rPr>
                <w:b w:val="0"/>
                <w:color w:val="6B7280"/>
                <w:sz w:val="18"/>
              </w:rPr>
              <w:t>Formal school feedback surveys.</w:t>
            </w:r>
          </w:p>
        </w:tc>
      </w:tr>
      <w:tr>
        <w:tc>
          <w:tcPr>
            <w:tcW w:type="dxa" w:w="2592"/>
            <w:shd w:val="clear" w:color="auto" w:fill="FFFFFF"/>
            <w:vAlign w:val="center"/>
          </w:tcPr>
          <w:p>
            <w:pPr>
              <w:spacing w:before="40" w:after="40"/>
            </w:pPr>
            <w:r>
              <w:rPr>
                <w:b/>
                <w:color w:val="0A2540"/>
                <w:sz w:val="18"/>
              </w:rPr>
              <w:t>Event Calendar</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E2E2"/>
            <w:vAlign w:val="center"/>
          </w:tcPr>
          <w:p>
            <w:pPr>
              <w:spacing w:before="40" w:after="40"/>
            </w:pPr>
            <w:r>
              <w:rPr>
                <w:b w:val="0"/>
                <w:color w:val="DC2626"/>
                <w:sz w:val="18"/>
              </w:rPr>
              <w:t>P1</w:t>
            </w:r>
          </w:p>
        </w:tc>
        <w:tc>
          <w:tcPr>
            <w:tcW w:type="dxa" w:w="3384"/>
            <w:shd w:val="clear" w:color="auto" w:fill="FFFFFF"/>
            <w:vAlign w:val="center"/>
          </w:tcPr>
          <w:p>
            <w:pPr>
              <w:spacing w:before="40" w:after="40"/>
            </w:pPr>
            <w:r>
              <w:rPr>
                <w:b w:val="0"/>
                <w:color w:val="6B7280"/>
                <w:sz w:val="18"/>
              </w:rPr>
              <w:t>School-wide event calendar visible to all roles.</w:t>
            </w:r>
          </w:p>
        </w:tc>
      </w:tr>
      <w:tr>
        <w:tc>
          <w:tcPr>
            <w:tcW w:type="dxa" w:w="2592"/>
            <w:shd w:val="clear" w:color="auto" w:fill="F3F4F6"/>
            <w:vAlign w:val="center"/>
          </w:tcPr>
          <w:p>
            <w:pPr>
              <w:spacing w:before="40" w:after="40"/>
            </w:pPr>
            <w:r>
              <w:rPr>
                <w:b/>
                <w:color w:val="0A2540"/>
                <w:sz w:val="18"/>
              </w:rPr>
              <w:t>Digital Consent Forms</w:t>
            </w:r>
          </w:p>
        </w:tc>
        <w:tc>
          <w:tcPr>
            <w:tcW w:type="dxa" w:w="1224"/>
            <w:shd w:val="clear" w:color="auto" w:fill="FEE2E2"/>
            <w:vAlign w:val="center"/>
          </w:tcPr>
          <w:p>
            <w:pPr>
              <w:spacing w:before="40" w:after="40"/>
            </w:pPr>
            <w:r>
              <w:rPr>
                <w:b w:val="0"/>
                <w:color w:val="DC2626"/>
                <w:sz w:val="18"/>
              </w:rPr>
              <w:t>✗ None</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3F4F6"/>
            <w:vAlign w:val="center"/>
          </w:tcPr>
          <w:p>
            <w:pPr>
              <w:spacing w:before="40" w:after="40"/>
            </w:pPr>
            <w:r>
              <w:rPr>
                <w:b w:val="0"/>
                <w:color w:val="6B7280"/>
                <w:sz w:val="18"/>
              </w:rPr>
              <w:t>Unique CASPAA feature.</w:t>
            </w:r>
          </w:p>
        </w:tc>
      </w:tr>
      <w:tr>
        <w:tc>
          <w:tcPr>
            <w:tcW w:type="dxa" w:w="3384"/>
            <w:gridSpan w:val="5"/>
            <w:shd w:val="clear" w:color="auto" w:fill="1A4A7A"/>
            <w:vAlign w:val="center"/>
          </w:tcPr>
          <w:p>
            <w:pPr>
              <w:spacing w:before="60" w:after="60"/>
            </w:pPr>
            <w:r>
              <w:rPr>
                <w:b/>
                <w:color w:val="FFFFFF"/>
                <w:sz w:val="18"/>
              </w:rPr>
              <w:t>Operations</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Inventory Management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Stub</w:t>
            </w:r>
          </w:p>
        </w:tc>
        <w:tc>
          <w:tcPr>
            <w:tcW w:type="dxa" w:w="936"/>
            <w:shd w:val="clear" w:color="auto" w:fill="FEF3C7"/>
            <w:vAlign w:val="center"/>
          </w:tcPr>
          <w:p>
            <w:pPr>
              <w:spacing w:before="40" w:after="40"/>
            </w:pPr>
            <w:r>
              <w:rPr>
                <w:b w:val="0"/>
                <w:color w:val="D97706"/>
                <w:sz w:val="18"/>
              </w:rPr>
              <w:t>P2</w:t>
            </w:r>
          </w:p>
        </w:tc>
        <w:tc>
          <w:tcPr>
            <w:tcW w:type="dxa" w:w="3384"/>
            <w:shd w:val="clear" w:color="auto" w:fill="FFFFFF"/>
            <w:vAlign w:val="center"/>
          </w:tcPr>
          <w:p>
            <w:pPr>
              <w:spacing w:before="40" w:after="40"/>
            </w:pPr>
            <w:r>
              <w:rPr>
                <w:b w:val="0"/>
                <w:color w:val="6B7280"/>
                <w:sz w:val="18"/>
              </w:rPr>
              <w:t>Menu exists; logic not built.</w:t>
            </w:r>
          </w:p>
        </w:tc>
      </w:tr>
      <w:tr>
        <w:tc>
          <w:tcPr>
            <w:tcW w:type="dxa" w:w="2592"/>
            <w:shd w:val="clear" w:color="auto" w:fill="F3F4F6"/>
            <w:vAlign w:val="center"/>
          </w:tcPr>
          <w:p>
            <w:pPr>
              <w:spacing w:before="40" w:after="40"/>
            </w:pPr>
            <w:r>
              <w:rPr>
                <w:b/>
                <w:color w:val="0A2540"/>
                <w:sz w:val="18"/>
              </w:rPr>
              <w:t>Health / Sickbay</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Stub</w:t>
            </w:r>
          </w:p>
        </w:tc>
        <w:tc>
          <w:tcPr>
            <w:tcW w:type="dxa" w:w="936"/>
            <w:shd w:val="clear" w:color="auto" w:fill="FEF3C7"/>
            <w:vAlign w:val="center"/>
          </w:tcPr>
          <w:p>
            <w:pPr>
              <w:spacing w:before="40" w:after="40"/>
            </w:pPr>
            <w:r>
              <w:rPr>
                <w:b w:val="0"/>
                <w:color w:val="D97706"/>
                <w:sz w:val="18"/>
              </w:rPr>
              <w:t>P2</w:t>
            </w:r>
          </w:p>
        </w:tc>
        <w:tc>
          <w:tcPr>
            <w:tcW w:type="dxa" w:w="3384"/>
            <w:shd w:val="clear" w:color="auto" w:fill="F3F4F6"/>
            <w:vAlign w:val="center"/>
          </w:tcPr>
          <w:p>
            <w:pPr>
              <w:spacing w:before="40" w:after="40"/>
            </w:pPr>
            <w:r>
              <w:rPr>
                <w:b w:val="0"/>
                <w:color w:val="6B7280"/>
                <w:sz w:val="18"/>
              </w:rPr>
              <w:t>Menu exists; logic not built.</w:t>
            </w:r>
          </w:p>
        </w:tc>
      </w:tr>
      <w:tr>
        <w:tc>
          <w:tcPr>
            <w:tcW w:type="dxa" w:w="2592"/>
            <w:shd w:val="clear" w:color="auto" w:fill="FFFFFF"/>
            <w:vAlign w:val="center"/>
          </w:tcPr>
          <w:p>
            <w:pPr>
              <w:spacing w:before="40" w:after="40"/>
            </w:pPr>
            <w:r>
              <w:rPr>
                <w:b/>
                <w:color w:val="0A2540"/>
                <w:sz w:val="18"/>
              </w:rPr>
              <w:t>Transport / School Bus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F3C7"/>
            <w:vAlign w:val="center"/>
          </w:tcPr>
          <w:p>
            <w:pPr>
              <w:spacing w:before="40" w:after="40"/>
            </w:pPr>
            <w:r>
              <w:rPr>
                <w:b w:val="0"/>
                <w:color w:val="D97706"/>
                <w:sz w:val="18"/>
              </w:rPr>
              <w:t>P2</w:t>
            </w:r>
          </w:p>
        </w:tc>
        <w:tc>
          <w:tcPr>
            <w:tcW w:type="dxa" w:w="3384"/>
            <w:shd w:val="clear" w:color="auto" w:fill="FFFFFF"/>
            <w:vAlign w:val="center"/>
          </w:tcPr>
          <w:p>
            <w:pPr>
              <w:spacing w:before="40" w:after="40"/>
            </w:pPr>
            <w:r>
              <w:rPr>
                <w:b w:val="0"/>
                <w:color w:val="6B7280"/>
                <w:sz w:val="18"/>
              </w:rPr>
              <w:t>Route management, driver assignment, parent tracking.</w:t>
            </w:r>
          </w:p>
        </w:tc>
      </w:tr>
      <w:tr>
        <w:tc>
          <w:tcPr>
            <w:tcW w:type="dxa" w:w="2592"/>
            <w:shd w:val="clear" w:color="auto" w:fill="F3F4F6"/>
            <w:vAlign w:val="center"/>
          </w:tcPr>
          <w:p>
            <w:pPr>
              <w:spacing w:before="40" w:after="40"/>
            </w:pPr>
            <w:r>
              <w:rPr>
                <w:b/>
                <w:color w:val="0A2540"/>
                <w:sz w:val="18"/>
              </w:rPr>
              <w:t>Secure Pickup (Parent)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FEF3C7"/>
            <w:vAlign w:val="center"/>
          </w:tcPr>
          <w:p>
            <w:pPr>
              <w:spacing w:before="40" w:after="40"/>
            </w:pPr>
            <w:r>
              <w:rPr>
                <w:b w:val="0"/>
                <w:color w:val="D97706"/>
                <w:sz w:val="18"/>
              </w:rPr>
              <w:t>P2</w:t>
            </w:r>
          </w:p>
        </w:tc>
        <w:tc>
          <w:tcPr>
            <w:tcW w:type="dxa" w:w="3384"/>
            <w:shd w:val="clear" w:color="auto" w:fill="F3F4F6"/>
            <w:vAlign w:val="center"/>
          </w:tcPr>
          <w:p>
            <w:pPr>
              <w:spacing w:before="40" w:after="40"/>
            </w:pPr>
            <w:r>
              <w:rPr>
                <w:b w:val="0"/>
                <w:color w:val="6B7280"/>
                <w:sz w:val="18"/>
              </w:rPr>
              <w:t>Approved pickup persons per child.</w:t>
            </w:r>
          </w:p>
        </w:tc>
      </w:tr>
      <w:tr>
        <w:tc>
          <w:tcPr>
            <w:tcW w:type="dxa" w:w="2592"/>
            <w:shd w:val="clear" w:color="auto" w:fill="FFFFFF"/>
            <w:vAlign w:val="center"/>
          </w:tcPr>
          <w:p>
            <w:pPr>
              <w:spacing w:before="40" w:after="40"/>
            </w:pPr>
            <w:r>
              <w:rPr>
                <w:b/>
                <w:color w:val="0A2540"/>
                <w:sz w:val="18"/>
              </w:rPr>
              <w:t>Hostel Management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FFFFF"/>
            <w:vAlign w:val="center"/>
          </w:tcPr>
          <w:p>
            <w:pPr>
              <w:spacing w:before="40" w:after="40"/>
            </w:pPr>
            <w:r>
              <w:rPr>
                <w:b w:val="0"/>
                <w:color w:val="6B7280"/>
                <w:sz w:val="18"/>
              </w:rPr>
              <w:t>Boarding student records, room assignments.</w:t>
            </w:r>
          </w:p>
        </w:tc>
      </w:tr>
      <w:tr>
        <w:tc>
          <w:tcPr>
            <w:tcW w:type="dxa" w:w="3384"/>
            <w:gridSpan w:val="5"/>
            <w:shd w:val="clear" w:color="auto" w:fill="1A4A7A"/>
            <w:vAlign w:val="center"/>
          </w:tcPr>
          <w:p>
            <w:pPr>
              <w:spacing w:before="60" w:after="60"/>
            </w:pPr>
            <w:r>
              <w:rPr>
                <w:b/>
                <w:color w:val="FFFFFF"/>
                <w:sz w:val="18"/>
              </w:rPr>
              <w:t>AI &amp; Intelligence</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AI Grading Assistance</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FFFFF"/>
            <w:vAlign w:val="center"/>
          </w:tcPr>
          <w:p>
            <w:pPr>
              <w:spacing w:before="40" w:after="40"/>
            </w:pPr>
            <w:r>
              <w:rPr>
                <w:b w:val="0"/>
                <w:color w:val="6B7280"/>
                <w:sz w:val="18"/>
              </w:rPr>
              <w:t>AI-assisted marking and feedback generation.</w:t>
            </w:r>
          </w:p>
        </w:tc>
      </w:tr>
      <w:tr>
        <w:tc>
          <w:tcPr>
            <w:tcW w:type="dxa" w:w="2592"/>
            <w:shd w:val="clear" w:color="auto" w:fill="F3F4F6"/>
            <w:vAlign w:val="center"/>
          </w:tcPr>
          <w:p>
            <w:pPr>
              <w:spacing w:before="40" w:after="40"/>
            </w:pPr>
            <w:r>
              <w:rPr>
                <w:b/>
                <w:color w:val="0A2540"/>
                <w:sz w:val="18"/>
              </w:rPr>
              <w:t>Student Performance Prediction</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3F4F6"/>
            <w:vAlign w:val="center"/>
          </w:tcPr>
          <w:p>
            <w:pPr>
              <w:spacing w:before="40" w:after="40"/>
            </w:pPr>
            <w:r>
              <w:rPr>
                <w:b w:val="0"/>
                <w:color w:val="6B7280"/>
                <w:sz w:val="18"/>
              </w:rPr>
              <w:t>AI flags at-risk students based on trends.</w:t>
            </w:r>
          </w:p>
        </w:tc>
      </w:tr>
      <w:tr>
        <w:tc>
          <w:tcPr>
            <w:tcW w:type="dxa" w:w="2592"/>
            <w:shd w:val="clear" w:color="auto" w:fill="FFFFFF"/>
            <w:vAlign w:val="center"/>
          </w:tcPr>
          <w:p>
            <w:pPr>
              <w:spacing w:before="40" w:after="40"/>
            </w:pPr>
            <w:r>
              <w:rPr>
                <w:b/>
                <w:color w:val="0A2540"/>
                <w:sz w:val="18"/>
              </w:rPr>
              <w:t>AI Question Generation</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FFFFF"/>
            <w:vAlign w:val="center"/>
          </w:tcPr>
          <w:p>
            <w:pPr>
              <w:spacing w:before="40" w:after="40"/>
            </w:pPr>
            <w:r>
              <w:rPr>
                <w:b w:val="0"/>
                <w:color w:val="6B7280"/>
                <w:sz w:val="18"/>
              </w:rPr>
              <w:t>Auto-generate CBT questions from lesson notes.</w:t>
            </w:r>
          </w:p>
        </w:tc>
      </w:tr>
      <w:tr>
        <w:tc>
          <w:tcPr>
            <w:tcW w:type="dxa" w:w="2592"/>
            <w:shd w:val="clear" w:color="auto" w:fill="F3F4F6"/>
            <w:vAlign w:val="center"/>
          </w:tcPr>
          <w:p>
            <w:pPr>
              <w:spacing w:before="40" w:after="40"/>
            </w:pPr>
            <w:r>
              <w:rPr>
                <w:b/>
                <w:color w:val="0A2540"/>
                <w:sz w:val="18"/>
              </w:rPr>
              <w:t>AI Chatbot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3F4F6"/>
            <w:vAlign w:val="center"/>
          </w:tcPr>
          <w:p>
            <w:pPr>
              <w:spacing w:before="40" w:after="40"/>
            </w:pPr>
            <w:r>
              <w:rPr>
                <w:b w:val="0"/>
                <w:color w:val="6B7280"/>
                <w:sz w:val="18"/>
              </w:rPr>
              <w:t>Student and teacher assistant chatbot.</w:t>
            </w:r>
          </w:p>
        </w:tc>
      </w:tr>
      <w:tr>
        <w:tc>
          <w:tcPr>
            <w:tcW w:type="dxa" w:w="3384"/>
            <w:gridSpan w:val="5"/>
            <w:shd w:val="clear" w:color="auto" w:fill="1A4A7A"/>
            <w:vAlign w:val="center"/>
          </w:tcPr>
          <w:p>
            <w:pPr>
              <w:spacing w:before="60" w:after="60"/>
            </w:pPr>
            <w:r>
              <w:rPr>
                <w:b/>
                <w:color w:val="FFFFFF"/>
                <w:sz w:val="18"/>
              </w:rPr>
              <w:t>Platform &amp; Business</w:t>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p>
            <w:pPr>
              <w:spacing w:before="60" w:after="60"/>
            </w:pPr>
            <w:r>
              <w:rPr>
                <w:b/>
                <w:color w:val="FFFFFF"/>
                <w:sz w:val="18"/>
              </w:rPr>
            </w:r>
          </w:p>
        </w:tc>
      </w:tr>
      <w:tr>
        <w:tc>
          <w:tcPr>
            <w:tcW w:type="dxa" w:w="2592"/>
            <w:shd w:val="clear" w:color="auto" w:fill="FFFFFF"/>
            <w:vAlign w:val="center"/>
          </w:tcPr>
          <w:p>
            <w:pPr>
              <w:spacing w:before="40" w:after="40"/>
            </w:pPr>
            <w:r>
              <w:rPr>
                <w:b/>
                <w:color w:val="0A2540"/>
                <w:sz w:val="18"/>
              </w:rPr>
              <w:t>Multi-Curriculum Support</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E2E2"/>
            <w:vAlign w:val="center"/>
          </w:tcPr>
          <w:p>
            <w:pPr>
              <w:spacing w:before="40" w:after="40"/>
            </w:pPr>
            <w:r>
              <w:rPr>
                <w:b w:val="0"/>
                <w:color w:val="DC2626"/>
                <w:sz w:val="18"/>
              </w:rPr>
              <w:t>✗ Missing</w:t>
            </w:r>
          </w:p>
        </w:tc>
        <w:tc>
          <w:tcPr>
            <w:tcW w:type="dxa" w:w="936"/>
            <w:shd w:val="clear" w:color="auto" w:fill="DBEAFE"/>
            <w:vAlign w:val="center"/>
          </w:tcPr>
          <w:p>
            <w:pPr>
              <w:spacing w:before="40" w:after="40"/>
            </w:pPr>
            <w:r>
              <w:rPr>
                <w:b w:val="0"/>
                <w:color w:val="1D4ED8"/>
                <w:sz w:val="18"/>
              </w:rPr>
              <w:t>P3</w:t>
            </w:r>
          </w:p>
        </w:tc>
        <w:tc>
          <w:tcPr>
            <w:tcW w:type="dxa" w:w="3384"/>
            <w:shd w:val="clear" w:color="auto" w:fill="FFFFFF"/>
            <w:vAlign w:val="center"/>
          </w:tcPr>
          <w:p>
            <w:pPr>
              <w:spacing w:before="40" w:after="40"/>
            </w:pPr>
            <w:r>
              <w:rPr>
                <w:b w:val="0"/>
                <w:color w:val="6B7280"/>
                <w:sz w:val="18"/>
              </w:rPr>
              <w:t>NERDC, Cambridge, IGCSE, IB.</w:t>
            </w:r>
          </w:p>
        </w:tc>
      </w:tr>
      <w:tr>
        <w:tc>
          <w:tcPr>
            <w:tcW w:type="dxa" w:w="2592"/>
            <w:shd w:val="clear" w:color="auto" w:fill="F3F4F6"/>
            <w:vAlign w:val="center"/>
          </w:tcPr>
          <w:p>
            <w:pPr>
              <w:spacing w:before="40" w:after="40"/>
            </w:pPr>
            <w:r>
              <w:rPr>
                <w:b/>
                <w:color w:val="0A2540"/>
                <w:sz w:val="18"/>
              </w:rPr>
              <w:t>SaaS Operator Dashboard</w:t>
            </w:r>
          </w:p>
        </w:tc>
        <w:tc>
          <w:tcPr>
            <w:tcW w:type="dxa" w:w="1224"/>
            <w:shd w:val="clear" w:color="auto" w:fill="FEE2E2"/>
            <w:vAlign w:val="center"/>
          </w:tcPr>
          <w:p>
            <w:pPr>
              <w:spacing w:before="40" w:after="40"/>
            </w:pPr>
            <w:r>
              <w:rPr>
                <w:b w:val="0"/>
                <w:color w:val="DC2626"/>
                <w:sz w:val="18"/>
              </w:rPr>
              <w:t>✗ None</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3F4F6"/>
            <w:vAlign w:val="center"/>
          </w:tcPr>
          <w:p>
            <w:pPr>
              <w:spacing w:before="40" w:after="40"/>
            </w:pPr>
            <w:r>
              <w:rPr>
                <w:b w:val="0"/>
                <w:color w:val="6B7280"/>
                <w:sz w:val="18"/>
              </w:rPr>
              <w:t>MRR, ARR, school health — unique to CASPAA.</w:t>
            </w:r>
          </w:p>
        </w:tc>
      </w:tr>
      <w:tr>
        <w:tc>
          <w:tcPr>
            <w:tcW w:type="dxa" w:w="2592"/>
            <w:shd w:val="clear" w:color="auto" w:fill="FFFFFF"/>
            <w:vAlign w:val="center"/>
          </w:tcPr>
          <w:p>
            <w:pPr>
              <w:spacing w:before="40" w:after="40"/>
            </w:pPr>
            <w:r>
              <w:rPr>
                <w:b/>
                <w:color w:val="0A2540"/>
                <w:sz w:val="18"/>
              </w:rPr>
              <w:t>Role Impersonation</w:t>
            </w:r>
          </w:p>
        </w:tc>
        <w:tc>
          <w:tcPr>
            <w:tcW w:type="dxa" w:w="1224"/>
            <w:shd w:val="clear" w:color="auto" w:fill="FEE2E2"/>
            <w:vAlign w:val="center"/>
          </w:tcPr>
          <w:p>
            <w:pPr>
              <w:spacing w:before="40" w:after="40"/>
            </w:pPr>
            <w:r>
              <w:rPr>
                <w:b w:val="0"/>
                <w:color w:val="DC2626"/>
                <w:sz w:val="18"/>
              </w:rPr>
              <w:t>✗ None</w:t>
            </w:r>
          </w:p>
        </w:tc>
        <w:tc>
          <w:tcPr>
            <w:tcW w:type="dxa" w:w="1224"/>
            <w:shd w:val="clear" w:color="auto" w:fill="D1FAE5"/>
            <w:vAlign w:val="center"/>
          </w:tcPr>
          <w:p>
            <w:pPr>
              <w:spacing w:before="40" w:after="40"/>
            </w:pPr>
            <w:r>
              <w:rPr>
                <w:b w:val="0"/>
                <w:color w:val="0D6E3F"/>
                <w:sz w:val="18"/>
              </w:rPr>
              <w:t>✓ Full</w:t>
            </w:r>
          </w:p>
        </w:tc>
        <w:tc>
          <w:tcPr>
            <w:tcW w:type="dxa" w:w="936"/>
            <w:shd w:val="clear" w:color="auto" w:fill="D1FAE5"/>
            <w:vAlign w:val="center"/>
          </w:tcPr>
          <w:p>
            <w:pPr>
              <w:spacing w:before="40" w:after="40"/>
            </w:pPr>
            <w:r>
              <w:rPr>
                <w:b w:val="0"/>
                <w:color w:val="0D6E3F"/>
                <w:sz w:val="18"/>
              </w:rPr>
              <w:t>LEAD</w:t>
            </w:r>
          </w:p>
        </w:tc>
        <w:tc>
          <w:tcPr>
            <w:tcW w:type="dxa" w:w="3384"/>
            <w:shd w:val="clear" w:color="auto" w:fill="FFFFFF"/>
            <w:vAlign w:val="center"/>
          </w:tcPr>
          <w:p>
            <w:pPr>
              <w:spacing w:before="40" w:after="40"/>
            </w:pPr>
            <w:r>
              <w:rPr>
                <w:b w:val="0"/>
                <w:color w:val="6B7280"/>
                <w:sz w:val="18"/>
              </w:rPr>
              <w:t>Admin can view as any user for support/debugging.</w:t>
            </w:r>
          </w:p>
        </w:tc>
      </w:tr>
      <w:tr>
        <w:tc>
          <w:tcPr>
            <w:tcW w:type="dxa" w:w="2592"/>
            <w:shd w:val="clear" w:color="auto" w:fill="F3F4F6"/>
            <w:vAlign w:val="center"/>
          </w:tcPr>
          <w:p>
            <w:pPr>
              <w:spacing w:before="40" w:after="40"/>
            </w:pPr>
            <w:r>
              <w:rPr>
                <w:b/>
                <w:color w:val="0A2540"/>
                <w:sz w:val="18"/>
              </w:rPr>
              <w:t>Tiered Subscription Plans</w:t>
            </w:r>
          </w:p>
        </w:tc>
        <w:tc>
          <w:tcPr>
            <w:tcW w:type="dxa" w:w="1224"/>
            <w:shd w:val="clear" w:color="auto" w:fill="D1FAE5"/>
            <w:vAlign w:val="center"/>
          </w:tcPr>
          <w:p>
            <w:pPr>
              <w:spacing w:before="40" w:after="40"/>
            </w:pPr>
            <w:r>
              <w:rPr>
                <w:b w:val="0"/>
                <w:color w:val="0D6E3F"/>
                <w:sz w:val="18"/>
              </w:rPr>
              <w:t>✓ Full</w:t>
            </w:r>
          </w:p>
        </w:tc>
        <w:tc>
          <w:tcPr>
            <w:tcW w:type="dxa" w:w="1224"/>
            <w:shd w:val="clear" w:color="auto" w:fill="FEF3C7"/>
            <w:vAlign w:val="center"/>
          </w:tcPr>
          <w:p>
            <w:pPr>
              <w:spacing w:before="40" w:after="40"/>
            </w:pPr>
            <w:r>
              <w:rPr>
                <w:b w:val="0"/>
                <w:color w:val="D97706"/>
                <w:sz w:val="18"/>
              </w:rPr>
              <w:t>⚠ Partial</w:t>
            </w:r>
          </w:p>
        </w:tc>
        <w:tc>
          <w:tcPr>
            <w:tcW w:type="dxa" w:w="936"/>
            <w:shd w:val="clear" w:color="auto" w:fill="FEF3C7"/>
            <w:vAlign w:val="center"/>
          </w:tcPr>
          <w:p>
            <w:pPr>
              <w:spacing w:before="40" w:after="40"/>
            </w:pPr>
            <w:r>
              <w:rPr>
                <w:b w:val="0"/>
                <w:color w:val="D97706"/>
                <w:sz w:val="18"/>
              </w:rPr>
              <w:t>P2</w:t>
            </w:r>
          </w:p>
        </w:tc>
        <w:tc>
          <w:tcPr>
            <w:tcW w:type="dxa" w:w="3384"/>
            <w:shd w:val="clear" w:color="auto" w:fill="F3F4F6"/>
            <w:vAlign w:val="center"/>
          </w:tcPr>
          <w:p>
            <w:pPr>
              <w:spacing w:before="40" w:after="40"/>
            </w:pPr>
            <w:r>
              <w:rPr>
                <w:b w:val="0"/>
                <w:color w:val="6B7280"/>
                <w:sz w:val="18"/>
              </w:rPr>
              <w:t>Plans defined; feature gating not fully enforced.</w:t>
            </w:r>
          </w:p>
        </w:tc>
      </w:tr>
    </w:tbl>
    <w:p/>
    <w:p>
      <w:r>
        <w:br w:type="page"/>
      </w:r>
    </w:p>
    <w:p>
      <w:pPr>
        <w:spacing w:before="320" w:after="40"/>
      </w:pPr>
      <w:r>
        <w:rPr>
          <w:b/>
          <w:color w:val="0D6E3F"/>
          <w:sz w:val="18"/>
        </w:rPr>
        <w:t>04 — ROADMAP</w:t>
      </w:r>
    </w:p>
    <w:p>
      <w:pPr>
        <w:spacing w:before="280" w:after="80"/>
        <w:jc w:val="left"/>
      </w:pPr>
      <w:r>
        <w:rPr>
          <w:b/>
          <w:i w:val="0"/>
          <w:color w:val="0A2540"/>
          <w:sz w:val="44"/>
        </w:rPr>
        <w:t>Priority Breakdown for Next Phase</w:t>
      </w:r>
    </w:p>
    <w:p>
      <w:pPr>
        <w:spacing w:before="0" w:after="200"/>
        <w:jc w:val="left"/>
      </w:pPr>
      <w:r>
        <w:rPr>
          <w:b w:val="0"/>
          <w:i w:val="0"/>
          <w:color w:val="6B7280"/>
          <w:sz w:val="21"/>
        </w:rPr>
        <w:t>Prioritized by stakeholder visibility, competitive parity, and implementation effort.</w:t>
      </w:r>
    </w:p>
    <w:p>
      <w:pPr>
        <w:spacing w:before="240" w:after="120"/>
      </w:pPr>
      <w:r>
        <w:rPr>
          <w:b/>
          <w:color w:val="DC2626"/>
          <w:sz w:val="24"/>
        </w:rPr>
        <w:t>P1 — Critical (Must Build Now)</w:t>
      </w:r>
    </w:p>
    <w:tbl>
      <w:tblPr>
        <w:tblW w:type="auto" w:w="0"/>
        <w:jc w:val="center"/>
        <w:tblLook w:firstColumn="1" w:firstRow="1" w:lastColumn="0" w:lastRow="0" w:noHBand="0" w:noVBand="1" w:val="04A0"/>
      </w:tblPr>
      <w:tblGrid>
        <w:gridCol w:w="3024"/>
        <w:gridCol w:w="3024"/>
        <w:gridCol w:w="3024"/>
      </w:tblGrid>
      <w:tr>
        <w:tc>
          <w:tcPr>
            <w:tcW w:type="dxa" w:w="504"/>
            <w:shd w:val="clear" w:color="auto" w:fill="DC2626"/>
            <w:vAlign w:val="center"/>
          </w:tcPr>
          <w:p>
            <w:pPr>
              <w:spacing w:before="60" w:after="60"/>
            </w:pPr>
            <w:r>
              <w:rPr>
                <w:b/>
                <w:color w:val="FFFFFF"/>
                <w:sz w:val="18"/>
              </w:rPr>
              <w:t>#</w:t>
            </w:r>
          </w:p>
        </w:tc>
        <w:tc>
          <w:tcPr>
            <w:tcW w:type="dxa" w:w="2592"/>
            <w:shd w:val="clear" w:color="auto" w:fill="DC2626"/>
            <w:vAlign w:val="center"/>
          </w:tcPr>
          <w:p>
            <w:pPr>
              <w:spacing w:before="60" w:after="60"/>
            </w:pPr>
            <w:r>
              <w:rPr>
                <w:b/>
                <w:color w:val="FFFFFF"/>
                <w:sz w:val="18"/>
              </w:rPr>
              <w:t>Module</w:t>
            </w:r>
          </w:p>
        </w:tc>
        <w:tc>
          <w:tcPr>
            <w:tcW w:type="dxa" w:w="6264"/>
            <w:shd w:val="clear" w:color="auto" w:fill="DC2626"/>
            <w:vAlign w:val="center"/>
          </w:tcPr>
          <w:p>
            <w:pPr>
              <w:spacing w:before="60" w:after="60"/>
            </w:pPr>
            <w:r>
              <w:rPr>
                <w:b/>
                <w:color w:val="FFFFFF"/>
                <w:sz w:val="18"/>
              </w:rPr>
              <w:t>Why It Matters</w:t>
            </w:r>
          </w:p>
        </w:tc>
      </w:tr>
      <w:tr>
        <w:tc>
          <w:tcPr>
            <w:tcW w:type="dxa" w:w="504"/>
            <w:vAlign w:val="center"/>
          </w:tcPr>
          <w:p>
            <w:pPr>
              <w:spacing w:before="60" w:after="60"/>
            </w:pPr>
            <w:r>
              <w:rPr>
                <w:b w:val="0"/>
                <w:color w:val="DC2626"/>
                <w:sz w:val="19"/>
              </w:rPr>
              <w:t>1</w:t>
            </w:r>
          </w:p>
        </w:tc>
        <w:tc>
          <w:tcPr>
            <w:tcW w:type="dxa" w:w="2592"/>
            <w:vAlign w:val="center"/>
          </w:tcPr>
          <w:p>
            <w:pPr>
              <w:spacing w:before="60" w:after="60"/>
            </w:pPr>
            <w:r>
              <w:rPr>
                <w:b/>
                <w:color w:val="0A2540"/>
                <w:sz w:val="19"/>
              </w:rPr>
              <w:t>Event Calendar</w:t>
            </w:r>
          </w:p>
        </w:tc>
        <w:tc>
          <w:tcPr>
            <w:tcW w:type="dxa" w:w="6264"/>
            <w:vAlign w:val="center"/>
          </w:tcPr>
          <w:p>
            <w:pPr>
              <w:spacing w:before="60" w:after="60"/>
            </w:pPr>
            <w:r>
              <w:rPr>
                <w:b w:val="0"/>
                <w:color w:val="6B7280"/>
                <w:sz w:val="19"/>
              </w:rPr>
              <w:t>All roles need a shared school calendar. High visibility to parents &amp; teachers.</w:t>
            </w:r>
          </w:p>
        </w:tc>
      </w:tr>
      <w:tr>
        <w:tc>
          <w:tcPr>
            <w:tcW w:type="dxa" w:w="504"/>
            <w:vAlign w:val="center"/>
          </w:tcPr>
          <w:p>
            <w:pPr>
              <w:spacing w:before="60" w:after="60"/>
            </w:pPr>
            <w:r>
              <w:rPr>
                <w:b w:val="0"/>
                <w:color w:val="DC2626"/>
                <w:sz w:val="19"/>
              </w:rPr>
              <w:t>2</w:t>
            </w:r>
          </w:p>
        </w:tc>
        <w:tc>
          <w:tcPr>
            <w:tcW w:type="dxa" w:w="2592"/>
            <w:vAlign w:val="center"/>
          </w:tcPr>
          <w:p>
            <w:pPr>
              <w:spacing w:before="60" w:after="60"/>
            </w:pPr>
            <w:r>
              <w:rPr>
                <w:b/>
                <w:color w:val="0A2540"/>
                <w:sz w:val="19"/>
              </w:rPr>
              <w:t>Bulk SMS &amp; Email</w:t>
            </w:r>
          </w:p>
        </w:tc>
        <w:tc>
          <w:tcPr>
            <w:tcW w:type="dxa" w:w="6264"/>
            <w:vAlign w:val="center"/>
          </w:tcPr>
          <w:p>
            <w:pPr>
              <w:spacing w:before="60" w:after="60"/>
            </w:pPr>
            <w:r>
              <w:rPr>
                <w:b w:val="0"/>
                <w:color w:val="6B7280"/>
                <w:sz w:val="19"/>
              </w:rPr>
              <w:t>Critical in Nigerian market. Parents expect SMS alerts for fees, results, events.</w:t>
            </w:r>
          </w:p>
        </w:tc>
      </w:tr>
      <w:tr>
        <w:tc>
          <w:tcPr>
            <w:tcW w:type="dxa" w:w="504"/>
            <w:vAlign w:val="center"/>
          </w:tcPr>
          <w:p>
            <w:pPr>
              <w:spacing w:before="60" w:after="60"/>
            </w:pPr>
            <w:r>
              <w:rPr>
                <w:b w:val="0"/>
                <w:color w:val="DC2626"/>
                <w:sz w:val="19"/>
              </w:rPr>
              <w:t>3</w:t>
            </w:r>
          </w:p>
        </w:tc>
        <w:tc>
          <w:tcPr>
            <w:tcW w:type="dxa" w:w="2592"/>
            <w:vAlign w:val="center"/>
          </w:tcPr>
          <w:p>
            <w:pPr>
              <w:spacing w:before="60" w:after="60"/>
            </w:pPr>
            <w:r>
              <w:rPr>
                <w:b/>
                <w:color w:val="0A2540"/>
                <w:sz w:val="19"/>
              </w:rPr>
              <w:t>Class Notes (Student Portal)</w:t>
            </w:r>
          </w:p>
        </w:tc>
        <w:tc>
          <w:tcPr>
            <w:tcW w:type="dxa" w:w="6264"/>
            <w:vAlign w:val="center"/>
          </w:tcPr>
          <w:p>
            <w:pPr>
              <w:spacing w:before="60" w:after="60"/>
            </w:pPr>
            <w:r>
              <w:rPr>
                <w:b w:val="0"/>
                <w:color w:val="6B7280"/>
                <w:sz w:val="19"/>
              </w:rPr>
              <w:t>Teachers post notes; students read in Learning hub. Core to student daily usage.</w:t>
            </w:r>
          </w:p>
        </w:tc>
      </w:tr>
      <w:tr>
        <w:tc>
          <w:tcPr>
            <w:tcW w:type="dxa" w:w="504"/>
            <w:vAlign w:val="center"/>
          </w:tcPr>
          <w:p>
            <w:pPr>
              <w:spacing w:before="60" w:after="60"/>
            </w:pPr>
            <w:r>
              <w:rPr>
                <w:b w:val="0"/>
                <w:color w:val="DC2626"/>
                <w:sz w:val="19"/>
              </w:rPr>
              <w:t>4</w:t>
            </w:r>
          </w:p>
        </w:tc>
        <w:tc>
          <w:tcPr>
            <w:tcW w:type="dxa" w:w="2592"/>
            <w:vAlign w:val="center"/>
          </w:tcPr>
          <w:p>
            <w:pPr>
              <w:spacing w:before="60" w:after="60"/>
            </w:pPr>
            <w:r>
              <w:rPr>
                <w:b/>
                <w:color w:val="0A2540"/>
                <w:sz w:val="19"/>
              </w:rPr>
              <w:t>Video Lessons</w:t>
            </w:r>
          </w:p>
        </w:tc>
        <w:tc>
          <w:tcPr>
            <w:tcW w:type="dxa" w:w="6264"/>
            <w:vAlign w:val="center"/>
          </w:tcPr>
          <w:p>
            <w:pPr>
              <w:spacing w:before="60" w:after="60"/>
            </w:pPr>
            <w:r>
              <w:rPr>
                <w:b w:val="0"/>
                <w:color w:val="6B7280"/>
                <w:sz w:val="19"/>
              </w:rPr>
              <w:t>Embed video content per subject. Can start with YouTube embeds + upload links.</w:t>
            </w:r>
          </w:p>
        </w:tc>
      </w:tr>
      <w:tr>
        <w:tc>
          <w:tcPr>
            <w:tcW w:type="dxa" w:w="504"/>
            <w:vAlign w:val="center"/>
          </w:tcPr>
          <w:p>
            <w:pPr>
              <w:spacing w:before="60" w:after="60"/>
            </w:pPr>
            <w:r>
              <w:rPr>
                <w:b w:val="0"/>
                <w:color w:val="DC2626"/>
                <w:sz w:val="19"/>
              </w:rPr>
              <w:t>5</w:t>
            </w:r>
          </w:p>
        </w:tc>
        <w:tc>
          <w:tcPr>
            <w:tcW w:type="dxa" w:w="2592"/>
            <w:vAlign w:val="center"/>
          </w:tcPr>
          <w:p>
            <w:pPr>
              <w:spacing w:before="60" w:after="60"/>
            </w:pPr>
            <w:r>
              <w:rPr>
                <w:b/>
                <w:color w:val="0A2540"/>
                <w:sz w:val="19"/>
              </w:rPr>
              <w:t>Science Simulations (PhET)</w:t>
            </w:r>
          </w:p>
        </w:tc>
        <w:tc>
          <w:tcPr>
            <w:tcW w:type="dxa" w:w="6264"/>
            <w:vAlign w:val="center"/>
          </w:tcPr>
          <w:p>
            <w:pPr>
              <w:spacing w:before="60" w:after="60"/>
            </w:pPr>
            <w:r>
              <w:rPr>
                <w:b w:val="0"/>
                <w:color w:val="6B7280"/>
                <w:sz w:val="19"/>
              </w:rPr>
              <w:t>PhET is free &amp; embeddable. Major EDVES selling point — easy to replicate.</w:t>
            </w:r>
          </w:p>
        </w:tc>
      </w:tr>
      <w:tr>
        <w:tc>
          <w:tcPr>
            <w:tcW w:type="dxa" w:w="504"/>
            <w:vAlign w:val="center"/>
          </w:tcPr>
          <w:p>
            <w:pPr>
              <w:spacing w:before="60" w:after="60"/>
            </w:pPr>
            <w:r>
              <w:rPr>
                <w:b w:val="0"/>
                <w:color w:val="DC2626"/>
                <w:sz w:val="19"/>
              </w:rPr>
              <w:t>6</w:t>
            </w:r>
          </w:p>
        </w:tc>
        <w:tc>
          <w:tcPr>
            <w:tcW w:type="dxa" w:w="2592"/>
            <w:vAlign w:val="center"/>
          </w:tcPr>
          <w:p>
            <w:pPr>
              <w:spacing w:before="60" w:after="60"/>
            </w:pPr>
            <w:r>
              <w:rPr>
                <w:b/>
                <w:color w:val="0A2540"/>
                <w:sz w:val="19"/>
              </w:rPr>
              <w:t>Online Payment Gateway</w:t>
            </w:r>
          </w:p>
        </w:tc>
        <w:tc>
          <w:tcPr>
            <w:tcW w:type="dxa" w:w="6264"/>
            <w:vAlign w:val="center"/>
          </w:tcPr>
          <w:p>
            <w:pPr>
              <w:spacing w:before="60" w:after="60"/>
            </w:pPr>
            <w:r>
              <w:rPr>
                <w:b w:val="0"/>
                <w:color w:val="6B7280"/>
                <w:sz w:val="19"/>
              </w:rPr>
              <w:t>UI exists; needs to connect to Paystack or Flutterwave to process real payments.</w:t>
            </w:r>
          </w:p>
        </w:tc>
      </w:tr>
    </w:tbl>
    <w:p/>
    <w:p>
      <w:pPr>
        <w:spacing w:before="240" w:after="120"/>
      </w:pPr>
      <w:r>
        <w:rPr>
          <w:b/>
          <w:color w:val="D97706"/>
          <w:sz w:val="24"/>
        </w:rPr>
        <w:t>P2 — Important (Build Next)</w:t>
      </w:r>
    </w:p>
    <w:tbl>
      <w:tblPr>
        <w:tblW w:type="auto" w:w="0"/>
        <w:jc w:val="center"/>
        <w:tblLook w:firstColumn="1" w:firstRow="1" w:lastColumn="0" w:lastRow="0" w:noHBand="0" w:noVBand="1" w:val="04A0"/>
      </w:tblPr>
      <w:tblGrid>
        <w:gridCol w:w="3024"/>
        <w:gridCol w:w="3024"/>
        <w:gridCol w:w="3024"/>
      </w:tblGrid>
      <w:tr>
        <w:tc>
          <w:tcPr>
            <w:tcW w:type="dxa" w:w="504"/>
            <w:shd w:val="clear" w:color="auto" w:fill="D97706"/>
            <w:vAlign w:val="center"/>
          </w:tcPr>
          <w:p>
            <w:pPr>
              <w:spacing w:before="60" w:after="60"/>
            </w:pPr>
            <w:r>
              <w:rPr>
                <w:b/>
                <w:color w:val="FFFFFF"/>
                <w:sz w:val="18"/>
              </w:rPr>
              <w:t>#</w:t>
            </w:r>
          </w:p>
        </w:tc>
        <w:tc>
          <w:tcPr>
            <w:tcW w:type="dxa" w:w="2592"/>
            <w:shd w:val="clear" w:color="auto" w:fill="D97706"/>
            <w:vAlign w:val="center"/>
          </w:tcPr>
          <w:p>
            <w:pPr>
              <w:spacing w:before="60" w:after="60"/>
            </w:pPr>
            <w:r>
              <w:rPr>
                <w:b/>
                <w:color w:val="FFFFFF"/>
                <w:sz w:val="18"/>
              </w:rPr>
              <w:t>Module</w:t>
            </w:r>
          </w:p>
        </w:tc>
        <w:tc>
          <w:tcPr>
            <w:tcW w:type="dxa" w:w="6264"/>
            <w:shd w:val="clear" w:color="auto" w:fill="D97706"/>
            <w:vAlign w:val="center"/>
          </w:tcPr>
          <w:p>
            <w:pPr>
              <w:spacing w:before="60" w:after="60"/>
            </w:pPr>
            <w:r>
              <w:rPr>
                <w:b/>
                <w:color w:val="FFFFFF"/>
                <w:sz w:val="18"/>
              </w:rPr>
              <w:t>Why It Matters</w:t>
            </w:r>
          </w:p>
        </w:tc>
      </w:tr>
      <w:tr>
        <w:tc>
          <w:tcPr>
            <w:tcW w:type="dxa" w:w="504"/>
            <w:vAlign w:val="center"/>
          </w:tcPr>
          <w:p>
            <w:pPr>
              <w:spacing w:before="60" w:after="60"/>
            </w:pPr>
            <w:r>
              <w:rPr>
                <w:b w:val="0"/>
                <w:color w:val="D97706"/>
                <w:sz w:val="19"/>
              </w:rPr>
              <w:t>7</w:t>
            </w:r>
          </w:p>
        </w:tc>
        <w:tc>
          <w:tcPr>
            <w:tcW w:type="dxa" w:w="2592"/>
            <w:vAlign w:val="center"/>
          </w:tcPr>
          <w:p>
            <w:pPr>
              <w:spacing w:before="60" w:after="60"/>
            </w:pPr>
            <w:r>
              <w:rPr>
                <w:b/>
                <w:color w:val="0A2540"/>
                <w:sz w:val="19"/>
              </w:rPr>
              <w:t>House Point System</w:t>
            </w:r>
          </w:p>
        </w:tc>
        <w:tc>
          <w:tcPr>
            <w:tcW w:type="dxa" w:w="6264"/>
            <w:vAlign w:val="center"/>
          </w:tcPr>
          <w:p>
            <w:pPr>
              <w:spacing w:before="60" w:after="60"/>
            </w:pPr>
            <w:r>
              <w:rPr>
                <w:b w:val="0"/>
                <w:color w:val="6B7280"/>
                <w:sz w:val="19"/>
              </w:rPr>
              <w:t>Dedicated pastoral care module surfaced to students, teachers, and parents.</w:t>
            </w:r>
          </w:p>
        </w:tc>
      </w:tr>
      <w:tr>
        <w:tc>
          <w:tcPr>
            <w:tcW w:type="dxa" w:w="504"/>
            <w:vAlign w:val="center"/>
          </w:tcPr>
          <w:p>
            <w:pPr>
              <w:spacing w:before="60" w:after="60"/>
            </w:pPr>
            <w:r>
              <w:rPr>
                <w:b w:val="0"/>
                <w:color w:val="D97706"/>
                <w:sz w:val="19"/>
              </w:rPr>
              <w:t>8</w:t>
            </w:r>
          </w:p>
        </w:tc>
        <w:tc>
          <w:tcPr>
            <w:tcW w:type="dxa" w:w="2592"/>
            <w:vAlign w:val="center"/>
          </w:tcPr>
          <w:p>
            <w:pPr>
              <w:spacing w:before="60" w:after="60"/>
            </w:pPr>
            <w:r>
              <w:rPr>
                <w:b/>
                <w:color w:val="0A2540"/>
                <w:sz w:val="19"/>
              </w:rPr>
              <w:t>Teacher Payslip View</w:t>
            </w:r>
          </w:p>
        </w:tc>
        <w:tc>
          <w:tcPr>
            <w:tcW w:type="dxa" w:w="6264"/>
            <w:vAlign w:val="center"/>
          </w:tcPr>
          <w:p>
            <w:pPr>
              <w:spacing w:before="60" w:after="60"/>
            </w:pPr>
            <w:r>
              <w:rPr>
                <w:b w:val="0"/>
                <w:color w:val="6B7280"/>
                <w:sz w:val="19"/>
              </w:rPr>
              <w:t>Data already in payroll; just needs a teacher-facing view. Quick win.</w:t>
            </w:r>
          </w:p>
        </w:tc>
      </w:tr>
      <w:tr>
        <w:tc>
          <w:tcPr>
            <w:tcW w:type="dxa" w:w="504"/>
            <w:vAlign w:val="center"/>
          </w:tcPr>
          <w:p>
            <w:pPr>
              <w:spacing w:before="60" w:after="60"/>
            </w:pPr>
            <w:r>
              <w:rPr>
                <w:b w:val="0"/>
                <w:color w:val="D97706"/>
                <w:sz w:val="19"/>
              </w:rPr>
              <w:t>9</w:t>
            </w:r>
          </w:p>
        </w:tc>
        <w:tc>
          <w:tcPr>
            <w:tcW w:type="dxa" w:w="2592"/>
            <w:vAlign w:val="center"/>
          </w:tcPr>
          <w:p>
            <w:pPr>
              <w:spacing w:before="60" w:after="60"/>
            </w:pPr>
            <w:r>
              <w:rPr>
                <w:b/>
                <w:color w:val="0A2540"/>
                <w:sz w:val="19"/>
              </w:rPr>
              <w:t>Transport Management</w:t>
            </w:r>
          </w:p>
        </w:tc>
        <w:tc>
          <w:tcPr>
            <w:tcW w:type="dxa" w:w="6264"/>
            <w:vAlign w:val="center"/>
          </w:tcPr>
          <w:p>
            <w:pPr>
              <w:spacing w:before="60" w:after="60"/>
            </w:pPr>
            <w:r>
              <w:rPr>
                <w:b w:val="0"/>
                <w:color w:val="6B7280"/>
                <w:sz w:val="19"/>
              </w:rPr>
              <w:t>School bus routes, driver assignment, parent tracking alerts and secure pickup.</w:t>
            </w:r>
          </w:p>
        </w:tc>
      </w:tr>
      <w:tr>
        <w:tc>
          <w:tcPr>
            <w:tcW w:type="dxa" w:w="504"/>
            <w:vAlign w:val="center"/>
          </w:tcPr>
          <w:p>
            <w:pPr>
              <w:spacing w:before="60" w:after="60"/>
            </w:pPr>
            <w:r>
              <w:rPr>
                <w:b w:val="0"/>
                <w:color w:val="D97706"/>
                <w:sz w:val="19"/>
              </w:rPr>
              <w:t>10</w:t>
            </w:r>
          </w:p>
        </w:tc>
        <w:tc>
          <w:tcPr>
            <w:tcW w:type="dxa" w:w="2592"/>
            <w:vAlign w:val="center"/>
          </w:tcPr>
          <w:p>
            <w:pPr>
              <w:spacing w:before="60" w:after="60"/>
            </w:pPr>
            <w:r>
              <w:rPr>
                <w:b/>
                <w:color w:val="0A2540"/>
                <w:sz w:val="19"/>
              </w:rPr>
              <w:t>Parent Feedback Tool</w:t>
            </w:r>
          </w:p>
        </w:tc>
        <w:tc>
          <w:tcPr>
            <w:tcW w:type="dxa" w:w="6264"/>
            <w:vAlign w:val="center"/>
          </w:tcPr>
          <w:p>
            <w:pPr>
              <w:spacing w:before="60" w:after="60"/>
            </w:pPr>
            <w:r>
              <w:rPr>
                <w:b w:val="0"/>
                <w:color w:val="6B7280"/>
                <w:sz w:val="19"/>
              </w:rPr>
              <w:t>Structured survey/rating from parents to school. Builds trust and NPS.</w:t>
            </w:r>
          </w:p>
        </w:tc>
      </w:tr>
      <w:tr>
        <w:tc>
          <w:tcPr>
            <w:tcW w:type="dxa" w:w="504"/>
            <w:vAlign w:val="center"/>
          </w:tcPr>
          <w:p>
            <w:pPr>
              <w:spacing w:before="60" w:after="60"/>
            </w:pPr>
            <w:r>
              <w:rPr>
                <w:b w:val="0"/>
                <w:color w:val="D97706"/>
                <w:sz w:val="19"/>
              </w:rPr>
              <w:t>11</w:t>
            </w:r>
          </w:p>
        </w:tc>
        <w:tc>
          <w:tcPr>
            <w:tcW w:type="dxa" w:w="2592"/>
            <w:vAlign w:val="center"/>
          </w:tcPr>
          <w:p>
            <w:pPr>
              <w:spacing w:before="60" w:after="60"/>
            </w:pPr>
            <w:r>
              <w:rPr>
                <w:b/>
                <w:color w:val="0A2540"/>
                <w:sz w:val="19"/>
              </w:rPr>
              <w:t>Communication Diary</w:t>
            </w:r>
          </w:p>
        </w:tc>
        <w:tc>
          <w:tcPr>
            <w:tcW w:type="dxa" w:w="6264"/>
            <w:vAlign w:val="center"/>
          </w:tcPr>
          <w:p>
            <w:pPr>
              <w:spacing w:before="60" w:after="60"/>
            </w:pPr>
            <w:r>
              <w:rPr>
                <w:b w:val="0"/>
                <w:color w:val="6B7280"/>
                <w:sz w:val="19"/>
              </w:rPr>
              <w:t>Structured daily teacher ↔ parent notes with read receipts.</w:t>
            </w:r>
          </w:p>
        </w:tc>
      </w:tr>
      <w:tr>
        <w:tc>
          <w:tcPr>
            <w:tcW w:type="dxa" w:w="504"/>
            <w:vAlign w:val="center"/>
          </w:tcPr>
          <w:p>
            <w:pPr>
              <w:spacing w:before="60" w:after="60"/>
            </w:pPr>
            <w:r>
              <w:rPr>
                <w:b w:val="0"/>
                <w:color w:val="D97706"/>
                <w:sz w:val="19"/>
              </w:rPr>
              <w:t>12</w:t>
            </w:r>
          </w:p>
        </w:tc>
        <w:tc>
          <w:tcPr>
            <w:tcW w:type="dxa" w:w="2592"/>
            <w:vAlign w:val="center"/>
          </w:tcPr>
          <w:p>
            <w:pPr>
              <w:spacing w:before="60" w:after="60"/>
            </w:pPr>
            <w:r>
              <w:rPr>
                <w:b/>
                <w:color w:val="0A2540"/>
                <w:sz w:val="19"/>
              </w:rPr>
              <w:t>Formative Assessment</w:t>
            </w:r>
          </w:p>
        </w:tc>
        <w:tc>
          <w:tcPr>
            <w:tcW w:type="dxa" w:w="6264"/>
            <w:vAlign w:val="center"/>
          </w:tcPr>
          <w:p>
            <w:pPr>
              <w:spacing w:before="60" w:after="60"/>
            </w:pPr>
            <w:r>
              <w:rPr>
                <w:b w:val="0"/>
                <w:color w:val="6B7280"/>
                <w:sz w:val="19"/>
              </w:rPr>
              <w:t>In-class ongoing quizzes and scoring, distinct from end-of-term CBT.</w:t>
            </w:r>
          </w:p>
        </w:tc>
      </w:tr>
      <w:tr>
        <w:tc>
          <w:tcPr>
            <w:tcW w:type="dxa" w:w="504"/>
            <w:vAlign w:val="center"/>
          </w:tcPr>
          <w:p>
            <w:pPr>
              <w:spacing w:before="60" w:after="60"/>
            </w:pPr>
            <w:r>
              <w:rPr>
                <w:b w:val="0"/>
                <w:color w:val="D97706"/>
                <w:sz w:val="19"/>
              </w:rPr>
              <w:t>13</w:t>
            </w:r>
          </w:p>
        </w:tc>
        <w:tc>
          <w:tcPr>
            <w:tcW w:type="dxa" w:w="2592"/>
            <w:vAlign w:val="center"/>
          </w:tcPr>
          <w:p>
            <w:pPr>
              <w:spacing w:before="60" w:after="60"/>
            </w:pPr>
            <w:r>
              <w:rPr>
                <w:b/>
                <w:color w:val="0A2540"/>
                <w:sz w:val="19"/>
              </w:rPr>
              <w:t>Health / Sickbay</w:t>
            </w:r>
          </w:p>
        </w:tc>
        <w:tc>
          <w:tcPr>
            <w:tcW w:type="dxa" w:w="6264"/>
            <w:vAlign w:val="center"/>
          </w:tcPr>
          <w:p>
            <w:pPr>
              <w:spacing w:before="60" w:after="60"/>
            </w:pPr>
            <w:r>
              <w:rPr>
                <w:b w:val="0"/>
                <w:color w:val="6B7280"/>
                <w:sz w:val="19"/>
              </w:rPr>
              <w:t>Complete the stub: student health records, incidents, parent notification.</w:t>
            </w:r>
          </w:p>
        </w:tc>
      </w:tr>
      <w:tr>
        <w:tc>
          <w:tcPr>
            <w:tcW w:type="dxa" w:w="504"/>
            <w:vAlign w:val="center"/>
          </w:tcPr>
          <w:p>
            <w:pPr>
              <w:spacing w:before="60" w:after="60"/>
            </w:pPr>
            <w:r>
              <w:rPr>
                <w:b w:val="0"/>
                <w:color w:val="D97706"/>
                <w:sz w:val="19"/>
              </w:rPr>
              <w:t>14</w:t>
            </w:r>
          </w:p>
        </w:tc>
        <w:tc>
          <w:tcPr>
            <w:tcW w:type="dxa" w:w="2592"/>
            <w:vAlign w:val="center"/>
          </w:tcPr>
          <w:p>
            <w:pPr>
              <w:spacing w:before="60" w:after="60"/>
            </w:pPr>
            <w:r>
              <w:rPr>
                <w:b/>
                <w:color w:val="0A2540"/>
                <w:sz w:val="19"/>
              </w:rPr>
              <w:t>Inventory Management</w:t>
            </w:r>
          </w:p>
        </w:tc>
        <w:tc>
          <w:tcPr>
            <w:tcW w:type="dxa" w:w="6264"/>
            <w:vAlign w:val="center"/>
          </w:tcPr>
          <w:p>
            <w:pPr>
              <w:spacing w:before="60" w:after="60"/>
            </w:pPr>
            <w:r>
              <w:rPr>
                <w:b w:val="0"/>
                <w:color w:val="6B7280"/>
                <w:sz w:val="19"/>
              </w:rPr>
              <w:t>Complete the stub: items, stock levels, procurement, issue tracking.</w:t>
            </w:r>
          </w:p>
        </w:tc>
      </w:tr>
    </w:tbl>
    <w:p/>
    <w:p>
      <w:pPr>
        <w:spacing w:before="240" w:after="120"/>
      </w:pPr>
      <w:r>
        <w:rPr>
          <w:b/>
          <w:color w:val="1D4ED8"/>
          <w:sz w:val="24"/>
        </w:rPr>
        <w:t>P3 — Strategic (Future Phase)</w:t>
      </w:r>
    </w:p>
    <w:tbl>
      <w:tblPr>
        <w:tblW w:type="auto" w:w="0"/>
        <w:jc w:val="center"/>
        <w:tblLook w:firstColumn="1" w:firstRow="1" w:lastColumn="0" w:lastRow="0" w:noHBand="0" w:noVBand="1" w:val="04A0"/>
      </w:tblPr>
      <w:tblGrid>
        <w:gridCol w:w="3024"/>
        <w:gridCol w:w="3024"/>
        <w:gridCol w:w="3024"/>
      </w:tblGrid>
      <w:tr>
        <w:tc>
          <w:tcPr>
            <w:tcW w:type="dxa" w:w="504"/>
            <w:shd w:val="clear" w:color="auto" w:fill="1D4ED8"/>
            <w:vAlign w:val="center"/>
          </w:tcPr>
          <w:p>
            <w:pPr>
              <w:spacing w:before="60" w:after="60"/>
            </w:pPr>
            <w:r>
              <w:rPr>
                <w:b/>
                <w:color w:val="FFFFFF"/>
                <w:sz w:val="18"/>
              </w:rPr>
              <w:t>#</w:t>
            </w:r>
          </w:p>
        </w:tc>
        <w:tc>
          <w:tcPr>
            <w:tcW w:type="dxa" w:w="2592"/>
            <w:shd w:val="clear" w:color="auto" w:fill="1D4ED8"/>
            <w:vAlign w:val="center"/>
          </w:tcPr>
          <w:p>
            <w:pPr>
              <w:spacing w:before="60" w:after="60"/>
            </w:pPr>
            <w:r>
              <w:rPr>
                <w:b/>
                <w:color w:val="FFFFFF"/>
                <w:sz w:val="18"/>
              </w:rPr>
              <w:t>Module</w:t>
            </w:r>
          </w:p>
        </w:tc>
        <w:tc>
          <w:tcPr>
            <w:tcW w:type="dxa" w:w="6264"/>
            <w:shd w:val="clear" w:color="auto" w:fill="1D4ED8"/>
            <w:vAlign w:val="center"/>
          </w:tcPr>
          <w:p>
            <w:pPr>
              <w:spacing w:before="60" w:after="60"/>
            </w:pPr>
            <w:r>
              <w:rPr>
                <w:b/>
                <w:color w:val="FFFFFF"/>
                <w:sz w:val="18"/>
              </w:rPr>
              <w:t>Why It Matters</w:t>
            </w:r>
          </w:p>
        </w:tc>
      </w:tr>
      <w:tr>
        <w:tc>
          <w:tcPr>
            <w:tcW w:type="dxa" w:w="504"/>
            <w:vAlign w:val="center"/>
          </w:tcPr>
          <w:p>
            <w:pPr>
              <w:spacing w:before="60" w:after="60"/>
            </w:pPr>
            <w:r>
              <w:rPr>
                <w:b w:val="0"/>
                <w:color w:val="1D4ED8"/>
                <w:sz w:val="19"/>
              </w:rPr>
              <w:t>15</w:t>
            </w:r>
          </w:p>
        </w:tc>
        <w:tc>
          <w:tcPr>
            <w:tcW w:type="dxa" w:w="2592"/>
            <w:vAlign w:val="center"/>
          </w:tcPr>
          <w:p>
            <w:pPr>
              <w:spacing w:before="60" w:after="60"/>
            </w:pPr>
            <w:r>
              <w:rPr>
                <w:b/>
                <w:color w:val="0A2540"/>
                <w:sz w:val="19"/>
              </w:rPr>
              <w:t>Virtual Classroom (Live)</w:t>
            </w:r>
          </w:p>
        </w:tc>
        <w:tc>
          <w:tcPr>
            <w:tcW w:type="dxa" w:w="6264"/>
            <w:vAlign w:val="center"/>
          </w:tcPr>
          <w:p>
            <w:pPr>
              <w:spacing w:before="60" w:after="60"/>
            </w:pPr>
            <w:r>
              <w:rPr>
                <w:b w:val="0"/>
                <w:color w:val="6B7280"/>
                <w:sz w:val="19"/>
              </w:rPr>
              <w:t>Zoom/Jitsi/Google Meet integration for live online classes.</w:t>
            </w:r>
          </w:p>
        </w:tc>
      </w:tr>
      <w:tr>
        <w:tc>
          <w:tcPr>
            <w:tcW w:type="dxa" w:w="504"/>
            <w:vAlign w:val="center"/>
          </w:tcPr>
          <w:p>
            <w:pPr>
              <w:spacing w:before="60" w:after="60"/>
            </w:pPr>
            <w:r>
              <w:rPr>
                <w:b w:val="0"/>
                <w:color w:val="1D4ED8"/>
                <w:sz w:val="19"/>
              </w:rPr>
              <w:t>16</w:t>
            </w:r>
          </w:p>
        </w:tc>
        <w:tc>
          <w:tcPr>
            <w:tcW w:type="dxa" w:w="2592"/>
            <w:vAlign w:val="center"/>
          </w:tcPr>
          <w:p>
            <w:pPr>
              <w:spacing w:before="60" w:after="60"/>
            </w:pPr>
            <w:r>
              <w:rPr>
                <w:b/>
                <w:color w:val="0A2540"/>
                <w:sz w:val="19"/>
              </w:rPr>
              <w:t>AI Grading &amp; Assistance</w:t>
            </w:r>
          </w:p>
        </w:tc>
        <w:tc>
          <w:tcPr>
            <w:tcW w:type="dxa" w:w="6264"/>
            <w:vAlign w:val="center"/>
          </w:tcPr>
          <w:p>
            <w:pPr>
              <w:spacing w:before="60" w:after="60"/>
            </w:pPr>
            <w:r>
              <w:rPr>
                <w:b w:val="0"/>
                <w:color w:val="6B7280"/>
                <w:sz w:val="19"/>
              </w:rPr>
              <w:t>AI-powered marking, question generation from lesson notes, chatbot.</w:t>
            </w:r>
          </w:p>
        </w:tc>
      </w:tr>
      <w:tr>
        <w:tc>
          <w:tcPr>
            <w:tcW w:type="dxa" w:w="504"/>
            <w:vAlign w:val="center"/>
          </w:tcPr>
          <w:p>
            <w:pPr>
              <w:spacing w:before="60" w:after="60"/>
            </w:pPr>
            <w:r>
              <w:rPr>
                <w:b w:val="0"/>
                <w:color w:val="1D4ED8"/>
                <w:sz w:val="19"/>
              </w:rPr>
              <w:t>17</w:t>
            </w:r>
          </w:p>
        </w:tc>
        <w:tc>
          <w:tcPr>
            <w:tcW w:type="dxa" w:w="2592"/>
            <w:vAlign w:val="center"/>
          </w:tcPr>
          <w:p>
            <w:pPr>
              <w:spacing w:before="60" w:after="60"/>
            </w:pPr>
            <w:r>
              <w:rPr>
                <w:b/>
                <w:color w:val="0A2540"/>
                <w:sz w:val="19"/>
              </w:rPr>
              <w:t>Student Performance AI</w:t>
            </w:r>
          </w:p>
        </w:tc>
        <w:tc>
          <w:tcPr>
            <w:tcW w:type="dxa" w:w="6264"/>
            <w:vAlign w:val="center"/>
          </w:tcPr>
          <w:p>
            <w:pPr>
              <w:spacing w:before="60" w:after="60"/>
            </w:pPr>
            <w:r>
              <w:rPr>
                <w:b w:val="0"/>
                <w:color w:val="6B7280"/>
                <w:sz w:val="19"/>
              </w:rPr>
              <w:t>Predictive analytics flagging at-risk students based on attendance and results.</w:t>
            </w:r>
          </w:p>
        </w:tc>
      </w:tr>
      <w:tr>
        <w:tc>
          <w:tcPr>
            <w:tcW w:type="dxa" w:w="504"/>
            <w:vAlign w:val="center"/>
          </w:tcPr>
          <w:p>
            <w:pPr>
              <w:spacing w:before="60" w:after="60"/>
            </w:pPr>
            <w:r>
              <w:rPr>
                <w:b w:val="0"/>
                <w:color w:val="1D4ED8"/>
                <w:sz w:val="19"/>
              </w:rPr>
              <w:t>18</w:t>
            </w:r>
          </w:p>
        </w:tc>
        <w:tc>
          <w:tcPr>
            <w:tcW w:type="dxa" w:w="2592"/>
            <w:vAlign w:val="center"/>
          </w:tcPr>
          <w:p>
            <w:pPr>
              <w:spacing w:before="60" w:after="60"/>
            </w:pPr>
            <w:r>
              <w:rPr>
                <w:b/>
                <w:color w:val="0A2540"/>
                <w:sz w:val="19"/>
              </w:rPr>
              <w:t>Hostel Management</w:t>
            </w:r>
          </w:p>
        </w:tc>
        <w:tc>
          <w:tcPr>
            <w:tcW w:type="dxa" w:w="6264"/>
            <w:vAlign w:val="center"/>
          </w:tcPr>
          <w:p>
            <w:pPr>
              <w:spacing w:before="60" w:after="60"/>
            </w:pPr>
            <w:r>
              <w:rPr>
                <w:b w:val="0"/>
                <w:color w:val="6B7280"/>
                <w:sz w:val="19"/>
              </w:rPr>
              <w:t>Boarding students: rooms, meals, check-in/out, parent communication.</w:t>
            </w:r>
          </w:p>
        </w:tc>
      </w:tr>
      <w:tr>
        <w:tc>
          <w:tcPr>
            <w:tcW w:type="dxa" w:w="504"/>
            <w:vAlign w:val="center"/>
          </w:tcPr>
          <w:p>
            <w:pPr>
              <w:spacing w:before="60" w:after="60"/>
            </w:pPr>
            <w:r>
              <w:rPr>
                <w:b w:val="0"/>
                <w:color w:val="1D4ED8"/>
                <w:sz w:val="19"/>
              </w:rPr>
              <w:t>19</w:t>
            </w:r>
          </w:p>
        </w:tc>
        <w:tc>
          <w:tcPr>
            <w:tcW w:type="dxa" w:w="2592"/>
            <w:vAlign w:val="center"/>
          </w:tcPr>
          <w:p>
            <w:pPr>
              <w:spacing w:before="60" w:after="60"/>
            </w:pPr>
            <w:r>
              <w:rPr>
                <w:b/>
                <w:color w:val="0A2540"/>
                <w:sz w:val="19"/>
              </w:rPr>
              <w:t>Multi-Curriculum Support</w:t>
            </w:r>
          </w:p>
        </w:tc>
        <w:tc>
          <w:tcPr>
            <w:tcW w:type="dxa" w:w="6264"/>
            <w:vAlign w:val="center"/>
          </w:tcPr>
          <w:p>
            <w:pPr>
              <w:spacing w:before="60" w:after="60"/>
            </w:pPr>
            <w:r>
              <w:rPr>
                <w:b w:val="0"/>
                <w:color w:val="6B7280"/>
                <w:sz w:val="19"/>
              </w:rPr>
              <w:t>NERDC, Cambridge, IGCSE, IB curriculum tagging on lessons and assessments.</w:t>
            </w:r>
          </w:p>
        </w:tc>
      </w:tr>
      <w:tr>
        <w:tc>
          <w:tcPr>
            <w:tcW w:type="dxa" w:w="504"/>
            <w:vAlign w:val="center"/>
          </w:tcPr>
          <w:p>
            <w:pPr>
              <w:spacing w:before="60" w:after="60"/>
            </w:pPr>
            <w:r>
              <w:rPr>
                <w:b w:val="0"/>
                <w:color w:val="1D4ED8"/>
                <w:sz w:val="19"/>
              </w:rPr>
              <w:t>20</w:t>
            </w:r>
          </w:p>
        </w:tc>
        <w:tc>
          <w:tcPr>
            <w:tcW w:type="dxa" w:w="2592"/>
            <w:vAlign w:val="center"/>
          </w:tcPr>
          <w:p>
            <w:pPr>
              <w:spacing w:before="60" w:after="60"/>
            </w:pPr>
            <w:r>
              <w:rPr>
                <w:b/>
                <w:color w:val="0A2540"/>
                <w:sz w:val="19"/>
              </w:rPr>
              <w:t>Offline CBT</w:t>
            </w:r>
          </w:p>
        </w:tc>
        <w:tc>
          <w:tcPr>
            <w:tcW w:type="dxa" w:w="6264"/>
            <w:vAlign w:val="center"/>
          </w:tcPr>
          <w:p>
            <w:pPr>
              <w:spacing w:before="60" w:after="60"/>
            </w:pPr>
            <w:r>
              <w:rPr>
                <w:b w:val="0"/>
                <w:color w:val="6B7280"/>
                <w:sz w:val="19"/>
              </w:rPr>
              <w:t>Exam-taking when internet is unavailable; syncs when reconnected.</w:t>
            </w:r>
          </w:p>
        </w:tc>
      </w:tr>
      <w:tr>
        <w:tc>
          <w:tcPr>
            <w:tcW w:type="dxa" w:w="504"/>
            <w:vAlign w:val="center"/>
          </w:tcPr>
          <w:p>
            <w:pPr>
              <w:spacing w:before="60" w:after="60"/>
            </w:pPr>
            <w:r>
              <w:rPr>
                <w:b w:val="0"/>
                <w:color w:val="1D4ED8"/>
                <w:sz w:val="19"/>
              </w:rPr>
              <w:t>21</w:t>
            </w:r>
          </w:p>
        </w:tc>
        <w:tc>
          <w:tcPr>
            <w:tcW w:type="dxa" w:w="2592"/>
            <w:vAlign w:val="center"/>
          </w:tcPr>
          <w:p>
            <w:pPr>
              <w:spacing w:before="60" w:after="60"/>
            </w:pPr>
            <w:r>
              <w:rPr>
                <w:b/>
                <w:color w:val="0A2540"/>
                <w:sz w:val="19"/>
              </w:rPr>
              <w:t>Reseller / Partner Network</w:t>
            </w:r>
          </w:p>
        </w:tc>
        <w:tc>
          <w:tcPr>
            <w:tcW w:type="dxa" w:w="6264"/>
            <w:vAlign w:val="center"/>
          </w:tcPr>
          <w:p>
            <w:pPr>
              <w:spacing w:before="60" w:after="60"/>
            </w:pPr>
            <w:r>
              <w:rPr>
                <w:b w:val="0"/>
                <w:color w:val="6B7280"/>
                <w:sz w:val="19"/>
              </w:rPr>
              <w:t>Commission-based partner portal for city-level resellers.</w:t>
            </w:r>
          </w:p>
        </w:tc>
      </w:tr>
    </w:tbl>
    <w:p/>
    <w:p>
      <w:r>
        <w:br w:type="page"/>
      </w:r>
    </w:p>
    <w:p>
      <w:pPr>
        <w:spacing w:before="320" w:after="40"/>
      </w:pPr>
      <w:r>
        <w:rPr>
          <w:b/>
          <w:color w:val="0D6E3F"/>
          <w:sz w:val="18"/>
        </w:rPr>
        <w:t>05 — CONCLUSION</w:t>
      </w:r>
    </w:p>
    <w:p>
      <w:pPr>
        <w:spacing w:before="280" w:after="80"/>
        <w:jc w:val="left"/>
      </w:pPr>
      <w:r>
        <w:rPr>
          <w:b/>
          <w:i w:val="0"/>
          <w:color w:val="0A2540"/>
          <w:sz w:val="44"/>
        </w:rPr>
        <w:t>Recommendation</w:t>
      </w:r>
    </w:p>
    <w:p>
      <w:pPr>
        <w:spacing w:before="0" w:after="240"/>
        <w:jc w:val="left"/>
      </w:pPr>
      <w:r>
        <w:rPr>
          <w:b w:val="0"/>
          <w:i w:val="0"/>
          <w:color w:val="6B7280"/>
          <w:sz w:val="22"/>
        </w:rPr>
        <w:t>CASPAA enters the market with a stronger financial and platform infrastructure than EDVES. The single most important action is to close the learning content gap — because that is what students and parents interact with daily, and it is the primary reason schools choose EDVES today.</w:t>
      </w:r>
    </w:p>
    <w:p>
      <w:pPr>
        <w:spacing w:before="160" w:after="80"/>
        <w:jc w:val="left"/>
      </w:pPr>
      <w:r>
        <w:rPr>
          <w:b/>
          <w:i w:val="0"/>
          <w:color w:val="0D6E3F"/>
          <w:sz w:val="32"/>
        </w:rPr>
        <w:t>Immediate Focus (Next 60 Days)</w:t>
      </w:r>
    </w:p>
    <w:p>
      <w:pPr>
        <w:pStyle w:val="ListBullet"/>
        <w:spacing w:before="20" w:after="40"/>
        <w:ind w:left="432"/>
      </w:pPr>
      <w:r>
        <w:rPr>
          <w:color w:val="374151"/>
          <w:sz w:val="21"/>
        </w:rPr>
        <w:t>Wire up online payment gateway (Paystack/Flutterwave)</w:t>
      </w:r>
    </w:p>
    <w:p>
      <w:pPr>
        <w:pStyle w:val="ListBullet"/>
        <w:spacing w:before="20" w:after="40"/>
        <w:ind w:left="432"/>
      </w:pPr>
      <w:r>
        <w:rPr>
          <w:color w:val="374151"/>
          <w:sz w:val="21"/>
        </w:rPr>
        <w:t>Build Event Calendar visible across all roles</w:t>
      </w:r>
    </w:p>
    <w:p>
      <w:pPr>
        <w:pStyle w:val="ListBullet"/>
        <w:spacing w:before="20" w:after="40"/>
        <w:ind w:left="432"/>
      </w:pPr>
      <w:r>
        <w:rPr>
          <w:color w:val="374151"/>
          <w:sz w:val="21"/>
        </w:rPr>
        <w:t>Implement Class Notes in the student learning hub</w:t>
      </w:r>
    </w:p>
    <w:p>
      <w:pPr>
        <w:pStyle w:val="ListBullet"/>
        <w:spacing w:before="20" w:after="40"/>
        <w:ind w:left="432"/>
      </w:pPr>
      <w:r>
        <w:rPr>
          <w:color w:val="374151"/>
          <w:sz w:val="21"/>
        </w:rPr>
        <w:t>Add Video Lesson embedding per subject</w:t>
      </w:r>
    </w:p>
    <w:p>
      <w:pPr>
        <w:pStyle w:val="ListBullet"/>
        <w:spacing w:before="20" w:after="40"/>
        <w:ind w:left="432"/>
      </w:pPr>
      <w:r>
        <w:rPr>
          <w:color w:val="374151"/>
          <w:sz w:val="21"/>
        </w:rPr>
        <w:t>Integrate PhET Simulations for Maths &amp; Science</w:t>
      </w:r>
    </w:p>
    <w:p>
      <w:pPr>
        <w:pStyle w:val="ListBullet"/>
        <w:spacing w:before="20" w:after="40"/>
        <w:ind w:left="432"/>
      </w:pPr>
      <w:r>
        <w:rPr>
          <w:color w:val="374151"/>
          <w:sz w:val="21"/>
        </w:rPr>
        <w:t>Activate Bulk SMS via Africa's Talking or Termii</w:t>
      </w:r>
    </w:p>
    <w:p>
      <w:pPr>
        <w:spacing w:before="200" w:after="80"/>
        <w:jc w:val="left"/>
      </w:pPr>
      <w:r>
        <w:rPr>
          <w:b/>
          <w:i w:val="0"/>
          <w:color w:val="1D4ED8"/>
          <w:sz w:val="32"/>
        </w:rPr>
        <w:t>Medium-Term Focus (60–120 Days)</w:t>
      </w:r>
    </w:p>
    <w:p>
      <w:pPr>
        <w:pStyle w:val="ListBullet"/>
        <w:spacing w:before="20" w:after="40"/>
        <w:ind w:left="432"/>
      </w:pPr>
      <w:r>
        <w:rPr>
          <w:color w:val="374151"/>
          <w:sz w:val="21"/>
        </w:rPr>
        <w:t>Dedicate House Point System as its own module</w:t>
      </w:r>
    </w:p>
    <w:p>
      <w:pPr>
        <w:pStyle w:val="ListBullet"/>
        <w:spacing w:before="20" w:after="40"/>
        <w:ind w:left="432"/>
      </w:pPr>
      <w:r>
        <w:rPr>
          <w:color w:val="374151"/>
          <w:sz w:val="21"/>
        </w:rPr>
        <w:t>Build Transport Management + Secure Pickup</w:t>
      </w:r>
    </w:p>
    <w:p>
      <w:pPr>
        <w:pStyle w:val="ListBullet"/>
        <w:spacing w:before="20" w:after="40"/>
        <w:ind w:left="432"/>
      </w:pPr>
      <w:r>
        <w:rPr>
          <w:color w:val="374151"/>
          <w:sz w:val="21"/>
        </w:rPr>
        <w:t>Add Parent Feedback Tool</w:t>
      </w:r>
    </w:p>
    <w:p>
      <w:pPr>
        <w:pStyle w:val="ListBullet"/>
        <w:spacing w:before="20" w:after="40"/>
        <w:ind w:left="432"/>
      </w:pPr>
      <w:r>
        <w:rPr>
          <w:color w:val="374151"/>
          <w:sz w:val="21"/>
        </w:rPr>
        <w:t>Complete Inventory &amp; Health/Sickbay stubs</w:t>
      </w:r>
    </w:p>
    <w:p>
      <w:pPr>
        <w:pStyle w:val="ListBullet"/>
        <w:spacing w:before="20" w:after="40"/>
        <w:ind w:left="432"/>
      </w:pPr>
      <w:r>
        <w:rPr>
          <w:color w:val="374151"/>
          <w:sz w:val="21"/>
        </w:rPr>
        <w:t>Add Communication Diary for teacher-parent notes</w:t>
      </w:r>
    </w:p>
    <w:p>
      <w:pPr>
        <w:pStyle w:val="ListBullet"/>
        <w:spacing w:before="20" w:after="40"/>
        <w:ind w:left="432"/>
      </w:pPr>
      <w:r>
        <w:rPr>
          <w:color w:val="374151"/>
          <w:sz w:val="21"/>
        </w:rPr>
        <w:t>Begin AI roadmap: question generation from lesson notes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