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pivlab/annual_review_of_biomedical_data_science@900bb0b</w:t>
        </w:r>
      </w:hyperlink>
      <w:r>
        <w:t xml:space="preserve"> </w:t>
      </w:r>
      <w:r>
        <w:t xml:space="preserve">on October 11,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VRCjjZ9L">
        <w:r>
          <w:rPr>
            <w:rStyle w:val="Hyperlink"/>
          </w:rPr>
          <w:t xml:space="preserve">1</w:t>
        </w:r>
      </w:hyperlink>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has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 (2017)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 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locus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many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genes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TWAS integrates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of three steps: 1) model training, 2) gene expression imputation, and 3) gene-trait association.</w:t>
      </w:r>
      <w:r>
        <w:t xml:space="preserve"> </w:t>
      </w:r>
      <w:r>
        <w:t xml:space="preserve">For example, during step 1, PrediXcan builds one expression prediction model per gene and tissue using penalized linear regression with ElasticNet to model sparse genetic architectures.</w:t>
      </w:r>
      <w:r>
        <w:t xml:space="preserve"> </w:t>
      </w:r>
      <w:r>
        <w:t xml:space="preserve">These models contain weights for each SNP used as a predictor for gene expression in a tissue.</w:t>
      </w:r>
      <w:r>
        <w:t xml:space="preserve"> </w:t>
      </w:r>
      <w:r>
        <w:t xml:space="preserve">Given genotype data in a cohort without measured gene expression, during step 2, the SNP weights from the models can be used to impute tissue-specific gene expression for individuals.</w:t>
      </w:r>
      <w:r>
        <w:t xml:space="preserve"> </w:t>
      </w:r>
      <w:r>
        <w:t xml:space="preserve">During step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for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mQTLs, respectively,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and 2)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in effect size where small 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approach has proven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thereby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seems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categories,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and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w:t>
      </w:r>
      <w:r>
        <w:t xml:space="preserve">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with a fraction of the LVs representing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homogeneous datasets.</w:t>
      </w:r>
      <w:r>
        <w:t xml:space="preserve"> </w:t>
      </w:r>
      <w:r>
        <w:t xml:space="preserve">Nandi et al. (2024) demonstrated its utility in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of how the integration of gene modules with gene-trait associations and gene-drug data highlights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has been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 not only information about which genes belong to a module but also what the top samples are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and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 in PhenoPLIER.</w:t>
      </w:r>
      <w:r>
        <w:t xml:space="preserve"> </w:t>
      </w:r>
      <w:r>
        <w:t xml:space="preserve">Then, these two approaches, the single gene-based and gene module-based, were compared using a manually 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and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suggests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as well as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 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uses a proximity-based approach in linking variants with genes.</w:t>
      </w:r>
      <w:r>
        <w:t xml:space="preserve"> </w:t>
      </w:r>
      <w:r>
        <w:t xml:space="preserve">Another difference is that MAGMA allows for conditional and interaction gene-set analysis to account for correlated gene modules, and this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better fit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with a pathway, this does not mean that it is restricted to prior knowledge as in standard pathway analyses.</w:t>
      </w:r>
      <w:r>
        <w:t xml:space="preserve"> </w:t>
      </w:r>
      <w:r>
        <w:t xml:space="preserve">Being aligned with pathways means that a module resembles a known mechanism, which helps in interpretability and in distinguishing it from other patterns that might be related to technical noise.</w:t>
      </w:r>
      <w:r>
        <w:t xml:space="preserve"> </w:t>
      </w:r>
      <w:r>
        <w:t xml:space="preserve">However, the module could also capture other genes that are not part of the pathway but potentially involved in the function.</w:t>
      </w:r>
      <w:r>
        <w:t xml:space="preserve"> </w:t>
      </w:r>
      <w:r>
        <w:t xml:space="preserve">Second, gene modules can be extracted from very large, heterogeneous datasets such as recount2, or more specific ones such as the Human Trisome Project, which includes gene expression data from people with Down Syndrome (DS).</w:t>
      </w:r>
      <w:r>
        <w:t xml:space="preserve"> </w:t>
      </w:r>
      <w:r>
        <w:t xml:space="preserve">Approaches such as PLIER and PhenoPLIER have been fundamental in extracting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to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to varying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has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various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components: 1) gene expression data relevant to the research problem, such as large heterogeneous datasets that span different conditions, or otherwise focused, smaller datasets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for current single variant/gene approaches.</w:t>
      </w:r>
      <w:r>
        <w:t xml:space="preserve"> </w:t>
      </w:r>
      <w:r>
        <w:t xml:space="preserve">The development of new and improved statistical methods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will only enhance other approaches that rely on them, such as the gene module-based methods described here.</w:t>
      </w:r>
      <w:r>
        <w:t xml:space="preserve"> </w:t>
      </w:r>
      <w:r>
        <w:t xml:space="preserve">In this review, we demonstrate that the identification of peripheral genes is key to prioritizing core genes that might represent more attractive drug targets, strongly suggesting that the mechanism proposed by the omnigenic model—i.e., that gene regulatory networks are highly interconnected and genes have specific roles with more direct or indirect effects on traits—is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to further enhance speed and optimize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58" w:name="references"/>
    <w:p>
      <w:pPr>
        <w:pStyle w:val="Heading2"/>
      </w:pPr>
      <w:r>
        <w:t xml:space="preserve">References</w:t>
      </w:r>
    </w:p>
    <w:bookmarkStart w:id="357"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1GlQtJ9Yz"/>
    <w:p>
      <w:pPr>
        <w:pStyle w:val="Bibliography"/>
      </w:pPr>
      <w:r>
        <w:t xml:space="preserve">56.</w:t>
      </w:r>
      <w:r>
        <w:t xml:space="preserve"> </w:t>
      </w:r>
      <w:r>
        <w:t xml:space="preserve">	</w:t>
      </w:r>
      <w:r>
        <w:t xml:space="preserve">Ružičková N, Hledík M, Tkačik G. 2024.</w:t>
      </w:r>
      <w:r>
        <w:t xml:space="preserve"> </w:t>
      </w:r>
      <w:hyperlink r:id="rId247">
        <w:r>
          <w:rPr>
            <w:rStyle w:val="Hyperlink"/>
            <w:iCs/>
            <w:i/>
          </w:rPr>
          <w:t xml:space="preserve">Quantitative omnigenic model discovers interpretable genome-wide associations</w:t>
        </w:r>
      </w:hyperlink>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i8Qjy4pw"/>
    <w:p>
      <w:pPr>
        <w:pStyle w:val="Bibliography"/>
      </w:pPr>
      <w:r>
        <w:t xml:space="preserve">101.</w:t>
      </w:r>
      <w:r>
        <w:t xml:space="preserve"> </w:t>
      </w:r>
      <w:r>
        <w:t xml:space="preserve">	</w:t>
      </w:r>
      <w:r>
        <w:t xml:space="preserve">Zhao S, Crouse W, Qian S, Luo K, Stephens M, He X. 2024.</w:t>
      </w:r>
      <w:r>
        <w:t xml:space="preserve"> </w:t>
      </w:r>
      <w:hyperlink r:id="rId336">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7"/>
    <w:bookmarkStart w:id="339" w:name="ref-1EIbaYHGq"/>
    <w:p>
      <w:pPr>
        <w:pStyle w:val="Bibliography"/>
      </w:pPr>
      <w:r>
        <w:t xml:space="preserve">102.</w:t>
      </w:r>
      <w:r>
        <w:t xml:space="preserve"> </w:t>
      </w:r>
      <w:r>
        <w:t xml:space="preserve">	</w:t>
      </w:r>
      <w:r>
        <w:t xml:space="preserve">Nobile MS, Cazzaniga P, Tangherloni A, Besozzi D. 2016.</w:t>
      </w:r>
      <w:r>
        <w:t xml:space="preserve"> </w:t>
      </w:r>
      <w:hyperlink r:id="rId338">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9"/>
    <w:bookmarkStart w:id="340"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0"/>
    <w:bookmarkStart w:id="342"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41">
        <w:r>
          <w:rPr>
            <w:rStyle w:val="Hyperlink"/>
          </w:rPr>
          <w:t xml:space="preserve">https://rapids.ai/</w:t>
        </w:r>
      </w:hyperlink>
    </w:p>
    <w:bookmarkEnd w:id="342"/>
    <w:bookmarkStart w:id="344"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43">
        <w:r>
          <w:rPr>
            <w:rStyle w:val="Hyperlink"/>
          </w:rPr>
          <w:t xml:space="preserve">Array programming with NumPy</w:t>
        </w:r>
      </w:hyperlink>
      <w:r>
        <w:t xml:space="preserve">.</w:t>
      </w:r>
      <w:r>
        <w:t xml:space="preserve"> </w:t>
      </w:r>
      <w:r>
        <w:rPr>
          <w:iCs/>
          <w:i/>
        </w:rPr>
        <w:t xml:space="preserve">Nature</w:t>
      </w:r>
      <w:r>
        <w:t xml:space="preserve">. 585(7825):357–62</w:t>
      </w:r>
    </w:p>
    <w:bookmarkEnd w:id="344"/>
    <w:bookmarkStart w:id="346"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5">
        <w:r>
          <w:rPr>
            <w:rStyle w:val="Hyperlink"/>
          </w:rPr>
          <w:t xml:space="preserve">Scikit-learn: Machine Learning in Python</w:t>
        </w:r>
      </w:hyperlink>
      <w:r>
        <w:t xml:space="preserve">.</w:t>
      </w:r>
      <w:r>
        <w:t xml:space="preserve"> </w:t>
      </w:r>
      <w:r>
        <w:rPr>
          <w:iCs/>
          <w:i/>
        </w:rPr>
        <w:t xml:space="preserve">arXiv</w:t>
      </w:r>
    </w:p>
    <w:bookmarkEnd w:id="346"/>
    <w:bookmarkStart w:id="348"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7">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8"/>
    <w:bookmarkStart w:id="350" w:name="ref-ITQaZvrQ"/>
    <w:p>
      <w:pPr>
        <w:pStyle w:val="Bibliography"/>
      </w:pPr>
      <w:r>
        <w:t xml:space="preserve">108.</w:t>
      </w:r>
      <w:r>
        <w:t xml:space="preserve"> </w:t>
      </w:r>
      <w:r>
        <w:t xml:space="preserve">	</w:t>
      </w:r>
      <w:r>
        <w:t xml:space="preserve">Haas A, Rossberg A, Schuff DL, Titzer BL, Holman M, et al. 2017.</w:t>
      </w:r>
      <w:r>
        <w:t xml:space="preserve"> </w:t>
      </w:r>
      <w:hyperlink r:id="rId349">
        <w:r>
          <w:rPr>
            <w:rStyle w:val="Hyperlink"/>
          </w:rPr>
          <w:t xml:space="preserve">Bringing the web up to speed with WebAssembly</w:t>
        </w:r>
      </w:hyperlink>
    </w:p>
    <w:bookmarkEnd w:id="350"/>
    <w:bookmarkStart w:id="352" w:name="ref-Z0f406Zs"/>
    <w:p>
      <w:pPr>
        <w:pStyle w:val="Bibliography"/>
      </w:pPr>
      <w:r>
        <w:t xml:space="preserve">109.</w:t>
      </w:r>
      <w:r>
        <w:t xml:space="preserve"> </w:t>
      </w:r>
      <w:r>
        <w:t xml:space="preserve">	</w:t>
      </w:r>
      <w:r>
        <w:rPr>
          <w:iCs/>
          <w:i/>
        </w:rPr>
        <w:t xml:space="preserve">Biowasm</w:t>
      </w:r>
      <w:r>
        <w:t xml:space="preserve">.</w:t>
      </w:r>
      <w:r>
        <w:t xml:space="preserve"> </w:t>
      </w:r>
      <w:hyperlink r:id="rId351">
        <w:r>
          <w:rPr>
            <w:rStyle w:val="Hyperlink"/>
          </w:rPr>
          <w:t xml:space="preserve">https://biowasm.com/</w:t>
        </w:r>
      </w:hyperlink>
    </w:p>
    <w:bookmarkEnd w:id="352"/>
    <w:bookmarkStart w:id="354" w:name="ref-1DswCJYT0"/>
    <w:p>
      <w:pPr>
        <w:pStyle w:val="Bibliography"/>
      </w:pPr>
      <w:r>
        <w:t xml:space="preserve">110.</w:t>
      </w:r>
      <w:r>
        <w:t xml:space="preserve"> </w:t>
      </w:r>
      <w:r>
        <w:t xml:space="preserve">	</w:t>
      </w:r>
      <w:r>
        <w:t xml:space="preserve">Lun A, Kancherla J. 2022.</w:t>
      </w:r>
      <w:r>
        <w:t xml:space="preserve"> </w:t>
      </w:r>
      <w:hyperlink r:id="rId353">
        <w:r>
          <w:rPr>
            <w:rStyle w:val="Hyperlink"/>
            <w:iCs/>
            <w:i/>
          </w:rPr>
          <w:t xml:space="preserve">Powering single-cell analyses in the browser with WebAssembly</w:t>
        </w:r>
      </w:hyperlink>
    </w:p>
    <w:bookmarkEnd w:id="354"/>
    <w:bookmarkStart w:id="356" w:name="ref-WhJVE7a4"/>
    <w:p>
      <w:pPr>
        <w:pStyle w:val="Bibliography"/>
      </w:pPr>
      <w:r>
        <w:t xml:space="preserve">111.</w:t>
      </w:r>
      <w:r>
        <w:t xml:space="preserve"> </w:t>
      </w:r>
      <w:r>
        <w:t xml:space="preserve">	</w:t>
      </w:r>
      <w:r>
        <w:t xml:space="preserve">Ji D, Aboukhalil R, Moshiri N. 2024.</w:t>
      </w:r>
      <w:r>
        <w:t xml:space="preserve"> </w:t>
      </w:r>
      <w:hyperlink r:id="rId355">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6"/>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900bb0b23bfe5c64983d88235029d34129875e1e"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900bb0b23bfe5c64983d88235029d34129875e1e/"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900bb0b23bfe5c64983d88235029d34129875e1e"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900bb0b23bfe5c64983d88235029d34129875e1e/"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2024-10-11T04:53:08Z</dcterms:created>
  <dcterms:modified xsi:type="dcterms:W3CDTF">2024-10-11T04:53:08Z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