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jc w:val="center"/>
        <w:rPr/>
      </w:pPr>
      <w:bookmarkStart w:colFirst="0" w:colLast="0" w:name="_d49ji04piilw" w:id="0"/>
      <w:bookmarkEnd w:id="0"/>
      <w:r w:rsidDel="00000000" w:rsidR="00000000" w:rsidRPr="00000000">
        <w:rPr>
          <w:rtl w:val="0"/>
        </w:rPr>
        <w:t xml:space="preserve">01. Biologické membrány, stavba, funkce</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1200" cy="2362200"/>
            <wp:effectExtent b="0" l="0" r="0" t="0"/>
            <wp:docPr descr="bio_membrana.png" id="17" name="image34.png"/>
            <a:graphic>
              <a:graphicData uri="http://schemas.openxmlformats.org/drawingml/2006/picture">
                <pic:pic>
                  <pic:nvPicPr>
                    <pic:cNvPr descr="bio_membrana.png" id="0" name="image34.png"/>
                    <pic:cNvPicPr preferRelativeResize="0"/>
                  </pic:nvPicPr>
                  <pic:blipFill>
                    <a:blip r:embed="rId6"/>
                    <a:srcRect b="0" l="0" r="0" t="0"/>
                    <a:stretch>
                      <a:fillRect/>
                    </a:stretch>
                  </pic:blipFill>
                  <pic:spPr>
                    <a:xfrm>
                      <a:off x="0" y="0"/>
                      <a:ext cx="5731200" cy="23622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highlight w:val="white"/>
        </w:rPr>
      </w:pPr>
      <w:r w:rsidDel="00000000" w:rsidR="00000000" w:rsidRPr="00000000">
        <w:rPr>
          <w:highlight w:val="white"/>
          <w:rtl w:val="0"/>
        </w:rPr>
        <w:t xml:space="preserve">Na povrchu buněk je buněčná membrána (cytoplazmatická membrána, biomembrána). Biomembrány</w:t>
      </w:r>
      <w:r w:rsidDel="00000000" w:rsidR="00000000" w:rsidRPr="00000000">
        <w:rPr>
          <w:color w:val="ff0000"/>
          <w:highlight w:val="white"/>
          <w:rtl w:val="0"/>
        </w:rPr>
        <w:t xml:space="preserve"> regulují přechod látek z okolí do buněk a naopak</w:t>
      </w:r>
      <w:r w:rsidDel="00000000" w:rsidR="00000000" w:rsidRPr="00000000">
        <w:rPr>
          <w:highlight w:val="white"/>
          <w:rtl w:val="0"/>
        </w:rPr>
        <w:t xml:space="preserve">. Základem je lipidová dvojvrstva (∓6nm). Molekuly bílkovin jsou přítomny na povrchu této vrstvy (jsou to glykoproteiny) a mají především ochrannou funkci. </w:t>
      </w:r>
    </w:p>
    <w:p w:rsidR="00000000" w:rsidDel="00000000" w:rsidP="00000000" w:rsidRDefault="00000000" w:rsidRPr="00000000">
      <w:pPr>
        <w:contextualSpacing w:val="0"/>
        <w:jc w:val="both"/>
        <w:rPr/>
      </w:pPr>
      <w:r w:rsidDel="00000000" w:rsidR="00000000" w:rsidRPr="00000000">
        <w:rPr>
          <w:highlight w:val="white"/>
          <w:rtl w:val="0"/>
        </w:rPr>
        <w:t xml:space="preserve">Základem membrány je tzv.</w:t>
      </w:r>
      <w:r w:rsidDel="00000000" w:rsidR="00000000" w:rsidRPr="00000000">
        <w:rPr>
          <w:color w:val="0000ff"/>
          <w:highlight w:val="white"/>
          <w:rtl w:val="0"/>
        </w:rPr>
        <w:t xml:space="preserve"> membránová jednotka</w:t>
      </w:r>
      <w:r w:rsidDel="00000000" w:rsidR="00000000" w:rsidRPr="00000000">
        <w:rPr>
          <w:highlight w:val="white"/>
          <w:rtl w:val="0"/>
        </w:rPr>
        <w:t xml:space="preserve">, tvořená biomolekulární vrstvou </w:t>
      </w:r>
      <w:r w:rsidDel="00000000" w:rsidR="00000000" w:rsidRPr="00000000">
        <w:rPr>
          <w:b w:val="1"/>
          <w:highlight w:val="white"/>
          <w:rtl w:val="0"/>
        </w:rPr>
        <w:t xml:space="preserve">folfolipidů</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pPr>
        <w:pStyle w:val="Heading1"/>
        <w:contextualSpacing w:val="0"/>
        <w:rPr/>
      </w:pPr>
      <w:bookmarkStart w:colFirst="0" w:colLast="0" w:name="_397mm847sdsx" w:id="1"/>
      <w:bookmarkEnd w:id="1"/>
      <w:r w:rsidDel="00000000" w:rsidR="00000000" w:rsidRPr="00000000">
        <w:rPr>
          <w:rtl w:val="0"/>
        </w:rPr>
        <w:t xml:space="preserve">Fosfolipidová dvojvrstva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424238" cy="2674951"/>
            <wp:effectExtent b="0" l="0" r="0" t="0"/>
            <wp:docPr id="15" name="image31.png"/>
            <a:graphic>
              <a:graphicData uri="http://schemas.openxmlformats.org/drawingml/2006/picture">
                <pic:pic>
                  <pic:nvPicPr>
                    <pic:cNvPr id="0" name="image31.png"/>
                    <pic:cNvPicPr preferRelativeResize="0"/>
                  </pic:nvPicPr>
                  <pic:blipFill>
                    <a:blip r:embed="rId7"/>
                    <a:srcRect b="0" l="0" r="0" t="0"/>
                    <a:stretch>
                      <a:fillRect/>
                    </a:stretch>
                  </pic:blipFill>
                  <pic:spPr>
                    <a:xfrm>
                      <a:off x="0" y="0"/>
                      <a:ext cx="3424238" cy="267495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Lipidová dvojvrstva je základním stavebním prvkem membrán buněk. Je to bariéra, která se účastní udržování homeostázy a brání samovolné difuzi molekul.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4jrckhx26hk9" w:id="2"/>
      <w:bookmarkEnd w:id="2"/>
      <w:r w:rsidDel="00000000" w:rsidR="00000000" w:rsidRPr="00000000">
        <w:rPr>
          <w:rtl w:val="0"/>
        </w:rPr>
        <w:t xml:space="preserve">Membránové proteiny</w:t>
      </w:r>
    </w:p>
    <w:p w:rsidR="00000000" w:rsidDel="00000000" w:rsidP="00000000" w:rsidRDefault="00000000" w:rsidRPr="00000000">
      <w:pPr>
        <w:contextualSpacing w:val="0"/>
        <w:jc w:val="both"/>
        <w:rPr>
          <w:highlight w:val="white"/>
        </w:rPr>
      </w:pPr>
      <w:r w:rsidDel="00000000" w:rsidR="00000000" w:rsidRPr="00000000">
        <w:rPr/>
        <w:drawing>
          <wp:inline distB="114300" distT="114300" distL="114300" distR="114300">
            <wp:extent cx="5534025" cy="3819525"/>
            <wp:effectExtent b="0" l="0" r="0" t="0"/>
            <wp:docPr id="14" name="image30.png"/>
            <a:graphic>
              <a:graphicData uri="http://schemas.openxmlformats.org/drawingml/2006/picture">
                <pic:pic>
                  <pic:nvPicPr>
                    <pic:cNvPr id="0" name="image30.png"/>
                    <pic:cNvPicPr preferRelativeResize="0"/>
                  </pic:nvPicPr>
                  <pic:blipFill>
                    <a:blip r:embed="rId8"/>
                    <a:srcRect b="0" l="0" r="0" t="0"/>
                    <a:stretch>
                      <a:fillRect/>
                    </a:stretch>
                  </pic:blipFill>
                  <pic:spPr>
                    <a:xfrm>
                      <a:off x="0" y="0"/>
                      <a:ext cx="5534025" cy="3819525"/>
                    </a:xfrm>
                    <a:prstGeom prst="rect"/>
                    <a:ln/>
                  </pic:spPr>
                </pic:pic>
              </a:graphicData>
            </a:graphic>
          </wp:inline>
        </w:drawing>
      </w:r>
      <w:r w:rsidDel="00000000" w:rsidR="00000000" w:rsidRPr="00000000">
        <w:rPr>
          <w:highlight w:val="white"/>
          <w:rtl w:val="0"/>
        </w:rPr>
        <w:t xml:space="preserve">Jejich funkce jsou například: transport specifických živin a iontů přes lipidovou dvojvrstvu, ukotvení membrány na vnitřní i vnější straně nebo také zajišťují komunikaci buňky se zevním prostředím.</w:t>
      </w:r>
    </w:p>
    <w:p w:rsidR="00000000" w:rsidDel="00000000" w:rsidP="00000000" w:rsidRDefault="00000000" w:rsidRPr="00000000">
      <w:pPr>
        <w:contextualSpacing w:val="0"/>
        <w:jc w:val="both"/>
        <w:rPr>
          <w:highlight w:val="white"/>
        </w:rPr>
      </w:pPr>
      <w:r w:rsidDel="00000000" w:rsidR="00000000" w:rsidRPr="00000000">
        <w:rPr>
          <w:rtl w:val="0"/>
        </w:rPr>
      </w:r>
    </w:p>
    <w:p w:rsidR="00000000" w:rsidDel="00000000" w:rsidP="00000000" w:rsidRDefault="00000000" w:rsidRPr="00000000">
      <w:pPr>
        <w:numPr>
          <w:ilvl w:val="0"/>
          <w:numId w:val="10"/>
        </w:numPr>
        <w:ind w:left="720" w:hanging="360"/>
        <w:contextualSpacing w:val="1"/>
        <w:jc w:val="both"/>
        <w:rPr>
          <w:sz w:val="22"/>
          <w:szCs w:val="22"/>
        </w:rPr>
      </w:pPr>
      <w:r w:rsidDel="00000000" w:rsidR="00000000" w:rsidRPr="00000000">
        <w:rPr>
          <w:color w:val="ff0000"/>
          <w:rtl w:val="0"/>
        </w:rPr>
        <w:t xml:space="preserve">integrální</w:t>
      </w:r>
      <w:r w:rsidDel="00000000" w:rsidR="00000000" w:rsidRPr="00000000">
        <w:rPr>
          <w:rtl w:val="0"/>
        </w:rPr>
        <w:t xml:space="preserve"> (transmembránový) - umožňuje komunikaci skrz buněčnou membránu</w:t>
      </w:r>
    </w:p>
    <w:p w:rsidR="00000000" w:rsidDel="00000000" w:rsidP="00000000" w:rsidRDefault="00000000" w:rsidRPr="00000000">
      <w:pPr>
        <w:numPr>
          <w:ilvl w:val="0"/>
          <w:numId w:val="10"/>
        </w:numPr>
        <w:ind w:left="720" w:hanging="360"/>
        <w:contextualSpacing w:val="1"/>
        <w:jc w:val="both"/>
        <w:rPr>
          <w:sz w:val="22"/>
          <w:szCs w:val="22"/>
        </w:rPr>
      </w:pPr>
      <w:r w:rsidDel="00000000" w:rsidR="00000000" w:rsidRPr="00000000">
        <w:rPr>
          <w:color w:val="ff0000"/>
          <w:rtl w:val="0"/>
        </w:rPr>
        <w:t xml:space="preserve">periferní</w:t>
      </w:r>
      <w:r w:rsidDel="00000000" w:rsidR="00000000" w:rsidRPr="00000000">
        <w:rPr>
          <w:rtl w:val="0"/>
        </w:rPr>
        <w:t xml:space="preserve"> - neprochází skrz, ale leží pouze na vnitřní, nebo vnější straně buněčné membrány</w:t>
      </w:r>
    </w:p>
    <w:p w:rsidR="00000000" w:rsidDel="00000000" w:rsidP="00000000" w:rsidRDefault="00000000" w:rsidRPr="00000000">
      <w:pPr>
        <w:ind w:left="1440" w:firstLine="0"/>
        <w:contextualSpacing w:val="0"/>
        <w:jc w:val="both"/>
        <w:rPr/>
      </w:pPr>
      <w:r w:rsidDel="00000000" w:rsidR="00000000" w:rsidRPr="00000000">
        <w:rPr>
          <w:rtl w:val="0"/>
        </w:rPr>
        <w:t xml:space="preserve"> - drží ostatní proteiny na svém místě; tvoří tvar (kostru) buňky</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xukc46q53gae" w:id="3"/>
      <w:bookmarkEnd w:id="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3rcrlnnaebsl" w:id="4"/>
      <w:bookmarkEnd w:id="4"/>
      <w:r w:rsidDel="00000000" w:rsidR="00000000" w:rsidRPr="00000000">
        <w:rPr>
          <w:rtl w:val="0"/>
        </w:rPr>
        <w:t xml:space="preserve">Membránový transport</w:t>
      </w:r>
    </w:p>
    <w:p w:rsidR="00000000" w:rsidDel="00000000" w:rsidP="00000000" w:rsidRDefault="00000000" w:rsidRPr="00000000">
      <w:pPr>
        <w:contextualSpacing w:val="0"/>
        <w:jc w:val="both"/>
        <w:rPr/>
      </w:pPr>
      <w:r w:rsidDel="00000000" w:rsidR="00000000" w:rsidRPr="00000000">
        <w:rPr>
          <w:rtl w:val="0"/>
        </w:rPr>
        <w:t xml:space="preserve">Buněčná membrána je semipermeabilní neboli polopropustná. Látky, které skrz ní přechází mohou prostupovat volně nebo pomocí membránových přenašečů. Transport látek pak může být aktivní nebo pasivní.</w:t>
      </w:r>
    </w:p>
    <w:p w:rsidR="00000000" w:rsidDel="00000000" w:rsidP="00000000" w:rsidRDefault="00000000" w:rsidRPr="00000000">
      <w:pPr>
        <w:pStyle w:val="Heading2"/>
        <w:contextualSpacing w:val="0"/>
        <w:jc w:val="both"/>
        <w:rPr/>
      </w:pPr>
      <w:bookmarkStart w:colFirst="0" w:colLast="0" w:name="_wb36kk8l8cp9" w:id="5"/>
      <w:bookmarkEnd w:id="5"/>
      <w:r w:rsidDel="00000000" w:rsidR="00000000" w:rsidRPr="00000000">
        <w:rPr>
          <w:rtl w:val="0"/>
        </w:rPr>
        <w:t xml:space="preserve">Pasivní transport</w:t>
      </w:r>
    </w:p>
    <w:p w:rsidR="00000000" w:rsidDel="00000000" w:rsidP="00000000" w:rsidRDefault="00000000" w:rsidRPr="00000000">
      <w:pPr>
        <w:contextualSpacing w:val="0"/>
        <w:rPr/>
      </w:pPr>
      <w:r w:rsidDel="00000000" w:rsidR="00000000" w:rsidRPr="00000000">
        <w:rPr>
          <w:rtl w:val="0"/>
        </w:rPr>
        <w:t xml:space="preserve">= nespotřebovává chemickou energii; molekuly jsou přenášeny ve směru svého koncentračního gradientu</w:t>
      </w:r>
    </w:p>
    <w:p w:rsidR="00000000" w:rsidDel="00000000" w:rsidP="00000000" w:rsidRDefault="00000000" w:rsidRPr="00000000">
      <w:pPr>
        <w:pStyle w:val="Heading3"/>
        <w:contextualSpacing w:val="0"/>
        <w:rPr/>
      </w:pPr>
      <w:bookmarkStart w:colFirst="0" w:colLast="0" w:name="_bblbskvw6lno" w:id="6"/>
      <w:bookmarkEnd w:id="6"/>
      <w:r w:rsidDel="00000000" w:rsidR="00000000" w:rsidRPr="00000000">
        <w:rPr>
          <w:rtl w:val="0"/>
        </w:rPr>
        <w:t xml:space="preserve">Difuze</w:t>
      </w:r>
    </w:p>
    <w:p w:rsidR="00000000" w:rsidDel="00000000" w:rsidP="00000000" w:rsidRDefault="00000000" w:rsidRPr="00000000">
      <w:pPr>
        <w:contextualSpacing w:val="0"/>
        <w:jc w:val="both"/>
        <w:rPr/>
      </w:pPr>
      <w:r w:rsidDel="00000000" w:rsidR="00000000" w:rsidRPr="00000000">
        <w:rPr>
          <w:rtl w:val="0"/>
        </w:rPr>
        <w:t xml:space="preserve">= je samovolný transport hmoty, který je zapříčiněn snahou o vyrovnání složení soustavy mezi buňkami s buněčnou membránou a zevním okolím</w:t>
      </w:r>
    </w:p>
    <w:p w:rsidR="00000000" w:rsidDel="00000000" w:rsidP="00000000" w:rsidRDefault="00000000" w:rsidRPr="00000000">
      <w:pPr>
        <w:numPr>
          <w:ilvl w:val="0"/>
          <w:numId w:val="4"/>
        </w:numPr>
        <w:ind w:left="720" w:hanging="360"/>
        <w:contextualSpacing w:val="1"/>
        <w:jc w:val="both"/>
        <w:rPr/>
      </w:pPr>
      <w:r w:rsidDel="00000000" w:rsidR="00000000" w:rsidRPr="00000000">
        <w:rPr>
          <w:rtl w:val="0"/>
        </w:rPr>
        <w:t xml:space="preserve">jeden z nejdůležitějších fyzikálních dějů, který umožňuje pohyb látek uvnitř hmoty</w:t>
      </w:r>
    </w:p>
    <w:p w:rsidR="00000000" w:rsidDel="00000000" w:rsidP="00000000" w:rsidRDefault="00000000" w:rsidRPr="00000000">
      <w:pPr>
        <w:numPr>
          <w:ilvl w:val="0"/>
          <w:numId w:val="8"/>
        </w:numPr>
        <w:ind w:left="720" w:hanging="360"/>
        <w:contextualSpacing w:val="1"/>
        <w:jc w:val="both"/>
        <w:rPr/>
      </w:pPr>
      <w:r w:rsidDel="00000000" w:rsidR="00000000" w:rsidRPr="00000000">
        <w:rPr>
          <w:color w:val="0000ff"/>
          <w:highlight w:val="white"/>
          <w:rtl w:val="0"/>
        </w:rPr>
        <w:t xml:space="preserve">rychlost </w:t>
      </w:r>
      <w:r w:rsidDel="00000000" w:rsidR="00000000" w:rsidRPr="00000000">
        <w:rPr>
          <w:highlight w:val="white"/>
          <w:rtl w:val="0"/>
        </w:rPr>
        <w:t xml:space="preserve">difuze </w:t>
      </w:r>
      <w:r w:rsidDel="00000000" w:rsidR="00000000" w:rsidRPr="00000000">
        <w:rPr>
          <w:color w:val="ff0000"/>
          <w:highlight w:val="white"/>
          <w:rtl w:val="0"/>
        </w:rPr>
        <w:t xml:space="preserve">stoupá přímo úměrně</w:t>
      </w:r>
      <w:r w:rsidDel="00000000" w:rsidR="00000000" w:rsidRPr="00000000">
        <w:rPr>
          <w:highlight w:val="white"/>
          <w:rtl w:val="0"/>
        </w:rPr>
        <w:t xml:space="preserve"> s koncentrací difundované látky</w:t>
      </w:r>
    </w:p>
    <w:p w:rsidR="00000000" w:rsidDel="00000000" w:rsidP="00000000" w:rsidRDefault="00000000" w:rsidRPr="00000000">
      <w:pPr>
        <w:numPr>
          <w:ilvl w:val="0"/>
          <w:numId w:val="8"/>
        </w:numPr>
        <w:ind w:left="720" w:hanging="360"/>
        <w:contextualSpacing w:val="1"/>
        <w:jc w:val="both"/>
        <w:rPr>
          <w:highlight w:val="white"/>
        </w:rPr>
      </w:pPr>
      <w:r w:rsidDel="00000000" w:rsidR="00000000" w:rsidRPr="00000000">
        <w:rPr>
          <w:highlight w:val="white"/>
          <w:rtl w:val="0"/>
        </w:rPr>
        <w:t xml:space="preserve">přenáší se především malé hydrofobní molekuly</w:t>
      </w:r>
    </w:p>
    <w:p w:rsidR="00000000" w:rsidDel="00000000" w:rsidP="00000000" w:rsidRDefault="00000000" w:rsidRPr="00000000">
      <w:pPr>
        <w:numPr>
          <w:ilvl w:val="0"/>
          <w:numId w:val="8"/>
        </w:numPr>
        <w:ind w:left="720" w:hanging="360"/>
        <w:contextualSpacing w:val="1"/>
        <w:jc w:val="both"/>
        <w:rPr>
          <w:highlight w:val="white"/>
        </w:rPr>
      </w:pPr>
      <w:r w:rsidDel="00000000" w:rsidR="00000000" w:rsidRPr="00000000">
        <w:rPr>
          <w:highlight w:val="white"/>
          <w:rtl w:val="0"/>
        </w:rPr>
        <w:t xml:space="preserve">hydrofilní látky nepronikají lipoidní dvojvrstvou, ale místy, kde je membrána částečně, nebo zcela přemostěna bílkovinnými molekulami</w:t>
      </w:r>
      <w:r w:rsidDel="00000000" w:rsidR="00000000" w:rsidRPr="00000000">
        <w:rPr>
          <w:rtl w:val="0"/>
        </w:rPr>
      </w:r>
    </w:p>
    <w:p w:rsidR="00000000" w:rsidDel="00000000" w:rsidP="00000000" w:rsidRDefault="00000000" w:rsidRPr="00000000">
      <w:pPr>
        <w:pStyle w:val="Heading3"/>
        <w:contextualSpacing w:val="0"/>
        <w:rPr/>
      </w:pPr>
      <w:bookmarkStart w:colFirst="0" w:colLast="0" w:name="_tsf76ary6o6" w:id="7"/>
      <w:bookmarkEnd w:id="7"/>
      <w:r w:rsidDel="00000000" w:rsidR="00000000" w:rsidRPr="00000000">
        <w:rPr>
          <w:rtl w:val="0"/>
        </w:rPr>
        <w:t xml:space="preserve">Facilitovaná difuze</w:t>
      </w:r>
    </w:p>
    <w:p w:rsidR="00000000" w:rsidDel="00000000" w:rsidP="00000000" w:rsidRDefault="00000000" w:rsidRPr="00000000">
      <w:pPr>
        <w:contextualSpacing w:val="0"/>
        <w:jc w:val="both"/>
        <w:rPr/>
      </w:pPr>
      <w:r w:rsidDel="00000000" w:rsidR="00000000" w:rsidRPr="00000000">
        <w:rPr>
          <w:rtl w:val="0"/>
        </w:rPr>
        <w:t xml:space="preserve">= přes membránu přecházejí látky po svém elektrochemickém gradientu pomocí přenašečů zabudovaných do membrán</w:t>
      </w:r>
    </w:p>
    <w:p w:rsidR="00000000" w:rsidDel="00000000" w:rsidP="00000000" w:rsidRDefault="00000000" w:rsidRPr="00000000">
      <w:pPr>
        <w:numPr>
          <w:ilvl w:val="0"/>
          <w:numId w:val="11"/>
        </w:numPr>
        <w:ind w:left="720" w:hanging="360"/>
        <w:contextualSpacing w:val="1"/>
        <w:jc w:val="both"/>
        <w:rPr/>
      </w:pPr>
      <w:r w:rsidDel="00000000" w:rsidR="00000000" w:rsidRPr="00000000">
        <w:rPr>
          <w:rtl w:val="0"/>
        </w:rPr>
        <w:t xml:space="preserve">kapacita přenašeče je limitována, proto při vzestupu koncentrace difundované látky nejprve stoupá rychlost difuse</w:t>
      </w:r>
    </w:p>
    <w:p w:rsidR="00000000" w:rsidDel="00000000" w:rsidP="00000000" w:rsidRDefault="00000000" w:rsidRPr="00000000">
      <w:pPr>
        <w:numPr>
          <w:ilvl w:val="0"/>
          <w:numId w:val="11"/>
        </w:numPr>
        <w:ind w:left="720" w:hanging="360"/>
        <w:contextualSpacing w:val="1"/>
        <w:jc w:val="both"/>
        <w:rPr/>
      </w:pPr>
      <w:r w:rsidDel="00000000" w:rsidR="00000000" w:rsidRPr="00000000">
        <w:rPr>
          <w:rtl w:val="0"/>
        </w:rPr>
        <w:t xml:space="preserve">při nasycení kapacity přenašeče se už </w:t>
      </w:r>
      <w:r w:rsidDel="00000000" w:rsidR="00000000" w:rsidRPr="00000000">
        <w:rPr>
          <w:color w:val="0000ff"/>
          <w:rtl w:val="0"/>
        </w:rPr>
        <w:t xml:space="preserve">rychlost </w:t>
      </w:r>
      <w:r w:rsidDel="00000000" w:rsidR="00000000" w:rsidRPr="00000000">
        <w:rPr>
          <w:rtl w:val="0"/>
        </w:rPr>
        <w:t xml:space="preserve">difuze </w:t>
      </w:r>
      <w:r w:rsidDel="00000000" w:rsidR="00000000" w:rsidRPr="00000000">
        <w:rPr>
          <w:color w:val="ff0000"/>
          <w:rtl w:val="0"/>
        </w:rPr>
        <w:t xml:space="preserve">nemění</w:t>
      </w:r>
    </w:p>
    <w:p w:rsidR="00000000" w:rsidDel="00000000" w:rsidP="00000000" w:rsidRDefault="00000000" w:rsidRPr="00000000">
      <w:pPr>
        <w:numPr>
          <w:ilvl w:val="0"/>
          <w:numId w:val="11"/>
        </w:numPr>
        <w:ind w:left="720" w:hanging="360"/>
        <w:contextualSpacing w:val="1"/>
        <w:jc w:val="both"/>
        <w:rPr/>
      </w:pPr>
      <w:r w:rsidDel="00000000" w:rsidR="00000000" w:rsidRPr="00000000">
        <w:rPr>
          <w:highlight w:val="white"/>
          <w:rtl w:val="0"/>
        </w:rPr>
        <w:t xml:space="preserve">aminokyseliny, proteiny, ionty větších rozměrů</w:t>
      </w:r>
    </w:p>
    <w:p w:rsidR="00000000" w:rsidDel="00000000" w:rsidP="00000000" w:rsidRDefault="00000000" w:rsidRPr="00000000">
      <w:pPr>
        <w:pStyle w:val="Heading2"/>
        <w:contextualSpacing w:val="0"/>
        <w:rPr/>
      </w:pPr>
      <w:bookmarkStart w:colFirst="0" w:colLast="0" w:name="_c4enudsw3n5d" w:id="8"/>
      <w:bookmarkEnd w:id="8"/>
      <w:r w:rsidDel="00000000" w:rsidR="00000000" w:rsidRPr="00000000">
        <w:rPr>
          <w:rtl w:val="0"/>
        </w:rPr>
      </w:r>
    </w:p>
    <w:p w:rsidR="00000000" w:rsidDel="00000000" w:rsidP="00000000" w:rsidRDefault="00000000" w:rsidRPr="00000000">
      <w:pPr>
        <w:pStyle w:val="Heading2"/>
        <w:contextualSpacing w:val="0"/>
        <w:rPr/>
      </w:pPr>
      <w:bookmarkStart w:colFirst="0" w:colLast="0" w:name="_w8k9ap9xsflr"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nuaidp1np02" w:id="10"/>
      <w:bookmarkEnd w:id="10"/>
      <w:r w:rsidDel="00000000" w:rsidR="00000000" w:rsidRPr="00000000">
        <w:rPr>
          <w:rtl w:val="0"/>
        </w:rPr>
        <w:t xml:space="preserve">Aktivní transport (pumpy)</w:t>
      </w:r>
    </w:p>
    <w:p w:rsidR="00000000" w:rsidDel="00000000" w:rsidP="00000000" w:rsidRDefault="00000000" w:rsidRPr="00000000">
      <w:pPr>
        <w:contextualSpacing w:val="0"/>
        <w:jc w:val="both"/>
        <w:rPr/>
      </w:pPr>
      <w:r w:rsidDel="00000000" w:rsidR="00000000" w:rsidRPr="00000000">
        <w:rPr>
          <w:rtl w:val="0"/>
        </w:rPr>
        <w:t xml:space="preserve">= přenos látek přes buněčnou membránu, který je na rozdíl od pasivního transportu spjat se </w:t>
      </w:r>
      <w:r w:rsidDel="00000000" w:rsidR="00000000" w:rsidRPr="00000000">
        <w:rPr>
          <w:color w:val="ff0000"/>
          <w:rtl w:val="0"/>
        </w:rPr>
        <w:t xml:space="preserve">spotřebou energie</w:t>
      </w:r>
      <w:r w:rsidDel="00000000" w:rsidR="00000000" w:rsidRPr="00000000">
        <w:rPr>
          <w:rtl w:val="0"/>
        </w:rPr>
        <w:t xml:space="preserve">. Díky dodané energii, která vzniká nejčastěji štěpením ATP, je možné vykonávat tento transport i proti směru </w:t>
      </w:r>
      <w:r w:rsidDel="00000000" w:rsidR="00000000" w:rsidRPr="00000000">
        <w:rPr>
          <w:color w:val="ff0000"/>
          <w:rtl w:val="0"/>
        </w:rPr>
        <w:t xml:space="preserve">koncentračního gradientu</w:t>
      </w:r>
      <w:r w:rsidDel="00000000" w:rsidR="00000000" w:rsidRPr="00000000">
        <w:rPr>
          <w:rtl w:val="0"/>
        </w:rPr>
      </w:r>
    </w:p>
    <w:p w:rsidR="00000000" w:rsidDel="00000000" w:rsidP="00000000" w:rsidRDefault="00000000" w:rsidRPr="00000000">
      <w:pPr>
        <w:pStyle w:val="Heading3"/>
        <w:contextualSpacing w:val="0"/>
        <w:rPr/>
      </w:pPr>
      <w:bookmarkStart w:colFirst="0" w:colLast="0" w:name="_i3rrkcai6xmf" w:id="11"/>
      <w:bookmarkEnd w:id="11"/>
      <w:r w:rsidDel="00000000" w:rsidR="00000000" w:rsidRPr="00000000">
        <w:rPr>
          <w:rtl w:val="0"/>
        </w:rPr>
        <w:t xml:space="preserve">Sodíko-draslíková pumpa ( Na</w:t>
      </w:r>
      <w:r w:rsidDel="00000000" w:rsidR="00000000" w:rsidRPr="00000000">
        <w:rPr>
          <w:vertAlign w:val="superscript"/>
          <w:rtl w:val="0"/>
        </w:rPr>
        <w:t xml:space="preserve">+</w:t>
      </w:r>
      <w:r w:rsidDel="00000000" w:rsidR="00000000" w:rsidRPr="00000000">
        <w:rPr>
          <w:rtl w:val="0"/>
        </w:rPr>
        <w:t xml:space="preserve">/K</w:t>
      </w:r>
      <w:r w:rsidDel="00000000" w:rsidR="00000000" w:rsidRPr="00000000">
        <w:rPr>
          <w:vertAlign w:val="superscript"/>
          <w:rtl w:val="0"/>
        </w:rPr>
        <w:t xml:space="preserve">+</w:t>
      </w:r>
      <w:r w:rsidDel="00000000" w:rsidR="00000000" w:rsidRPr="00000000">
        <w:rPr>
          <w:rtl w:val="0"/>
        </w:rPr>
        <w:t xml:space="preserve"> ATPáza)</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přesouvá iony </w:t>
      </w:r>
      <w:r w:rsidDel="00000000" w:rsidR="00000000" w:rsidRPr="00000000">
        <w:rPr>
          <w:color w:val="ff9900"/>
          <w:rtl w:val="0"/>
        </w:rPr>
        <w:t xml:space="preserve">sodíku </w:t>
      </w:r>
      <w:r w:rsidDel="00000000" w:rsidR="00000000" w:rsidRPr="00000000">
        <w:rPr>
          <w:rtl w:val="0"/>
        </w:rPr>
        <w:t xml:space="preserve">a </w:t>
      </w:r>
      <w:r w:rsidDel="00000000" w:rsidR="00000000" w:rsidRPr="00000000">
        <w:rPr>
          <w:color w:val="ff9900"/>
          <w:rtl w:val="0"/>
        </w:rPr>
        <w:t xml:space="preserve">draslíku </w:t>
      </w:r>
      <w:r w:rsidDel="00000000" w:rsidR="00000000" w:rsidRPr="00000000">
        <w:rPr>
          <w:rtl w:val="0"/>
        </w:rPr>
        <w:t xml:space="preserve">přes buněčnou membránu </w:t>
      </w:r>
      <w:r w:rsidDel="00000000" w:rsidR="00000000" w:rsidRPr="00000000">
        <w:rPr>
          <w:color w:val="ff0000"/>
          <w:rtl w:val="0"/>
        </w:rPr>
        <w:t xml:space="preserve">proti koncentračnímu gradientu</w:t>
      </w:r>
    </w:p>
    <w:p w:rsidR="00000000" w:rsidDel="00000000" w:rsidP="00000000" w:rsidRDefault="00000000" w:rsidRPr="00000000">
      <w:pPr>
        <w:numPr>
          <w:ilvl w:val="0"/>
          <w:numId w:val="9"/>
        </w:numPr>
        <w:ind w:left="720" w:hanging="360"/>
        <w:contextualSpacing w:val="1"/>
        <w:rPr/>
      </w:pPr>
      <w:r w:rsidDel="00000000" w:rsidR="00000000" w:rsidRPr="00000000">
        <w:rPr>
          <w:color w:val="ff0000"/>
          <w:rtl w:val="0"/>
        </w:rPr>
        <w:t xml:space="preserve">kotransport </w:t>
      </w:r>
      <w:r w:rsidDel="00000000" w:rsidR="00000000" w:rsidRPr="00000000">
        <w:rPr>
          <w:rtl w:val="0"/>
        </w:rPr>
        <w:t xml:space="preserve">= přenáší zároveň dvě substance (Na</w:t>
      </w:r>
      <w:r w:rsidDel="00000000" w:rsidR="00000000" w:rsidRPr="00000000">
        <w:rPr>
          <w:vertAlign w:val="superscript"/>
          <w:rtl w:val="0"/>
        </w:rPr>
        <w:t xml:space="preserve">+</w:t>
      </w:r>
      <w:r w:rsidDel="00000000" w:rsidR="00000000" w:rsidRPr="00000000">
        <w:rPr>
          <w:rtl w:val="0"/>
        </w:rPr>
        <w:t xml:space="preserve"> K</w:t>
      </w:r>
      <w:r w:rsidDel="00000000" w:rsidR="00000000" w:rsidRPr="00000000">
        <w:rPr>
          <w:vertAlign w:val="superscript"/>
          <w:rtl w:val="0"/>
        </w:rPr>
        <w:t xml:space="preserve">+</w:t>
      </w:r>
      <w:r w:rsidDel="00000000" w:rsidR="00000000" w:rsidRPr="00000000">
        <w:rPr>
          <w:rtl w:val="0"/>
        </w:rPr>
        <w:t xml:space="preserve">)</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pro každé </w:t>
      </w:r>
      <w:r w:rsidDel="00000000" w:rsidR="00000000" w:rsidRPr="00000000">
        <w:rPr>
          <w:color w:val="274e13"/>
          <w:rtl w:val="0"/>
        </w:rPr>
        <w:t xml:space="preserve">2</w:t>
      </w:r>
      <w:r w:rsidDel="00000000" w:rsidR="00000000" w:rsidRPr="00000000">
        <w:rPr>
          <w:rtl w:val="0"/>
        </w:rPr>
        <w:t xml:space="preserve"> ionty</w:t>
      </w:r>
      <w:r w:rsidDel="00000000" w:rsidR="00000000" w:rsidRPr="00000000">
        <w:rPr>
          <w:color w:val="ff0000"/>
          <w:rtl w:val="0"/>
        </w:rPr>
        <w:t xml:space="preserve"> K</w:t>
      </w:r>
      <w:r w:rsidDel="00000000" w:rsidR="00000000" w:rsidRPr="00000000">
        <w:rPr>
          <w:color w:val="ff0000"/>
          <w:vertAlign w:val="superscript"/>
          <w:rtl w:val="0"/>
        </w:rPr>
        <w:t xml:space="preserve">+</w:t>
      </w:r>
      <w:r w:rsidDel="00000000" w:rsidR="00000000" w:rsidRPr="00000000">
        <w:rPr>
          <w:rtl w:val="0"/>
        </w:rPr>
        <w:t xml:space="preserve"> přesunuté </w:t>
      </w:r>
      <w:r w:rsidDel="00000000" w:rsidR="00000000" w:rsidRPr="00000000">
        <w:rPr>
          <w:color w:val="ff0000"/>
          <w:rtl w:val="0"/>
        </w:rPr>
        <w:t xml:space="preserve">dovnitř </w:t>
      </w:r>
      <w:r w:rsidDel="00000000" w:rsidR="00000000" w:rsidRPr="00000000">
        <w:rPr>
          <w:rtl w:val="0"/>
        </w:rPr>
        <w:t xml:space="preserve">buňky přenese </w:t>
      </w:r>
      <w:r w:rsidDel="00000000" w:rsidR="00000000" w:rsidRPr="00000000">
        <w:rPr>
          <w:color w:val="274e13"/>
          <w:rtl w:val="0"/>
        </w:rPr>
        <w:t xml:space="preserve">3</w:t>
      </w:r>
      <w:r w:rsidDel="00000000" w:rsidR="00000000" w:rsidRPr="00000000">
        <w:rPr>
          <w:rtl w:val="0"/>
        </w:rPr>
        <w:t xml:space="preserve"> ionty</w:t>
      </w:r>
      <w:r w:rsidDel="00000000" w:rsidR="00000000" w:rsidRPr="00000000">
        <w:rPr>
          <w:color w:val="0000ff"/>
          <w:rtl w:val="0"/>
        </w:rPr>
        <w:t xml:space="preserve"> Na</w:t>
      </w:r>
      <w:r w:rsidDel="00000000" w:rsidR="00000000" w:rsidRPr="00000000">
        <w:rPr>
          <w:color w:val="0000ff"/>
          <w:vertAlign w:val="superscript"/>
          <w:rtl w:val="0"/>
        </w:rPr>
        <w:t xml:space="preserve">+</w:t>
      </w:r>
      <w:r w:rsidDel="00000000" w:rsidR="00000000" w:rsidRPr="00000000">
        <w:rPr>
          <w:rtl w:val="0"/>
        </w:rPr>
        <w:t xml:space="preserve"> </w:t>
      </w:r>
      <w:r w:rsidDel="00000000" w:rsidR="00000000" w:rsidRPr="00000000">
        <w:rPr>
          <w:color w:val="0000ff"/>
          <w:rtl w:val="0"/>
        </w:rPr>
        <w:t xml:space="preserve">ven </w:t>
      </w:r>
      <w:r w:rsidDel="00000000" w:rsidR="00000000" w:rsidRPr="00000000">
        <w:rPr>
          <w:rtl w:val="0"/>
        </w:rPr>
        <w:t xml:space="preserve">z buňky</w:t>
      </w:r>
    </w:p>
    <w:p w:rsidR="00000000" w:rsidDel="00000000" w:rsidP="00000000" w:rsidRDefault="00000000" w:rsidRPr="00000000">
      <w:pPr>
        <w:numPr>
          <w:ilvl w:val="0"/>
          <w:numId w:val="9"/>
        </w:numPr>
        <w:ind w:left="720" w:hanging="360"/>
        <w:contextualSpacing w:val="1"/>
        <w:rPr/>
      </w:pPr>
      <w:r w:rsidDel="00000000" w:rsidR="00000000" w:rsidRPr="00000000">
        <w:rPr>
          <w:rtl w:val="0"/>
        </w:rPr>
        <w:t xml:space="preserve">pracuje v cyklu, trvajícím asi 10 ms</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313469" cy="1841464"/>
            <wp:effectExtent b="0" l="0" r="0" t="0"/>
            <wp:docPr id="13"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313469" cy="18414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4"/>
        <w:contextualSpacing w:val="0"/>
        <w:rPr/>
      </w:pPr>
      <w:bookmarkStart w:colFirst="0" w:colLast="0" w:name="_i6hqi11jbwwv" w:id="12"/>
      <w:bookmarkEnd w:id="12"/>
      <w:r w:rsidDel="00000000" w:rsidR="00000000" w:rsidRPr="00000000">
        <w:rPr>
          <w:rtl w:val="0"/>
        </w:rPr>
        <w:t xml:space="preserve">Mechanismus</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na vnitřní straně membrány se naváže sodík (3 ionty</w:t>
      </w:r>
      <w:r w:rsidDel="00000000" w:rsidR="00000000" w:rsidRPr="00000000">
        <w:rPr>
          <w:color w:val="0000ff"/>
          <w:rtl w:val="0"/>
        </w:rPr>
        <w:t xml:space="preserve"> Na</w:t>
      </w:r>
      <w:r w:rsidDel="00000000" w:rsidR="00000000" w:rsidRPr="00000000">
        <w:rPr>
          <w:color w:val="0000ff"/>
          <w:vertAlign w:val="superscript"/>
          <w:rtl w:val="0"/>
        </w:rPr>
        <w:t xml:space="preserve">+</w:t>
      </w:r>
      <w:r w:rsidDel="00000000" w:rsidR="00000000" w:rsidRPr="00000000">
        <w:rPr>
          <w:rtl w:val="0"/>
        </w:rPr>
        <w:t xml:space="preserve">)</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aktivuje se ATPázová činnost enzymu</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dojde k fosforylaci pumpy za spotřeby ATP</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celá molekula změní konformaci a uvolní sodík ven z buňky na opačné straně membrány (venku)</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uvolní se místo pro draslík (2 ionty</w:t>
      </w:r>
      <w:r w:rsidDel="00000000" w:rsidR="00000000" w:rsidRPr="00000000">
        <w:rPr>
          <w:color w:val="ff0000"/>
          <w:rtl w:val="0"/>
        </w:rPr>
        <w:t xml:space="preserve"> K</w:t>
      </w:r>
      <w:r w:rsidDel="00000000" w:rsidR="00000000" w:rsidRPr="00000000">
        <w:rPr>
          <w:color w:val="ff0000"/>
          <w:vertAlign w:val="superscript"/>
          <w:rtl w:val="0"/>
        </w:rPr>
        <w:t xml:space="preserve">+</w:t>
      </w:r>
      <w:r w:rsidDel="00000000" w:rsidR="00000000" w:rsidRPr="00000000">
        <w:rPr>
          <w:rtl w:val="0"/>
        </w:rPr>
        <w:t xml:space="preserve">) přítomné v extracelulární tekutině</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tyto ionty se navážou na sodno-draselnou pumpu</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sodno-draselná pumpa se defosforyluje (odebere se fosfát z dříve navázaného ATP)</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opět se změní prostorové uspořádání molekuly</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draslík je uvolněn do vnitřního prostoru pumpy</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a celé opět dokola</w:t>
      </w:r>
      <w:r w:rsidDel="00000000" w:rsidR="00000000" w:rsidRPr="00000000">
        <w:rPr>
          <w:rtl w:val="0"/>
        </w:rPr>
      </w:r>
    </w:p>
    <w:p w:rsidR="00000000" w:rsidDel="00000000" w:rsidP="00000000" w:rsidRDefault="00000000" w:rsidRPr="00000000">
      <w:pPr>
        <w:pStyle w:val="Heading1"/>
        <w:contextualSpacing w:val="0"/>
        <w:rPr/>
      </w:pPr>
      <w:bookmarkStart w:colFirst="0" w:colLast="0" w:name="_46pz8uyfdq7n" w:id="13"/>
      <w:bookmarkEnd w:id="13"/>
      <w:r w:rsidDel="00000000" w:rsidR="00000000" w:rsidRPr="00000000">
        <w:rPr>
          <w:rtl w:val="0"/>
        </w:rPr>
      </w:r>
    </w:p>
    <w:p w:rsidR="00000000" w:rsidDel="00000000" w:rsidP="00000000" w:rsidRDefault="00000000" w:rsidRPr="00000000">
      <w:pPr>
        <w:pStyle w:val="Heading1"/>
        <w:contextualSpacing w:val="0"/>
        <w:rPr/>
      </w:pPr>
      <w:bookmarkStart w:colFirst="0" w:colLast="0" w:name="_r05c7vckhsa7" w:id="14"/>
      <w:bookmarkEnd w:id="1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mn70aerrf3l" w:id="15"/>
      <w:bookmarkEnd w:id="15"/>
      <w:r w:rsidDel="00000000" w:rsidR="00000000" w:rsidRPr="00000000">
        <w:rPr>
          <w:rtl w:val="0"/>
        </w:rPr>
        <w:t xml:space="preserve">Membránové iontové kanály</w:t>
      </w:r>
    </w:p>
    <w:p w:rsidR="00000000" w:rsidDel="00000000" w:rsidP="00000000" w:rsidRDefault="00000000" w:rsidRPr="00000000">
      <w:pPr>
        <w:contextualSpacing w:val="0"/>
        <w:jc w:val="both"/>
        <w:rPr/>
      </w:pPr>
      <w:r w:rsidDel="00000000" w:rsidR="00000000" w:rsidRPr="00000000">
        <w:rPr>
          <w:rtl w:val="0"/>
        </w:rPr>
        <w:t xml:space="preserve">Iontové kanály spolu s přenašečovými proteiny jsou struktury, které se účastní transportů přes biologickou membránu.</w:t>
      </w:r>
    </w:p>
    <w:p w:rsidR="00000000" w:rsidDel="00000000" w:rsidP="00000000" w:rsidRDefault="00000000" w:rsidRPr="00000000">
      <w:pPr>
        <w:contextualSpacing w:val="0"/>
        <w:jc w:val="both"/>
        <w:rPr/>
      </w:pPr>
      <w:r w:rsidDel="00000000" w:rsidR="00000000" w:rsidRPr="00000000">
        <w:rPr>
          <w:rtl w:val="0"/>
        </w:rPr>
        <w:t xml:space="preserve">Kanál je složen z</w:t>
      </w:r>
      <w:r w:rsidDel="00000000" w:rsidR="00000000" w:rsidRPr="00000000">
        <w:rPr>
          <w:color w:val="980000"/>
          <w:rtl w:val="0"/>
        </w:rPr>
        <w:t xml:space="preserve"> </w:t>
      </w:r>
      <w:r w:rsidDel="00000000" w:rsidR="00000000" w:rsidRPr="00000000">
        <w:rPr>
          <w:color w:val="ff0000"/>
          <w:rtl w:val="0"/>
        </w:rPr>
        <w:t xml:space="preserve">pěti proteinových podjednotek</w:t>
      </w:r>
      <w:r w:rsidDel="00000000" w:rsidR="00000000" w:rsidRPr="00000000">
        <w:rPr>
          <w:rtl w:val="0"/>
        </w:rPr>
        <w:t xml:space="preserve">, které procházejí dvojitou vrstvou fosfolipidů. Kanál se </w:t>
      </w:r>
      <w:r w:rsidDel="00000000" w:rsidR="00000000" w:rsidRPr="00000000">
        <w:rPr>
          <w:color w:val="ff0000"/>
          <w:rtl w:val="0"/>
        </w:rPr>
        <w:t xml:space="preserve">otvírá </w:t>
      </w:r>
      <w:r w:rsidDel="00000000" w:rsidR="00000000" w:rsidRPr="00000000">
        <w:rPr>
          <w:rtl w:val="0"/>
        </w:rPr>
        <w:t xml:space="preserve">při </w:t>
      </w:r>
      <w:r w:rsidDel="00000000" w:rsidR="00000000" w:rsidRPr="00000000">
        <w:rPr>
          <w:color w:val="ff0000"/>
          <w:rtl w:val="0"/>
        </w:rPr>
        <w:t xml:space="preserve">navázání acetylcholinu</w:t>
      </w:r>
      <w:r w:rsidDel="00000000" w:rsidR="00000000" w:rsidRPr="00000000">
        <w:rPr>
          <w:rtl w:val="0"/>
        </w:rPr>
        <w:t xml:space="preserve"> na vazebné místo. Jen velmi málo kanálů se otvírá bez působení acetylcholinu. Iontový kanál je </w:t>
      </w:r>
      <w:r w:rsidDel="00000000" w:rsidR="00000000" w:rsidRPr="00000000">
        <w:rPr>
          <w:color w:val="ff0000"/>
          <w:rtl w:val="0"/>
        </w:rPr>
        <w:t xml:space="preserve">vysoce selektivní</w:t>
      </w:r>
      <w:r w:rsidDel="00000000" w:rsidR="00000000" w:rsidRPr="00000000">
        <w:rPr>
          <w:rtl w:val="0"/>
        </w:rPr>
        <w:t xml:space="preserve">, což zapříčiňují záporně nabité řetězce aminokyselin. Proto kanál propouští jen kladně nabité ionty například K+, Na+.</w:t>
      </w:r>
    </w:p>
    <w:p w:rsidR="00000000" w:rsidDel="00000000" w:rsidP="00000000" w:rsidRDefault="00000000" w:rsidRPr="00000000">
      <w:pPr>
        <w:pStyle w:val="Heading3"/>
        <w:contextualSpacing w:val="0"/>
        <w:rPr/>
      </w:pPr>
      <w:bookmarkStart w:colFirst="0" w:colLast="0" w:name="_8rb0gy32y4pz" w:id="16"/>
      <w:bookmarkEnd w:id="16"/>
      <w:r w:rsidDel="00000000" w:rsidR="00000000" w:rsidRPr="00000000">
        <w:rPr>
          <w:rtl w:val="0"/>
        </w:rPr>
        <w:t xml:space="preserve">Struktura iontového kanálu</w:t>
      </w:r>
    </w:p>
    <w:p w:rsidR="00000000" w:rsidDel="00000000" w:rsidP="00000000" w:rsidRDefault="00000000" w:rsidRPr="00000000">
      <w:pPr>
        <w:pStyle w:val="Heading2"/>
        <w:contextualSpacing w:val="0"/>
        <w:jc w:val="center"/>
        <w:rPr/>
      </w:pPr>
      <w:bookmarkStart w:colFirst="0" w:colLast="0" w:name="_doiutt55og5g" w:id="17"/>
      <w:bookmarkEnd w:id="17"/>
      <w:r w:rsidDel="00000000" w:rsidR="00000000" w:rsidRPr="00000000">
        <w:rPr/>
        <mc:AlternateContent>
          <mc:Choice Requires="wpg">
            <w:drawing>
              <wp:inline distB="114300" distT="114300" distL="114300" distR="114300">
                <wp:extent cx="2463730" cy="2402136"/>
                <wp:effectExtent b="0" l="0" r="0" t="0"/>
                <wp:docPr id="18" name=""/>
                <a:graphic>
                  <a:graphicData uri="http://schemas.microsoft.com/office/word/2010/wordprocessingGroup">
                    <wpg:wgp>
                      <wpg:cNvGrpSpPr/>
                      <wpg:grpSpPr>
                        <a:xfrm>
                          <a:off x="2115350" y="437401"/>
                          <a:ext cx="2463730" cy="2402136"/>
                          <a:chOff x="2115350" y="437401"/>
                          <a:chExt cx="4646699" cy="4762499"/>
                        </a:xfrm>
                      </wpg:grpSpPr>
                      <pic:pic>
                        <pic:nvPicPr>
                          <pic:cNvPr id="2" name="Shape 2"/>
                          <pic:cNvPicPr preferRelativeResize="0"/>
                        </pic:nvPicPr>
                        <pic:blipFill/>
                        <pic:spPr>
                          <a:xfrm rot="-5400000">
                            <a:off x="2115350" y="437401"/>
                            <a:ext cx="4646699" cy="4762499"/>
                          </a:xfrm>
                          <a:prstGeom prst="rect">
                            <a:avLst/>
                          </a:prstGeom>
                          <a:noFill/>
                          <a:ln>
                            <a:noFill/>
                          </a:ln>
                        </pic:spPr>
                      </pic:pic>
                    </wpg:wgp>
                  </a:graphicData>
                </a:graphic>
              </wp:inline>
            </w:drawing>
          </mc:Choice>
          <mc:Fallback>
            <w:drawing>
              <wp:inline distB="114300" distT="114300" distL="114300" distR="114300">
                <wp:extent cx="2463730" cy="2402136"/>
                <wp:effectExtent b="0" l="0" r="0" t="0"/>
                <wp:docPr id="18" name="image36.png"/>
                <a:graphic>
                  <a:graphicData uri="http://schemas.openxmlformats.org/drawingml/2006/picture">
                    <pic:pic>
                      <pic:nvPicPr>
                        <pic:cNvPr id="0" name="image36.png"/>
                        <pic:cNvPicPr preferRelativeResize="0"/>
                      </pic:nvPicPr>
                      <pic:blipFill>
                        <a:blip r:embed="rId10"/>
                        <a:srcRect/>
                        <a:stretch>
                          <a:fillRect/>
                        </a:stretch>
                      </pic:blipFill>
                      <pic:spPr>
                        <a:xfrm>
                          <a:off x="0" y="0"/>
                          <a:ext cx="2463730" cy="2402136"/>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pPr>
        <w:numPr>
          <w:ilvl w:val="0"/>
          <w:numId w:val="5"/>
        </w:numPr>
        <w:ind w:left="720" w:hanging="360"/>
        <w:contextualSpacing w:val="1"/>
        <w:rPr/>
      </w:pPr>
      <w:r w:rsidDel="00000000" w:rsidR="00000000" w:rsidRPr="00000000">
        <w:rPr>
          <w:color w:val="ff0000"/>
          <w:rtl w:val="0"/>
        </w:rPr>
        <w:t xml:space="preserve">zevní ústí</w:t>
      </w:r>
      <w:r w:rsidDel="00000000" w:rsidR="00000000" w:rsidRPr="00000000">
        <w:rPr>
          <w:rtl w:val="0"/>
        </w:rPr>
        <w:t xml:space="preserve"> - slouží k vstupu iontů z příslušné strany</w:t>
      </w:r>
    </w:p>
    <w:p w:rsidR="00000000" w:rsidDel="00000000" w:rsidP="00000000" w:rsidRDefault="00000000" w:rsidRPr="00000000">
      <w:pPr>
        <w:numPr>
          <w:ilvl w:val="0"/>
          <w:numId w:val="5"/>
        </w:numPr>
        <w:ind w:left="720" w:hanging="360"/>
        <w:contextualSpacing w:val="1"/>
        <w:rPr/>
      </w:pPr>
      <w:r w:rsidDel="00000000" w:rsidR="00000000" w:rsidRPr="00000000">
        <w:rPr>
          <w:color w:val="ff0000"/>
          <w:rtl w:val="0"/>
        </w:rPr>
        <w:t xml:space="preserve">selektivní filtr</w:t>
      </w:r>
      <w:r w:rsidDel="00000000" w:rsidR="00000000" w:rsidRPr="00000000">
        <w:rPr>
          <w:rtl w:val="0"/>
        </w:rPr>
        <w:t xml:space="preserve"> - zajišťuje, že kanálem mohou projít jen určité ionty</w:t>
      </w:r>
    </w:p>
    <w:p w:rsidR="00000000" w:rsidDel="00000000" w:rsidP="00000000" w:rsidRDefault="00000000" w:rsidRPr="00000000">
      <w:pPr>
        <w:numPr>
          <w:ilvl w:val="0"/>
          <w:numId w:val="5"/>
        </w:numPr>
        <w:ind w:left="720" w:hanging="360"/>
        <w:contextualSpacing w:val="1"/>
        <w:rPr/>
      </w:pPr>
      <w:r w:rsidDel="00000000" w:rsidR="00000000" w:rsidRPr="00000000">
        <w:rPr>
          <w:color w:val="ff0000"/>
          <w:rtl w:val="0"/>
        </w:rPr>
        <w:t xml:space="preserve">vrátka (hradlo)</w:t>
      </w:r>
      <w:r w:rsidDel="00000000" w:rsidR="00000000" w:rsidRPr="00000000">
        <w:rPr>
          <w:rtl w:val="0"/>
        </w:rPr>
        <w:t xml:space="preserve"> - reprezentuje stav kanálu VEDE x NEVEDE</w:t>
      </w:r>
    </w:p>
    <w:p w:rsidR="00000000" w:rsidDel="00000000" w:rsidP="00000000" w:rsidRDefault="00000000" w:rsidRPr="00000000">
      <w:pPr>
        <w:numPr>
          <w:ilvl w:val="0"/>
          <w:numId w:val="5"/>
        </w:numPr>
        <w:ind w:left="720" w:hanging="360"/>
        <w:contextualSpacing w:val="1"/>
        <w:rPr/>
      </w:pPr>
      <w:r w:rsidDel="00000000" w:rsidR="00000000" w:rsidRPr="00000000">
        <w:rPr>
          <w:color w:val="ff0000"/>
          <w:rtl w:val="0"/>
        </w:rPr>
        <w:t xml:space="preserve">senzor vrátkovacího signálu</w:t>
      </w:r>
      <w:r w:rsidDel="00000000" w:rsidR="00000000" w:rsidRPr="00000000">
        <w:rPr>
          <w:rtl w:val="0"/>
        </w:rPr>
        <w:t xml:space="preserve"> - zařízení, které je citlivé ke specifickému podnětu, který způsobí konformaci kanálu do otevřeného, nebo zavřeného stavu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n3wyrkdy0xvl" w:id="18"/>
      <w:bookmarkEnd w:id="18"/>
      <w:r w:rsidDel="00000000" w:rsidR="00000000" w:rsidRPr="00000000">
        <w:rPr>
          <w:rtl w:val="0"/>
        </w:rPr>
        <w:t xml:space="preserve">Stále otevřené kanály</w:t>
      </w:r>
    </w:p>
    <w:p w:rsidR="00000000" w:rsidDel="00000000" w:rsidP="00000000" w:rsidRDefault="00000000" w:rsidRPr="00000000">
      <w:pPr>
        <w:contextualSpacing w:val="0"/>
        <w:jc w:val="both"/>
        <w:rPr/>
      </w:pPr>
      <w:r w:rsidDel="00000000" w:rsidR="00000000" w:rsidRPr="00000000">
        <w:rPr>
          <w:rtl w:val="0"/>
        </w:rPr>
        <w:t xml:space="preserve">Iontové kanály stále otevřené jsou vodou naplněné labyrinty rychle měnící konfiguraci a elektrický náboj. Ionty se v nich pohybují podle koncentračního gradientu a membránového potenciálu (mají totiž náboj). Tento typ iontových kanálů má vysoce selektivní permeabilitu pro jeden nebo víc iontů či molekul. Selektivita závisí na charakteristice kanálu a na jeho vnitřním povrchu.</w:t>
      </w:r>
    </w:p>
    <w:p w:rsidR="00000000" w:rsidDel="00000000" w:rsidP="00000000" w:rsidRDefault="00000000" w:rsidRPr="00000000">
      <w:pPr>
        <w:pStyle w:val="Heading2"/>
        <w:contextualSpacing w:val="0"/>
        <w:rPr/>
      </w:pPr>
      <w:bookmarkStart w:colFirst="0" w:colLast="0" w:name="_sas4kyjw2yiz" w:id="19"/>
      <w:bookmarkEnd w:id="19"/>
      <w:r w:rsidDel="00000000" w:rsidR="00000000" w:rsidRPr="00000000">
        <w:rPr>
          <w:rtl w:val="0"/>
        </w:rPr>
        <w:t xml:space="preserve">Napěťově (elektricky) řízené kanály</w:t>
      </w:r>
    </w:p>
    <w:p w:rsidR="00000000" w:rsidDel="00000000" w:rsidP="00000000" w:rsidRDefault="00000000" w:rsidRPr="00000000">
      <w:pPr>
        <w:contextualSpacing w:val="0"/>
        <w:jc w:val="both"/>
        <w:rPr>
          <w:highlight w:val="white"/>
        </w:rPr>
      </w:pPr>
      <w:r w:rsidDel="00000000" w:rsidR="00000000" w:rsidRPr="00000000">
        <w:rPr/>
        <w:drawing>
          <wp:inline distB="114300" distT="114300" distL="114300" distR="114300">
            <wp:extent cx="5731200" cy="1612900"/>
            <wp:effectExtent b="0" l="0" r="0" t="0"/>
            <wp:docPr id="10" name="image24.png"/>
            <a:graphic>
              <a:graphicData uri="http://schemas.openxmlformats.org/drawingml/2006/picture">
                <pic:pic>
                  <pic:nvPicPr>
                    <pic:cNvPr id="0" name="image24.png"/>
                    <pic:cNvPicPr preferRelativeResize="0"/>
                  </pic:nvPicPr>
                  <pic:blipFill>
                    <a:blip r:embed="rId11"/>
                    <a:srcRect b="0" l="0" r="0" t="0"/>
                    <a:stretch>
                      <a:fillRect/>
                    </a:stretch>
                  </pic:blipFill>
                  <pic:spPr>
                    <a:xfrm>
                      <a:off x="0" y="0"/>
                      <a:ext cx="5731200" cy="1612900"/>
                    </a:xfrm>
                    <a:prstGeom prst="rect"/>
                    <a:ln/>
                  </pic:spPr>
                </pic:pic>
              </a:graphicData>
            </a:graphic>
          </wp:inline>
        </w:drawing>
      </w:r>
      <w:r w:rsidDel="00000000" w:rsidR="00000000" w:rsidRPr="00000000">
        <w:rPr>
          <w:rtl w:val="0"/>
        </w:rPr>
        <w:t xml:space="preserve">Iontové kanály napěťově řízené se otevírají a zavírají se změnou elektrického potenciálu na membráně. To se děje v důsledku konfigurační změny proteinu, který kanál tvoří. </w:t>
      </w:r>
      <w:r w:rsidDel="00000000" w:rsidR="00000000" w:rsidRPr="00000000">
        <w:rPr>
          <w:highlight w:val="white"/>
          <w:rtl w:val="0"/>
        </w:rPr>
        <w:t xml:space="preserve">Tyto iontové kanály pracují s určitým zpožděním. To je pro ně charakteristické.</w:t>
      </w:r>
    </w:p>
    <w:p w:rsidR="00000000" w:rsidDel="00000000" w:rsidP="00000000" w:rsidRDefault="00000000" w:rsidRPr="00000000">
      <w:pPr>
        <w:pStyle w:val="Heading3"/>
        <w:contextualSpacing w:val="0"/>
        <w:jc w:val="both"/>
        <w:rPr/>
      </w:pPr>
      <w:bookmarkStart w:colFirst="0" w:colLast="0" w:name="_sjsyrcdiy1zu" w:id="20"/>
      <w:bookmarkEnd w:id="20"/>
      <w:r w:rsidDel="00000000" w:rsidR="00000000" w:rsidRPr="00000000">
        <w:rPr>
          <w:rtl w:val="0"/>
        </w:rPr>
        <w:t xml:space="preserve">Popis elektrického chování kanálu</w:t>
      </w:r>
      <w:r w:rsidDel="00000000" w:rsidR="00000000" w:rsidRPr="00000000">
        <w:rPr>
          <w:rtl w:val="0"/>
        </w:rPr>
      </w:r>
    </w:p>
    <w:p w:rsidR="00000000" w:rsidDel="00000000" w:rsidP="00000000" w:rsidRDefault="00000000" w:rsidRPr="00000000">
      <w:pPr>
        <w:contextualSpacing w:val="0"/>
        <w:jc w:val="both"/>
        <w:rPr>
          <w:highlight w:val="white"/>
        </w:rPr>
      </w:pPr>
      <w:r w:rsidDel="00000000" w:rsidR="00000000" w:rsidRPr="00000000">
        <w:rPr>
          <w:highlight w:val="white"/>
        </w:rPr>
        <w:drawing>
          <wp:inline distB="114300" distT="114300" distL="114300" distR="114300">
            <wp:extent cx="5734050" cy="3860800"/>
            <wp:effectExtent b="0" l="0" r="0" t="0"/>
            <wp:docPr id="16" name="image33.png"/>
            <a:graphic>
              <a:graphicData uri="http://schemas.openxmlformats.org/drawingml/2006/picture">
                <pic:pic>
                  <pic:nvPicPr>
                    <pic:cNvPr id="0" name="image33.png"/>
                    <pic:cNvPicPr preferRelativeResize="0"/>
                  </pic:nvPicPr>
                  <pic:blipFill>
                    <a:blip r:embed="rId12"/>
                    <a:srcRect b="0" l="0" r="0" t="0"/>
                    <a:stretch>
                      <a:fillRect/>
                    </a:stretch>
                  </pic:blipFill>
                  <pic:spPr>
                    <a:xfrm>
                      <a:off x="0" y="0"/>
                      <a:ext cx="5734050" cy="3860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ok2bvzix7iky" w:id="21"/>
      <w:bookmarkEnd w:id="21"/>
      <w:r w:rsidDel="00000000" w:rsidR="00000000" w:rsidRPr="00000000">
        <w:rPr>
          <w:rtl w:val="0"/>
        </w:rPr>
        <w:t xml:space="preserve">Inaktivační kanál (se dvěma vrátkama)</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562600" cy="3095625"/>
            <wp:effectExtent b="0" l="0" r="0" t="0"/>
            <wp:docPr id="1"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562600" cy="309562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7opeharq7xmn" w:id="22"/>
      <w:bookmarkEnd w:id="22"/>
      <w:r w:rsidDel="00000000" w:rsidR="00000000" w:rsidRPr="00000000">
        <w:rPr>
          <w:rtl w:val="0"/>
        </w:rPr>
        <w:t xml:space="preserve">Vrátkované kanály vazbou ligandu</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252538" cy="1304113"/>
            <wp:effectExtent b="0" l="0" r="0" t="0"/>
            <wp:docPr id="5" name="image18.png"/>
            <a:graphic>
              <a:graphicData uri="http://schemas.openxmlformats.org/drawingml/2006/picture">
                <pic:pic>
                  <pic:nvPicPr>
                    <pic:cNvPr id="0" name="image18.png"/>
                    <pic:cNvPicPr preferRelativeResize="0"/>
                  </pic:nvPicPr>
                  <pic:blipFill>
                    <a:blip r:embed="rId14"/>
                    <a:srcRect b="0" l="0" r="0" t="0"/>
                    <a:stretch>
                      <a:fillRect/>
                    </a:stretch>
                  </pic:blipFill>
                  <pic:spPr>
                    <a:xfrm>
                      <a:off x="0" y="0"/>
                      <a:ext cx="1252538" cy="1304113"/>
                    </a:xfrm>
                    <a:prstGeom prst="rect"/>
                    <a:ln/>
                  </pic:spPr>
                </pic:pic>
              </a:graphicData>
            </a:graphic>
          </wp:inline>
        </w:drawing>
      </w:r>
      <w:r w:rsidDel="00000000" w:rsidR="00000000" w:rsidRPr="00000000">
        <w:rPr/>
        <w:drawing>
          <wp:inline distB="114300" distT="114300" distL="114300" distR="114300">
            <wp:extent cx="2062163" cy="2383441"/>
            <wp:effectExtent b="0" l="0" r="0" t="0"/>
            <wp:docPr id="8"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2062163" cy="2383441"/>
                    </a:xfrm>
                    <a:prstGeom prst="rect"/>
                    <a:ln/>
                  </pic:spPr>
                </pic:pic>
              </a:graphicData>
            </a:graphic>
          </wp:inline>
        </w:drawing>
      </w:r>
      <w:r w:rsidDel="00000000" w:rsidR="00000000" w:rsidRPr="00000000">
        <w:rPr/>
        <w:drawing>
          <wp:inline distB="114300" distT="114300" distL="114300" distR="114300">
            <wp:extent cx="1804988" cy="1512682"/>
            <wp:effectExtent b="0" l="0" r="0" t="0"/>
            <wp:docPr id="1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1804988" cy="1512682"/>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Kanál se otevře po navázání acetylcholinu</w:t>
      </w:r>
    </w:p>
    <w:p w:rsidR="00000000" w:rsidDel="00000000" w:rsidP="00000000" w:rsidRDefault="00000000" w:rsidRPr="00000000">
      <w:pPr>
        <w:pStyle w:val="Heading2"/>
        <w:contextualSpacing w:val="0"/>
        <w:rPr/>
      </w:pPr>
      <w:bookmarkStart w:colFirst="0" w:colLast="0" w:name="_icxs43km5r3s" w:id="23"/>
      <w:bookmarkEnd w:id="23"/>
      <w:r w:rsidDel="00000000" w:rsidR="00000000" w:rsidRPr="00000000">
        <w:rPr>
          <w:rtl w:val="0"/>
        </w:rPr>
        <w:t xml:space="preserve">Mechanosensitivní kanály</w:t>
      </w:r>
    </w:p>
    <w:p w:rsidR="00000000" w:rsidDel="00000000" w:rsidP="00000000" w:rsidRDefault="00000000" w:rsidRPr="00000000">
      <w:pPr>
        <w:contextualSpacing w:val="0"/>
        <w:rPr/>
      </w:pPr>
      <w:r w:rsidDel="00000000" w:rsidR="00000000" w:rsidRPr="00000000">
        <w:rPr/>
        <w:drawing>
          <wp:inline distB="114300" distT="114300" distL="114300" distR="114300">
            <wp:extent cx="2860032" cy="2158774"/>
            <wp:effectExtent b="0" l="0" r="0" t="0"/>
            <wp:docPr id="4"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2860032" cy="2158774"/>
                    </a:xfrm>
                    <a:prstGeom prst="rect"/>
                    <a:ln/>
                  </pic:spPr>
                </pic:pic>
              </a:graphicData>
            </a:graphic>
          </wp:inline>
        </w:drawing>
      </w:r>
      <w:r w:rsidDel="00000000" w:rsidR="00000000" w:rsidRPr="00000000">
        <w:rPr/>
        <w:drawing>
          <wp:inline distB="114300" distT="114300" distL="114300" distR="114300">
            <wp:extent cx="2740388" cy="2179364"/>
            <wp:effectExtent b="0" l="0" r="0" t="0"/>
            <wp:docPr id="12"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2740388" cy="2179364"/>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t xml:space="preserve">= tahem za vlákna cytoskeletonu (například ve směru plochy membrány) nastává mechanickou silou podmíněné vrátkování mechanosensitivních kanálů. Vrátkování může být jak otevření, tak uzavření kanálu. Smyslem udržení například turgoru buňky při změně extracelulárních osmotických poměrů.</w:t>
      </w:r>
    </w:p>
    <w:p w:rsidR="00000000" w:rsidDel="00000000" w:rsidP="00000000" w:rsidRDefault="00000000" w:rsidRPr="00000000">
      <w:pPr>
        <w:pStyle w:val="Heading1"/>
        <w:contextualSpacing w:val="0"/>
        <w:jc w:val="both"/>
        <w:rPr/>
      </w:pPr>
      <w:bookmarkStart w:colFirst="0" w:colLast="0" w:name="_jc5s472yo4bb" w:id="24"/>
      <w:bookmarkEnd w:id="24"/>
      <w:r w:rsidDel="00000000" w:rsidR="00000000" w:rsidRPr="00000000">
        <w:rPr>
          <w:rtl w:val="0"/>
        </w:rPr>
        <w:t xml:space="preserve">Elektrické jevy na biologických membránách</w:t>
      </w:r>
    </w:p>
    <w:p w:rsidR="00000000" w:rsidDel="00000000" w:rsidP="00000000" w:rsidRDefault="00000000" w:rsidRPr="00000000">
      <w:pPr>
        <w:contextualSpacing w:val="0"/>
        <w:jc w:val="both"/>
        <w:rPr/>
      </w:pPr>
      <w:r w:rsidDel="00000000" w:rsidR="00000000" w:rsidRPr="00000000">
        <w:rPr>
          <w:rtl w:val="0"/>
        </w:rPr>
        <w:t xml:space="preserve">Neurony i jiné buňky vytvářejí a </w:t>
      </w:r>
      <w:r w:rsidDel="00000000" w:rsidR="00000000" w:rsidRPr="00000000">
        <w:rPr>
          <w:color w:val="ff0000"/>
          <w:rtl w:val="0"/>
        </w:rPr>
        <w:t xml:space="preserve">udržují rozdílné koncentrace iontů</w:t>
      </w:r>
      <w:r w:rsidDel="00000000" w:rsidR="00000000" w:rsidRPr="00000000">
        <w:rPr>
          <w:rtl w:val="0"/>
        </w:rPr>
        <w:t xml:space="preserve"> na obou stranách plazmatické membrány. Jedná se o</w:t>
      </w:r>
      <w:r w:rsidDel="00000000" w:rsidR="00000000" w:rsidRPr="00000000">
        <w:rPr>
          <w:color w:val="ff0000"/>
          <w:rtl w:val="0"/>
        </w:rPr>
        <w:t xml:space="preserve"> aktivní procesy</w:t>
      </w:r>
      <w:r w:rsidDel="00000000" w:rsidR="00000000" w:rsidRPr="00000000">
        <w:rPr>
          <w:rtl w:val="0"/>
        </w:rPr>
        <w:t xml:space="preserve">, které používají specifické iontové pumpy. Výsledkem této činnosti je vznik </w:t>
      </w:r>
      <w:r w:rsidDel="00000000" w:rsidR="00000000" w:rsidRPr="00000000">
        <w:rPr>
          <w:color w:val="ff0000"/>
          <w:rtl w:val="0"/>
        </w:rPr>
        <w:t xml:space="preserve">membránového potenciálu</w:t>
      </w:r>
      <w:r w:rsidDel="00000000" w:rsidR="00000000" w:rsidRPr="00000000">
        <w:rPr>
          <w:rtl w:val="0"/>
        </w:rPr>
        <w:t xml:space="preserve">, tedy napěťového rozdílu mezi vnitřní a vnější stranou membrány. </w:t>
      </w:r>
      <w:r w:rsidDel="00000000" w:rsidR="00000000" w:rsidRPr="00000000">
        <w:rPr>
          <w:rtl w:val="0"/>
        </w:rPr>
        <w:t xml:space="preserve">Vnitřek </w:t>
      </w:r>
      <w:r w:rsidDel="00000000" w:rsidR="00000000" w:rsidRPr="00000000">
        <w:rPr>
          <w:rtl w:val="0"/>
        </w:rPr>
        <w:t xml:space="preserve">buněk je </w:t>
      </w:r>
      <w:r w:rsidDel="00000000" w:rsidR="00000000" w:rsidRPr="00000000">
        <w:rPr>
          <w:rtl w:val="0"/>
        </w:rPr>
        <w:t xml:space="preserve">negativní </w:t>
      </w:r>
      <w:r w:rsidDel="00000000" w:rsidR="00000000" w:rsidRPr="00000000">
        <w:rPr>
          <w:rtl w:val="0"/>
        </w:rPr>
        <w:t xml:space="preserve">vůči vnějšku. </w:t>
      </w:r>
    </w:p>
    <w:p w:rsidR="00000000" w:rsidDel="00000000" w:rsidP="00000000" w:rsidRDefault="00000000" w:rsidRPr="00000000">
      <w:pPr>
        <w:contextualSpacing w:val="0"/>
        <w:jc w:val="both"/>
        <w:rPr/>
      </w:pPr>
      <w:r w:rsidDel="00000000" w:rsidR="00000000" w:rsidRPr="00000000">
        <w:rPr>
          <w:rtl w:val="0"/>
        </w:rPr>
        <w:t xml:space="preserve">Klidový membránový potenciál (stálý potenciál) dosahuje v různých buňkách -9 až -100 mV, v neuronech -40 až -90 mV (obvykle -70 mV).</w:t>
      </w:r>
    </w:p>
    <w:p w:rsidR="00000000" w:rsidDel="00000000" w:rsidP="00000000" w:rsidRDefault="00000000" w:rsidRPr="00000000">
      <w:pPr>
        <w:pStyle w:val="Heading2"/>
        <w:contextualSpacing w:val="0"/>
        <w:jc w:val="both"/>
        <w:rPr/>
      </w:pPr>
      <w:bookmarkStart w:colFirst="0" w:colLast="0" w:name="_ko674bw2a2nb" w:id="25"/>
      <w:bookmarkEnd w:id="25"/>
      <w:r w:rsidDel="00000000" w:rsidR="00000000" w:rsidRPr="00000000">
        <w:rPr>
          <w:rtl w:val="0"/>
        </w:rPr>
        <w:t xml:space="preserve">Nernstova rovnice</w:t>
      </w:r>
    </w:p>
    <w:p w:rsidR="00000000" w:rsidDel="00000000" w:rsidP="00000000" w:rsidRDefault="00000000" w:rsidRPr="00000000">
      <w:pPr>
        <w:contextualSpacing w:val="0"/>
        <w:rPr/>
      </w:pPr>
      <w:r w:rsidDel="00000000" w:rsidR="00000000" w:rsidRPr="00000000">
        <w:rPr>
          <w:rtl w:val="0"/>
        </w:rPr>
        <w:t xml:space="preserve">= slouží k výpočtu elektrochemického rovnovážného potenciálu E libovolného iontu X</w:t>
      </w:r>
    </w:p>
    <w:p w:rsidR="00000000" w:rsidDel="00000000" w:rsidP="00000000" w:rsidRDefault="00000000" w:rsidRPr="00000000">
      <w:pPr>
        <w:contextualSpacing w:val="0"/>
        <w:jc w:val="center"/>
        <w:rPr>
          <w:sz w:val="48"/>
          <w:szCs w:val="48"/>
        </w:rPr>
      </w:pPr>
      <m:oMath>
        <m:r>
          <w:rPr>
            <w:sz w:val="48"/>
            <w:szCs w:val="48"/>
          </w:rPr>
          <m:t xml:space="preserve">E=</m:t>
        </m:r>
        <m:f>
          <m:fPr>
            <m:ctrlPr>
              <w:rPr>
                <w:sz w:val="48"/>
                <w:szCs w:val="48"/>
              </w:rPr>
            </m:ctrlPr>
          </m:fPr>
          <m:num>
            <m:r>
              <w:rPr>
                <w:sz w:val="48"/>
                <w:szCs w:val="48"/>
              </w:rPr>
              <m:t xml:space="preserve">RT</m:t>
            </m:r>
          </m:num>
          <m:den>
            <m:r>
              <w:rPr>
                <w:sz w:val="48"/>
                <w:szCs w:val="48"/>
              </w:rPr>
              <m:t xml:space="preserve">nF</m:t>
            </m:r>
          </m:den>
        </m:f>
        <m:r>
          <w:rPr>
            <w:sz w:val="48"/>
            <w:szCs w:val="48"/>
          </w:rPr>
          <m:t xml:space="preserve">ln</m:t>
        </m:r>
        <m:f>
          <m:fPr>
            <m:ctrlPr>
              <w:rPr>
                <w:sz w:val="48"/>
                <w:szCs w:val="48"/>
              </w:rPr>
            </m:ctrlPr>
          </m:fPr>
          <m:num>
            <m:r>
              <w:rPr>
                <w:sz w:val="48"/>
                <w:szCs w:val="48"/>
              </w:rPr>
              <m:t xml:space="preserve">[</m:t>
            </m:r>
            <m:sSub>
              <m:sSubPr>
                <m:ctrlPr>
                  <w:rPr>
                    <w:sz w:val="48"/>
                    <w:szCs w:val="48"/>
                  </w:rPr>
                </m:ctrlPr>
              </m:sSubPr>
              <m:e>
                <m:r>
                  <w:rPr>
                    <w:sz w:val="48"/>
                    <w:szCs w:val="48"/>
                  </w:rPr>
                  <m:t xml:space="preserve">X</m:t>
                </m:r>
              </m:e>
              <m:sub>
                <m:r>
                  <w:rPr>
                    <w:sz w:val="48"/>
                    <w:szCs w:val="48"/>
                  </w:rPr>
                  <m:t xml:space="preserve">i</m:t>
                </m:r>
              </m:sub>
            </m:sSub>
            <m:r>
              <w:rPr>
                <w:sz w:val="48"/>
                <w:szCs w:val="48"/>
              </w:rPr>
              <m:t xml:space="preserve">]</m:t>
            </m:r>
          </m:num>
          <m:den>
            <m:r>
              <w:rPr>
                <w:sz w:val="48"/>
                <w:szCs w:val="48"/>
              </w:rPr>
              <m:t xml:space="preserve">[</m:t>
            </m:r>
            <m:sSub>
              <m:sSubPr>
                <m:ctrlPr>
                  <w:rPr>
                    <w:sz w:val="48"/>
                    <w:szCs w:val="48"/>
                  </w:rPr>
                </m:ctrlPr>
              </m:sSubPr>
              <m:e>
                <m:r>
                  <w:rPr>
                    <w:sz w:val="48"/>
                    <w:szCs w:val="48"/>
                  </w:rPr>
                  <m:t xml:space="preserve">X</m:t>
                </m:r>
              </m:e>
              <m:sub>
                <m:r>
                  <w:rPr>
                    <w:sz w:val="48"/>
                    <w:szCs w:val="48"/>
                  </w:rPr>
                  <m:t xml:space="preserve">e</m:t>
                </m:r>
              </m:sub>
            </m:sSub>
            <m:r>
              <w:rPr>
                <w:sz w:val="48"/>
                <w:szCs w:val="48"/>
              </w:rPr>
              <m:t xml:space="preserve">]</m:t>
            </m:r>
          </m:den>
        </m:f>
      </m:oMath>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R = univerzání plynová konstanta</w:t>
      </w:r>
    </w:p>
    <w:p w:rsidR="00000000" w:rsidDel="00000000" w:rsidP="00000000" w:rsidRDefault="00000000" w:rsidRPr="00000000">
      <w:pPr>
        <w:contextualSpacing w:val="0"/>
        <w:rPr/>
      </w:pPr>
      <w:r w:rsidDel="00000000" w:rsidR="00000000" w:rsidRPr="00000000">
        <w:rPr>
          <w:rtl w:val="0"/>
        </w:rPr>
        <w:t xml:space="preserve">T = absolutní teplota v kelvinech</w:t>
      </w:r>
    </w:p>
    <w:p w:rsidR="00000000" w:rsidDel="00000000" w:rsidP="00000000" w:rsidRDefault="00000000" w:rsidRPr="00000000">
      <w:pPr>
        <w:contextualSpacing w:val="0"/>
        <w:rPr/>
      </w:pPr>
      <w:r w:rsidDel="00000000" w:rsidR="00000000" w:rsidRPr="00000000">
        <w:rPr>
          <w:rtl w:val="0"/>
        </w:rPr>
        <w:t xml:space="preserve">n = mocenství </w:t>
      </w:r>
      <w:r w:rsidDel="00000000" w:rsidR="00000000" w:rsidRPr="00000000">
        <w:rPr>
          <w:highlight w:val="white"/>
          <w:rtl w:val="0"/>
        </w:rPr>
        <w:t xml:space="preserve"> (např. + 1 pro K</w:t>
      </w:r>
      <w:r w:rsidDel="00000000" w:rsidR="00000000" w:rsidRPr="00000000">
        <w:rPr>
          <w:highlight w:val="white"/>
          <w:vertAlign w:val="superscript"/>
          <w:rtl w:val="0"/>
        </w:rPr>
        <w:t xml:space="preserve">+</w:t>
      </w:r>
      <w:r w:rsidDel="00000000" w:rsidR="00000000" w:rsidRPr="00000000">
        <w:rPr>
          <w:highlight w:val="white"/>
          <w:rtl w:val="0"/>
        </w:rPr>
        <w:t xml:space="preserve"> a Na</w:t>
      </w:r>
      <w:r w:rsidDel="00000000" w:rsidR="00000000" w:rsidRPr="00000000">
        <w:rPr>
          <w:highlight w:val="white"/>
          <w:vertAlign w:val="superscript"/>
          <w:rtl w:val="0"/>
        </w:rPr>
        <w:t xml:space="preserve">+</w:t>
      </w:r>
      <w:r w:rsidDel="00000000" w:rsidR="00000000" w:rsidRPr="00000000">
        <w:rPr>
          <w:highlight w:val="white"/>
          <w:rtl w:val="0"/>
        </w:rPr>
        <w:t xml:space="preserve">, +2 pro Ca</w:t>
      </w:r>
      <w:r w:rsidDel="00000000" w:rsidR="00000000" w:rsidRPr="00000000">
        <w:rPr>
          <w:highlight w:val="white"/>
          <w:vertAlign w:val="superscript"/>
          <w:rtl w:val="0"/>
        </w:rPr>
        <w:t xml:space="preserve">2+</w:t>
      </w:r>
      <w:r w:rsidDel="00000000" w:rsidR="00000000" w:rsidRPr="00000000">
        <w:rPr>
          <w:rFonts w:ascii="Arial Unicode MS" w:cs="Arial Unicode MS" w:eastAsia="Arial Unicode MS" w:hAnsi="Arial Unicode MS"/>
          <w:highlight w:val="white"/>
          <w:rtl w:val="0"/>
        </w:rPr>
        <w:t xml:space="preserve">, −1 pro Cl</w:t>
      </w:r>
      <w:r w:rsidDel="00000000" w:rsidR="00000000" w:rsidRPr="00000000">
        <w:rPr>
          <w:rFonts w:ascii="Arial Unicode MS" w:cs="Arial Unicode MS" w:eastAsia="Arial Unicode MS" w:hAnsi="Arial Unicode MS"/>
          <w:highlight w:val="white"/>
          <w:vertAlign w:val="superscript"/>
          <w:rtl w:val="0"/>
        </w:rPr>
        <w:t xml:space="preserve">−</w:t>
      </w:r>
      <w:r w:rsidDel="00000000" w:rsidR="00000000" w:rsidRPr="00000000">
        <w:rPr>
          <w:highlight w:val="white"/>
          <w:rtl w:val="0"/>
        </w:rPr>
        <w:t xml:space="preserve"> apod.)</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F = faradayova konstanta</w:t>
      </w:r>
    </w:p>
    <w:p w:rsidR="00000000" w:rsidDel="00000000" w:rsidP="00000000" w:rsidRDefault="00000000" w:rsidRPr="00000000">
      <w:pPr>
        <w:contextualSpacing w:val="0"/>
        <w:rPr/>
      </w:pPr>
      <w:r w:rsidDel="00000000" w:rsidR="00000000" w:rsidRPr="00000000">
        <w:rPr>
          <w:rtl w:val="0"/>
        </w:rPr>
        <w:t xml:space="preserve">ln = přirozený logaritmus</w:t>
      </w:r>
    </w:p>
    <w:p w:rsidR="00000000" w:rsidDel="00000000" w:rsidP="00000000" w:rsidRDefault="00000000" w:rsidRPr="00000000">
      <w:pPr>
        <w:spacing w:after="20" w:lineRule="auto"/>
        <w:contextualSpacing w:val="0"/>
        <w:rPr>
          <w:highlight w:val="white"/>
        </w:rPr>
      </w:pPr>
      <w:r w:rsidDel="00000000" w:rsidR="00000000" w:rsidRPr="00000000">
        <w:rPr>
          <w:highlight w:val="white"/>
          <w:rtl w:val="0"/>
        </w:rPr>
        <w:t xml:space="preserve">[X</w:t>
      </w:r>
      <w:r w:rsidDel="00000000" w:rsidR="00000000" w:rsidRPr="00000000">
        <w:rPr>
          <w:highlight w:val="white"/>
          <w:vertAlign w:val="subscript"/>
          <w:rtl w:val="0"/>
        </w:rPr>
        <w:t xml:space="preserve">e</w:t>
      </w:r>
      <w:r w:rsidDel="00000000" w:rsidR="00000000" w:rsidRPr="00000000">
        <w:rPr>
          <w:highlight w:val="white"/>
          <w:rtl w:val="0"/>
        </w:rPr>
        <w:t xml:space="preserve">] = extracelulární koncentrace iontu X</w:t>
      </w:r>
    </w:p>
    <w:p w:rsidR="00000000" w:rsidDel="00000000" w:rsidP="00000000" w:rsidRDefault="00000000" w:rsidRPr="00000000">
      <w:pPr>
        <w:spacing w:after="20" w:lineRule="auto"/>
        <w:contextualSpacing w:val="0"/>
        <w:rPr/>
      </w:pPr>
      <w:r w:rsidDel="00000000" w:rsidR="00000000" w:rsidRPr="00000000">
        <w:rPr>
          <w:highlight w:val="white"/>
          <w:rtl w:val="0"/>
        </w:rPr>
        <w:t xml:space="preserve">[X</w:t>
      </w:r>
      <w:r w:rsidDel="00000000" w:rsidR="00000000" w:rsidRPr="00000000">
        <w:rPr>
          <w:highlight w:val="white"/>
          <w:vertAlign w:val="subscript"/>
          <w:rtl w:val="0"/>
        </w:rPr>
        <w:t xml:space="preserve">i</w:t>
      </w:r>
      <w:r w:rsidDel="00000000" w:rsidR="00000000" w:rsidRPr="00000000">
        <w:rPr>
          <w:highlight w:val="white"/>
          <w:rtl w:val="0"/>
        </w:rPr>
        <w:t xml:space="preserve">] = intracelulární koncentrace iontu X</w:t>
      </w: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7mko1wngi1q0" w:id="26"/>
      <w:bookmarkEnd w:id="26"/>
      <w:r w:rsidDel="00000000" w:rsidR="00000000" w:rsidRPr="00000000">
        <w:rPr>
          <w:rtl w:val="0"/>
        </w:rPr>
        <w:t xml:space="preserve">Rovnovážný potenciál</w:t>
      </w:r>
    </w:p>
    <w:p w:rsidR="00000000" w:rsidDel="00000000" w:rsidP="00000000" w:rsidRDefault="00000000" w:rsidRPr="00000000">
      <w:pPr>
        <w:contextualSpacing w:val="0"/>
        <w:rPr/>
      </w:pPr>
      <w:r w:rsidDel="00000000" w:rsidR="00000000" w:rsidRPr="00000000">
        <w:rPr>
          <w:rtl w:val="0"/>
        </w:rPr>
        <w:t xml:space="preserve">= síly koncentračního a elektrického gradientu jsou v rovnováze</w:t>
      </w:r>
    </w:p>
    <w:p w:rsidR="00000000" w:rsidDel="00000000" w:rsidP="00000000" w:rsidRDefault="00000000" w:rsidRPr="00000000">
      <w:pPr>
        <w:contextualSpacing w:val="0"/>
        <w:rPr/>
      </w:pPr>
      <w:r w:rsidDel="00000000" w:rsidR="00000000" w:rsidRPr="00000000">
        <w:rPr>
          <w:rtl w:val="0"/>
        </w:rPr>
        <w:t xml:space="preserve">1)</w:t>
      </w:r>
      <w:r w:rsidDel="00000000" w:rsidR="00000000" w:rsidRPr="00000000">
        <w:rPr/>
        <w:drawing>
          <wp:inline distB="114300" distT="114300" distL="114300" distR="114300">
            <wp:extent cx="1333500" cy="762000"/>
            <wp:effectExtent b="0" l="0" r="0" t="0"/>
            <wp:docPr id="7" name="image21.png"/>
            <a:graphic>
              <a:graphicData uri="http://schemas.openxmlformats.org/drawingml/2006/picture">
                <pic:pic>
                  <pic:nvPicPr>
                    <pic:cNvPr id="0" name="image21.png"/>
                    <pic:cNvPicPr preferRelativeResize="0"/>
                  </pic:nvPicPr>
                  <pic:blipFill>
                    <a:blip r:embed="rId19"/>
                    <a:srcRect b="0" l="0" r="0" t="0"/>
                    <a:stretch>
                      <a:fillRect/>
                    </a:stretch>
                  </pic:blipFill>
                  <pic:spPr>
                    <a:xfrm>
                      <a:off x="0" y="0"/>
                      <a:ext cx="1333500" cy="762000"/>
                    </a:xfrm>
                    <a:prstGeom prst="rect"/>
                    <a:ln/>
                  </pic:spPr>
                </pic:pic>
              </a:graphicData>
            </a:graphic>
          </wp:inline>
        </w:drawing>
      </w:r>
      <w:r w:rsidDel="00000000" w:rsidR="00000000" w:rsidRPr="00000000">
        <w:rPr>
          <w:rtl w:val="0"/>
        </w:rPr>
        <w:t xml:space="preserve">2)</w:t>
      </w:r>
      <w:r w:rsidDel="00000000" w:rsidR="00000000" w:rsidRPr="00000000">
        <w:rPr/>
        <w:drawing>
          <wp:inline distB="114300" distT="114300" distL="114300" distR="114300">
            <wp:extent cx="1333500" cy="762000"/>
            <wp:effectExtent b="0" l="0" r="0" t="0"/>
            <wp:docPr id="3"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1333500" cy="762000"/>
                    </a:xfrm>
                    <a:prstGeom prst="rect"/>
                    <a:ln/>
                  </pic:spPr>
                </pic:pic>
              </a:graphicData>
            </a:graphic>
          </wp:inline>
        </w:drawing>
      </w:r>
      <w:r w:rsidDel="00000000" w:rsidR="00000000" w:rsidRPr="00000000">
        <w:rPr>
          <w:rtl w:val="0"/>
        </w:rPr>
        <w:t xml:space="preserve">3)</w:t>
      </w:r>
      <w:r w:rsidDel="00000000" w:rsidR="00000000" w:rsidRPr="00000000">
        <w:rPr/>
        <w:drawing>
          <wp:inline distB="114300" distT="114300" distL="114300" distR="114300">
            <wp:extent cx="1333500" cy="762000"/>
            <wp:effectExtent b="0" l="0" r="0" t="0"/>
            <wp:docPr id="9" name="image23.png"/>
            <a:graphic>
              <a:graphicData uri="http://schemas.openxmlformats.org/drawingml/2006/picture">
                <pic:pic>
                  <pic:nvPicPr>
                    <pic:cNvPr id="0" name="image23.png"/>
                    <pic:cNvPicPr preferRelativeResize="0"/>
                  </pic:nvPicPr>
                  <pic:blipFill>
                    <a:blip r:embed="rId21"/>
                    <a:srcRect b="0" l="0" r="0" t="0"/>
                    <a:stretch>
                      <a:fillRect/>
                    </a:stretch>
                  </pic:blipFill>
                  <pic:spPr>
                    <a:xfrm>
                      <a:off x="0" y="0"/>
                      <a:ext cx="1333500" cy="762000"/>
                    </a:xfrm>
                    <a:prstGeom prst="rect"/>
                    <a:ln/>
                  </pic:spPr>
                </pic:pic>
              </a:graphicData>
            </a:graphic>
          </wp:inline>
        </w:drawing>
      </w:r>
      <w:r w:rsidDel="00000000" w:rsidR="00000000" w:rsidRPr="00000000">
        <w:rPr>
          <w:rtl w:val="0"/>
        </w:rPr>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Existuje velká síla koncentračního gradientu</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Začíná se objevovat síla elektrického gradientu, ale nerovná se síle koncentračního gradientu</w:t>
      </w:r>
    </w:p>
    <w:p w:rsidR="00000000" w:rsidDel="00000000" w:rsidP="00000000" w:rsidRDefault="00000000" w:rsidRPr="00000000">
      <w:pPr>
        <w:numPr>
          <w:ilvl w:val="0"/>
          <w:numId w:val="7"/>
        </w:numPr>
        <w:ind w:left="720" w:hanging="360"/>
        <w:contextualSpacing w:val="1"/>
        <w:rPr/>
      </w:pPr>
      <w:r w:rsidDel="00000000" w:rsidR="00000000" w:rsidRPr="00000000">
        <w:rPr>
          <w:rtl w:val="0"/>
        </w:rPr>
        <w:t xml:space="preserve">Síly jsou v rovnováze</w:t>
      </w:r>
    </w:p>
    <w:p w:rsidR="00000000" w:rsidDel="00000000" w:rsidP="00000000" w:rsidRDefault="00000000" w:rsidRPr="00000000">
      <w:pPr>
        <w:pStyle w:val="Heading2"/>
        <w:contextualSpacing w:val="0"/>
        <w:rPr/>
      </w:pPr>
      <w:bookmarkStart w:colFirst="0" w:colLast="0" w:name="_36xq3ixmjo6x" w:id="27"/>
      <w:bookmarkEnd w:id="27"/>
      <w:r w:rsidDel="00000000" w:rsidR="00000000" w:rsidRPr="00000000">
        <w:rPr>
          <w:rtl w:val="0"/>
        </w:rPr>
        <w:t xml:space="preserve">Klidový membránový potenciál</w:t>
      </w:r>
    </w:p>
    <w:p w:rsidR="00000000" w:rsidDel="00000000" w:rsidP="00000000" w:rsidRDefault="00000000" w:rsidRPr="00000000">
      <w:pPr>
        <w:contextualSpacing w:val="0"/>
        <w:rPr/>
      </w:pPr>
      <w:r w:rsidDel="00000000" w:rsidR="00000000" w:rsidRPr="00000000">
        <w:rPr>
          <w:rtl w:val="0"/>
        </w:rPr>
        <w:t xml:space="preserve">= stav, kdy membrána není stimulována</w:t>
      </w:r>
    </w:p>
    <w:p w:rsidR="00000000" w:rsidDel="00000000" w:rsidP="00000000" w:rsidRDefault="00000000" w:rsidRPr="00000000">
      <w:pPr>
        <w:pStyle w:val="Heading2"/>
        <w:contextualSpacing w:val="0"/>
        <w:rPr/>
      </w:pPr>
      <w:bookmarkStart w:colFirst="0" w:colLast="0" w:name="_emmhqbi6tehw" w:id="28"/>
      <w:bookmarkEnd w:id="28"/>
      <w:r w:rsidDel="00000000" w:rsidR="00000000" w:rsidRPr="00000000">
        <w:rPr>
          <w:rtl w:val="0"/>
        </w:rPr>
        <w:t xml:space="preserve">Akční membránový potenciál - akční napětí</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4429125" cy="2924175"/>
            <wp:effectExtent b="0" l="0" r="0" t="0"/>
            <wp:docPr id="6" name="image19.png"/>
            <a:graphic>
              <a:graphicData uri="http://schemas.openxmlformats.org/drawingml/2006/picture">
                <pic:pic>
                  <pic:nvPicPr>
                    <pic:cNvPr id="0" name="image19.png"/>
                    <pic:cNvPicPr preferRelativeResize="0"/>
                  </pic:nvPicPr>
                  <pic:blipFill>
                    <a:blip r:embed="rId22"/>
                    <a:srcRect b="0" l="0" r="0" t="0"/>
                    <a:stretch>
                      <a:fillRect/>
                    </a:stretch>
                  </pic:blipFill>
                  <pic:spPr>
                    <a:xfrm>
                      <a:off x="0" y="0"/>
                      <a:ext cx="4429125" cy="29241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 stav, kdy membrána je stimulována</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využívá se k dopravě informace</w:t>
      </w:r>
    </w:p>
    <w:p w:rsidR="00000000" w:rsidDel="00000000" w:rsidP="00000000" w:rsidRDefault="00000000" w:rsidRPr="00000000">
      <w:pPr>
        <w:pStyle w:val="Heading3"/>
        <w:contextualSpacing w:val="0"/>
        <w:rPr/>
      </w:pPr>
      <w:bookmarkStart w:colFirst="0" w:colLast="0" w:name="_4ecnk2jiz073" w:id="29"/>
      <w:bookmarkEnd w:id="29"/>
      <w:r w:rsidDel="00000000" w:rsidR="00000000" w:rsidRPr="00000000">
        <w:rPr>
          <w:rtl w:val="0"/>
        </w:rPr>
      </w:r>
    </w:p>
    <w:p w:rsidR="00000000" w:rsidDel="00000000" w:rsidP="00000000" w:rsidRDefault="00000000" w:rsidRPr="00000000">
      <w:pPr>
        <w:pStyle w:val="Heading3"/>
        <w:contextualSpacing w:val="0"/>
        <w:rPr/>
      </w:pPr>
      <w:bookmarkStart w:colFirst="0" w:colLast="0" w:name="_od9bbwys3nxm" w:id="30"/>
      <w:bookmarkEnd w:id="30"/>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dma0hi2wr3v2" w:id="31"/>
      <w:bookmarkEnd w:id="31"/>
      <w:r w:rsidDel="00000000" w:rsidR="00000000" w:rsidRPr="00000000">
        <w:rPr>
          <w:rtl w:val="0"/>
        </w:rPr>
        <w:t xml:space="preserve">Vlastnosti</w:t>
      </w:r>
    </w:p>
    <w:p w:rsidR="00000000" w:rsidDel="00000000" w:rsidP="00000000" w:rsidRDefault="00000000" w:rsidRPr="00000000">
      <w:pPr>
        <w:numPr>
          <w:ilvl w:val="0"/>
          <w:numId w:val="6"/>
        </w:numPr>
        <w:ind w:left="720" w:hanging="360"/>
        <w:contextualSpacing w:val="1"/>
        <w:rPr>
          <w:u w:val="none"/>
        </w:rPr>
      </w:pPr>
      <w:r w:rsidDel="00000000" w:rsidR="00000000" w:rsidRPr="00000000">
        <w:rPr>
          <w:color w:val="ff0000"/>
          <w:rtl w:val="0"/>
        </w:rPr>
        <w:t xml:space="preserve">práh </w:t>
      </w:r>
      <w:r w:rsidDel="00000000" w:rsidR="00000000" w:rsidRPr="00000000">
        <w:rPr>
          <w:rtl w:val="0"/>
        </w:rPr>
        <w:t xml:space="preserve">- hraniční hodnota membránového napětí, při které dochází k vyvolání akčního potenciálu</w:t>
      </w:r>
    </w:p>
    <w:p w:rsidR="00000000" w:rsidDel="00000000" w:rsidP="00000000" w:rsidRDefault="00000000" w:rsidRPr="00000000">
      <w:pPr>
        <w:numPr>
          <w:ilvl w:val="0"/>
          <w:numId w:val="6"/>
        </w:numPr>
        <w:ind w:left="720" w:hanging="360"/>
        <w:contextualSpacing w:val="1"/>
        <w:rPr/>
      </w:pPr>
      <w:r w:rsidDel="00000000" w:rsidR="00000000" w:rsidRPr="00000000">
        <w:rPr>
          <w:color w:val="ff0000"/>
          <w:rtl w:val="0"/>
        </w:rPr>
        <w:t xml:space="preserve">prahový, nadprahový podnět</w:t>
      </w:r>
      <w:r w:rsidDel="00000000" w:rsidR="00000000" w:rsidRPr="00000000">
        <w:rPr>
          <w:rtl w:val="0"/>
        </w:rPr>
        <w:t xml:space="preserve"> - za stálých podmínek je vždy odpověď stejná = stejná amplituda a doba trvání nezávisle na intenzitě podnětu</w:t>
      </w:r>
    </w:p>
    <w:p w:rsidR="00000000" w:rsidDel="00000000" w:rsidP="00000000" w:rsidRDefault="00000000" w:rsidRPr="00000000">
      <w:pPr>
        <w:numPr>
          <w:ilvl w:val="1"/>
          <w:numId w:val="6"/>
        </w:numPr>
        <w:ind w:left="1440" w:hanging="360"/>
        <w:contextualSpacing w:val="1"/>
        <w:rPr/>
      </w:pPr>
      <w:r w:rsidDel="00000000" w:rsidR="00000000" w:rsidRPr="00000000">
        <w:rPr>
          <w:rtl w:val="0"/>
        </w:rPr>
        <w:t xml:space="preserve">není-li prahu dosaženo → AN nevzniká</w:t>
      </w:r>
    </w:p>
    <w:p w:rsidR="00000000" w:rsidDel="00000000" w:rsidP="00000000" w:rsidRDefault="00000000" w:rsidRPr="00000000">
      <w:pPr>
        <w:numPr>
          <w:ilvl w:val="0"/>
          <w:numId w:val="6"/>
        </w:numPr>
        <w:ind w:left="720" w:hanging="360"/>
        <w:contextualSpacing w:val="1"/>
        <w:rPr/>
      </w:pPr>
      <w:r w:rsidDel="00000000" w:rsidR="00000000" w:rsidRPr="00000000">
        <w:rPr>
          <w:color w:val="ff0000"/>
          <w:rtl w:val="0"/>
        </w:rPr>
        <w:t xml:space="preserve">šíří se bez úbytku</w:t>
      </w:r>
      <w:r w:rsidDel="00000000" w:rsidR="00000000" w:rsidRPr="00000000">
        <w:rPr>
          <w:rtl w:val="0"/>
        </w:rPr>
      </w:r>
    </w:p>
    <w:p w:rsidR="00000000" w:rsidDel="00000000" w:rsidP="00000000" w:rsidRDefault="00000000" w:rsidRPr="00000000">
      <w:pPr>
        <w:numPr>
          <w:ilvl w:val="0"/>
          <w:numId w:val="6"/>
        </w:numPr>
        <w:ind w:left="720" w:hanging="360"/>
        <w:contextualSpacing w:val="1"/>
        <w:rPr/>
      </w:pPr>
      <w:r w:rsidDel="00000000" w:rsidR="00000000" w:rsidRPr="00000000">
        <w:rPr>
          <w:color w:val="ff0000"/>
          <w:rtl w:val="0"/>
        </w:rPr>
        <w:t xml:space="preserve">refrakterita </w:t>
      </w:r>
      <w:r w:rsidDel="00000000" w:rsidR="00000000" w:rsidRPr="00000000">
        <w:rPr>
          <w:rtl w:val="0"/>
        </w:rPr>
        <w:t xml:space="preserve">- neschopnost membrány generovat nové AN v průběhu předchozího a těsně po něm</w:t>
      </w:r>
      <w:r w:rsidDel="00000000" w:rsidR="00000000" w:rsidRPr="00000000">
        <w:drawing>
          <wp:anchor allowOverlap="1" behindDoc="0" distB="114300" distT="114300" distL="114300" distR="114300" hidden="0" layoutInCell="1" locked="0" relativeHeight="0" simplePos="0">
            <wp:simplePos x="0" y="0"/>
            <wp:positionH relativeFrom="margin">
              <wp:posOffset>2828925</wp:posOffset>
            </wp:positionH>
            <wp:positionV relativeFrom="paragraph">
              <wp:posOffset>376425</wp:posOffset>
            </wp:positionV>
            <wp:extent cx="2790825" cy="2400300"/>
            <wp:effectExtent b="0" l="0" r="0" t="0"/>
            <wp:wrapSquare wrapText="bothSides" distB="114300" distT="114300" distL="114300" distR="114300"/>
            <wp:docPr id="2" name="image11.png"/>
            <a:graphic>
              <a:graphicData uri="http://schemas.openxmlformats.org/drawingml/2006/picture">
                <pic:pic>
                  <pic:nvPicPr>
                    <pic:cNvPr id="0" name="image11.png"/>
                    <pic:cNvPicPr preferRelativeResize="0"/>
                  </pic:nvPicPr>
                  <pic:blipFill>
                    <a:blip r:embed="rId23"/>
                    <a:srcRect b="0" l="0" r="0" t="0"/>
                    <a:stretch>
                      <a:fillRect/>
                    </a:stretch>
                  </pic:blipFill>
                  <pic:spPr>
                    <a:xfrm>
                      <a:off x="0" y="0"/>
                      <a:ext cx="2790825" cy="2400300"/>
                    </a:xfrm>
                    <a:prstGeom prst="rect"/>
                    <a:ln/>
                  </pic:spPr>
                </pic:pic>
              </a:graphicData>
            </a:graphic>
          </wp:anchor>
        </w:drawing>
      </w:r>
    </w:p>
    <w:p w:rsidR="00000000" w:rsidDel="00000000" w:rsidP="00000000" w:rsidRDefault="00000000" w:rsidRPr="00000000">
      <w:pPr>
        <w:numPr>
          <w:ilvl w:val="1"/>
          <w:numId w:val="6"/>
        </w:numPr>
        <w:ind w:left="1440" w:hanging="360"/>
        <w:contextualSpacing w:val="1"/>
        <w:rPr/>
      </w:pPr>
      <w:r w:rsidDel="00000000" w:rsidR="00000000" w:rsidRPr="00000000">
        <w:rPr>
          <w:color w:val="0000ff"/>
          <w:rtl w:val="0"/>
        </w:rPr>
        <w:t xml:space="preserve">absolutní refrakterní fáze</w:t>
      </w:r>
      <w:r w:rsidDel="00000000" w:rsidR="00000000" w:rsidRPr="00000000">
        <w:rPr>
          <w:rtl w:val="0"/>
        </w:rPr>
        <w:t xml:space="preserve"> (ARP) - membrána není schopna generovat AN po podnětech jakékoliv intenzity</w:t>
      </w:r>
    </w:p>
    <w:p w:rsidR="00000000" w:rsidDel="00000000" w:rsidP="00000000" w:rsidRDefault="00000000" w:rsidRPr="00000000">
      <w:pPr>
        <w:numPr>
          <w:ilvl w:val="1"/>
          <w:numId w:val="6"/>
        </w:numPr>
        <w:ind w:left="1440" w:hanging="360"/>
        <w:contextualSpacing w:val="1"/>
        <w:rPr/>
      </w:pPr>
      <w:r w:rsidDel="00000000" w:rsidR="00000000" w:rsidRPr="00000000">
        <w:rPr>
          <w:color w:val="0000ff"/>
          <w:rtl w:val="0"/>
        </w:rPr>
        <w:t xml:space="preserve">relativní refrakterní fáze</w:t>
      </w:r>
      <w:r w:rsidDel="00000000" w:rsidR="00000000" w:rsidRPr="00000000">
        <w:rPr>
          <w:rtl w:val="0"/>
        </w:rPr>
        <w:t xml:space="preserve"> (RRP) - následuje za absolutní; podnět vedoucí ke vzniku AN musí být větší než obvykle, aby bylo dosaženo prahu</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uk9rudl4kdrn" w:id="32"/>
      <w:bookmarkEnd w:id="32"/>
      <w:r w:rsidDel="00000000" w:rsidR="00000000" w:rsidRPr="00000000">
        <w:rPr>
          <w:rtl w:val="0"/>
        </w:rPr>
        <w:t xml:space="preserve">Popis</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v okamžiku průchodu vzruchu nervovým vláknem se mění klidová rovnováha na vzrušivé membráně</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propustnost membrány pro Na</w:t>
      </w:r>
      <w:r w:rsidDel="00000000" w:rsidR="00000000" w:rsidRPr="00000000">
        <w:rPr>
          <w:vertAlign w:val="superscript"/>
          <w:rtl w:val="0"/>
        </w:rPr>
        <w:t xml:space="preserve">+</w:t>
      </w:r>
      <w:r w:rsidDel="00000000" w:rsidR="00000000" w:rsidRPr="00000000">
        <w:rPr>
          <w:rtl w:val="0"/>
        </w:rPr>
        <w:t xml:space="preserve"> se náhle zvýší a tento kationt se přesunuje dovnitř nervu</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polarizace mizí (depolarizace), povrch se stává až o 40mV elektronegativním</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zvýší se permeabilita membrány pro K</w:t>
      </w:r>
      <w:r w:rsidDel="00000000" w:rsidR="00000000" w:rsidRPr="00000000">
        <w:rPr>
          <w:vertAlign w:val="superscript"/>
          <w:rtl w:val="0"/>
        </w:rPr>
        <w:t xml:space="preserve">+</w:t>
      </w:r>
      <w:r w:rsidDel="00000000" w:rsidR="00000000" w:rsidRPr="00000000">
        <w:rPr>
          <w:rtl w:val="0"/>
        </w:rPr>
        <w:t xml:space="preserve">, čímž se vyrovná akční kolísnutí membránového potenciálu (repolarizace)</w:t>
      </w:r>
    </w:p>
    <w:p w:rsidR="00000000" w:rsidDel="00000000" w:rsidP="00000000" w:rsidRDefault="00000000" w:rsidRPr="00000000">
      <w:pPr>
        <w:numPr>
          <w:ilvl w:val="0"/>
          <w:numId w:val="2"/>
        </w:numPr>
        <w:ind w:left="720" w:hanging="360"/>
        <w:contextualSpacing w:val="1"/>
        <w:rPr>
          <w:sz w:val="22"/>
          <w:szCs w:val="22"/>
        </w:rPr>
      </w:pPr>
      <w:r w:rsidDel="00000000" w:rsidR="00000000" w:rsidRPr="00000000">
        <w:rPr>
          <w:rtl w:val="0"/>
        </w:rPr>
        <w:t xml:space="preserve">po každém vzruchu obnovuje neuronový metabolismus původní rozložení iontů na membráně</w:t>
      </w:r>
    </w:p>
    <w:p w:rsidR="00000000" w:rsidDel="00000000" w:rsidP="00000000" w:rsidRDefault="00000000" w:rsidRPr="00000000">
      <w:pPr>
        <w:numPr>
          <w:ilvl w:val="1"/>
          <w:numId w:val="2"/>
        </w:numPr>
        <w:ind w:left="1440" w:hanging="360"/>
        <w:contextualSpacing w:val="1"/>
        <w:rPr>
          <w:sz w:val="22"/>
          <w:szCs w:val="22"/>
        </w:rPr>
      </w:pPr>
      <w:r w:rsidDel="00000000" w:rsidR="00000000" w:rsidRPr="00000000">
        <w:rPr>
          <w:rtl w:val="0"/>
        </w:rPr>
        <w:t xml:space="preserve">sodíkodraslíkovou pumpou je Na</w:t>
      </w:r>
      <w:r w:rsidDel="00000000" w:rsidR="00000000" w:rsidRPr="00000000">
        <w:rPr>
          <w:vertAlign w:val="superscript"/>
          <w:rtl w:val="0"/>
        </w:rPr>
        <w:t xml:space="preserve">+</w:t>
      </w:r>
      <w:r w:rsidDel="00000000" w:rsidR="00000000" w:rsidRPr="00000000">
        <w:rPr>
          <w:rtl w:val="0"/>
        </w:rPr>
        <w:t xml:space="preserve"> čerpán z nervového vlákna ven, kdežto K</w:t>
      </w:r>
      <w:r w:rsidDel="00000000" w:rsidR="00000000" w:rsidRPr="00000000">
        <w:rPr>
          <w:vertAlign w:val="superscript"/>
          <w:rtl w:val="0"/>
        </w:rPr>
        <w:t xml:space="preserve">+</w:t>
      </w:r>
      <w:r w:rsidDel="00000000" w:rsidR="00000000" w:rsidRPr="00000000">
        <w:rPr>
          <w:rtl w:val="0"/>
        </w:rPr>
        <w:t xml:space="preserve"> putuje na jeho místo dovnitř</w:t>
      </w:r>
    </w:p>
    <w:p w:rsidR="00000000" w:rsidDel="00000000" w:rsidP="00000000" w:rsidRDefault="00000000" w:rsidRPr="00000000">
      <w:pPr>
        <w:numPr>
          <w:ilvl w:val="1"/>
          <w:numId w:val="2"/>
        </w:numPr>
        <w:ind w:left="1440" w:hanging="360"/>
        <w:contextualSpacing w:val="1"/>
        <w:rPr>
          <w:sz w:val="22"/>
          <w:szCs w:val="22"/>
        </w:rPr>
      </w:pPr>
      <w:r w:rsidDel="00000000" w:rsidR="00000000" w:rsidRPr="00000000">
        <w:rPr>
          <w:rtl w:val="0"/>
        </w:rPr>
        <w:t xml:space="preserve">energie pro tento aktivní transport iontů je získána z ATP a nahrazena oxidací glukózy</w:t>
      </w:r>
    </w:p>
    <w:p w:rsidR="00000000" w:rsidDel="00000000" w:rsidP="00000000" w:rsidRDefault="00000000" w:rsidRPr="00000000">
      <w:pPr>
        <w:pStyle w:val="Heading2"/>
        <w:contextualSpacing w:val="0"/>
        <w:rPr/>
      </w:pPr>
      <w:bookmarkStart w:colFirst="0" w:colLast="0" w:name="_nbrp8ebgnl7e" w:id="33"/>
      <w:bookmarkEnd w:id="33"/>
      <w:r w:rsidDel="00000000" w:rsidR="00000000" w:rsidRPr="00000000">
        <w:rPr>
          <w:rtl w:val="0"/>
        </w:rPr>
      </w:r>
    </w:p>
    <w:p w:rsidR="00000000" w:rsidDel="00000000" w:rsidP="00000000" w:rsidRDefault="00000000" w:rsidRPr="00000000">
      <w:pPr>
        <w:pStyle w:val="Heading2"/>
        <w:contextualSpacing w:val="0"/>
        <w:rPr/>
      </w:pPr>
      <w:bookmarkStart w:colFirst="0" w:colLast="0" w:name="_9fqh50eq083h" w:id="34"/>
      <w:bookmarkEnd w:id="34"/>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3d2ri9mnu4f0" w:id="35"/>
      <w:bookmarkEnd w:id="35"/>
      <w:r w:rsidDel="00000000" w:rsidR="00000000" w:rsidRPr="00000000">
        <w:rPr>
          <w:rtl w:val="0"/>
        </w:rPr>
        <w:t xml:space="preserve">Membrány vzrušivé a dráždivé (nevzrušivé)</w:t>
      </w:r>
    </w:p>
    <w:p w:rsidR="00000000" w:rsidDel="00000000" w:rsidP="00000000" w:rsidRDefault="00000000" w:rsidRPr="00000000">
      <w:pPr>
        <w:contextualSpacing w:val="0"/>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Místní odpověď</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Akční napětí</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Lokalizace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Dráždivá membrána</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Vzrušivá membrána</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Podnět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Elektrický nebo jiný</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Elektrický - depolarizace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Charakter odpovědi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Stupňovitá</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Vše, nebo nic</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Polarita odpovědi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Depolaricaze, nebo Hyperpolarizace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Depolarizace</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Amplituda odpovědi</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cca 10mV</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cca 100mV</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Práh</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ano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vedení</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s dekrementem</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bez úbytku</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kanály</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řízené ligandem</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napěťově řízené</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trvání</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různé</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na dané membráně konstantní</w:t>
            </w:r>
          </w:p>
        </w:tc>
      </w:tr>
    </w:tbl>
    <w:p w:rsidR="00000000" w:rsidDel="00000000" w:rsidP="00000000" w:rsidRDefault="00000000" w:rsidRPr="00000000">
      <w:pPr>
        <w:pStyle w:val="Heading3"/>
        <w:contextualSpacing w:val="0"/>
        <w:rPr/>
      </w:pPr>
      <w:bookmarkStart w:colFirst="0" w:colLast="0" w:name="_okeiodf0roic" w:id="36"/>
      <w:bookmarkEnd w:id="36"/>
      <w:r w:rsidDel="00000000" w:rsidR="00000000" w:rsidRPr="00000000">
        <w:rPr>
          <w:rtl w:val="0"/>
        </w:rPr>
        <w:t xml:space="preserve">Vzrušivé membrány</w:t>
      </w:r>
    </w:p>
    <w:p w:rsidR="00000000" w:rsidDel="00000000" w:rsidP="00000000" w:rsidRDefault="00000000" w:rsidRPr="00000000">
      <w:pPr>
        <w:contextualSpacing w:val="0"/>
        <w:rPr/>
      </w:pPr>
      <w:r w:rsidDel="00000000" w:rsidR="00000000" w:rsidRPr="00000000">
        <w:rPr>
          <w:rtl w:val="0"/>
        </w:rPr>
        <w:t xml:space="preserve">= buňky nervů, kosterní, srdeční a hladké svaloviny</w:t>
      </w:r>
    </w:p>
    <w:p w:rsidR="00000000" w:rsidDel="00000000" w:rsidP="00000000" w:rsidRDefault="00000000" w:rsidRPr="00000000">
      <w:pPr>
        <w:contextualSpacing w:val="0"/>
        <w:rPr/>
      </w:pPr>
      <w:r w:rsidDel="00000000" w:rsidR="00000000" w:rsidRPr="00000000">
        <w:rPr>
          <w:rtl w:val="0"/>
        </w:rPr>
        <w:t xml:space="preserve">membrána je vybavena příslušnými napěťově vrátkovanými kanály; je-li podnět dostatečně silný, generuje se </w:t>
      </w:r>
      <w:r w:rsidDel="00000000" w:rsidR="00000000" w:rsidRPr="00000000">
        <w:rPr>
          <w:color w:val="ff0000"/>
          <w:rtl w:val="0"/>
        </w:rPr>
        <w:t xml:space="preserve">akční napětí</w:t>
      </w:r>
      <w:r w:rsidDel="00000000" w:rsidR="00000000" w:rsidRPr="00000000">
        <w:rPr>
          <w:rtl w:val="0"/>
        </w:rPr>
        <w:t xml:space="preserve"> (akční potenciál)</w:t>
      </w:r>
    </w:p>
    <w:p w:rsidR="00000000" w:rsidDel="00000000" w:rsidP="00000000" w:rsidRDefault="00000000" w:rsidRPr="00000000">
      <w:pPr>
        <w:pStyle w:val="Heading3"/>
        <w:contextualSpacing w:val="0"/>
        <w:rPr/>
      </w:pPr>
      <w:bookmarkStart w:colFirst="0" w:colLast="0" w:name="_rv2dejj4benb" w:id="37"/>
      <w:bookmarkEnd w:id="37"/>
      <w:r w:rsidDel="00000000" w:rsidR="00000000" w:rsidRPr="00000000">
        <w:rPr>
          <w:rtl w:val="0"/>
        </w:rPr>
        <w:t xml:space="preserve">Dráždivé membrány</w:t>
      </w:r>
    </w:p>
    <w:p w:rsidR="00000000" w:rsidDel="00000000" w:rsidP="00000000" w:rsidRDefault="00000000" w:rsidRPr="00000000">
      <w:pPr>
        <w:contextualSpacing w:val="0"/>
        <w:rPr>
          <w:color w:val="ff0000"/>
        </w:rPr>
      </w:pPr>
      <w:r w:rsidDel="00000000" w:rsidR="00000000" w:rsidRPr="00000000">
        <w:rPr>
          <w:rtl w:val="0"/>
        </w:rPr>
        <w:t xml:space="preserve">pokud není membrána vybavena příslušnými napěťově vrátkovanými kanály, nebo přijme nedostatečně silný podnět, vzniká</w:t>
      </w:r>
      <w:r w:rsidDel="00000000" w:rsidR="00000000" w:rsidRPr="00000000">
        <w:rPr>
          <w:color w:val="ff0000"/>
          <w:rtl w:val="0"/>
        </w:rPr>
        <w:t xml:space="preserve"> elektrotonická odpověď</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podobné chování jako vzrušivá membrána při podprahových podnětech</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postsynaptická oblast, dendridy, těla neuronů, receptory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není schopna generovat akční napětí (nemá příslušné kanály)</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elektrická odpověď je přímo úměrná intenzitě podnětu = gradovaná (stupňovitá) odpověď</w:t>
      </w:r>
    </w:p>
    <w:p w:rsidR="00000000" w:rsidDel="00000000" w:rsidP="00000000" w:rsidRDefault="00000000" w:rsidRPr="00000000">
      <w:pPr>
        <w:numPr>
          <w:ilvl w:val="0"/>
          <w:numId w:val="3"/>
        </w:numPr>
        <w:ind w:left="720" w:hanging="360"/>
        <w:contextualSpacing w:val="1"/>
        <w:rPr/>
      </w:pPr>
      <w:r w:rsidDel="00000000" w:rsidR="00000000" w:rsidRPr="00000000">
        <w:rPr>
          <w:rtl w:val="0"/>
        </w:rPr>
        <w:t xml:space="preserve">elektrotonické, pasivní šíření (šíření s dekrementem)</w:t>
      </w:r>
    </w:p>
    <w:sectPr>
      <w:headerReference r:id="rId24" w:type="default"/>
      <w:pgSz w:h="16834" w:w="11909"/>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24.png"/><Relationship Id="rId22" Type="http://schemas.openxmlformats.org/officeDocument/2006/relationships/image" Target="media/image19.png"/><Relationship Id="rId10" Type="http://schemas.openxmlformats.org/officeDocument/2006/relationships/image" Target="media/image36.png"/><Relationship Id="rId21" Type="http://schemas.openxmlformats.org/officeDocument/2006/relationships/image" Target="media/image23.png"/><Relationship Id="rId13" Type="http://schemas.openxmlformats.org/officeDocument/2006/relationships/image" Target="media/image5.png"/><Relationship Id="rId24" Type="http://schemas.openxmlformats.org/officeDocument/2006/relationships/header" Target="header1.xml"/><Relationship Id="rId12" Type="http://schemas.openxmlformats.org/officeDocument/2006/relationships/image" Target="media/image33.pn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15" Type="http://schemas.openxmlformats.org/officeDocument/2006/relationships/image" Target="media/image22.png"/><Relationship Id="rId14" Type="http://schemas.openxmlformats.org/officeDocument/2006/relationships/image" Target="media/image18.png"/><Relationship Id="rId17" Type="http://schemas.openxmlformats.org/officeDocument/2006/relationships/image" Target="media/image15.png"/><Relationship Id="rId16" Type="http://schemas.openxmlformats.org/officeDocument/2006/relationships/image" Target="media/image25.png"/><Relationship Id="rId5" Type="http://schemas.openxmlformats.org/officeDocument/2006/relationships/styles" Target="styles.xml"/><Relationship Id="rId19" Type="http://schemas.openxmlformats.org/officeDocument/2006/relationships/image" Target="media/image21.png"/><Relationship Id="rId6" Type="http://schemas.openxmlformats.org/officeDocument/2006/relationships/image" Target="media/image34.png"/><Relationship Id="rId18" Type="http://schemas.openxmlformats.org/officeDocument/2006/relationships/image" Target="media/image28.png"/><Relationship Id="rId7" Type="http://schemas.openxmlformats.org/officeDocument/2006/relationships/image" Target="media/image31.png"/><Relationship Id="rId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