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074nu82m0k5" w:id="0"/>
      <w:bookmarkEnd w:id="0"/>
      <w:r w:rsidDel="00000000" w:rsidR="00000000" w:rsidRPr="00000000">
        <w:rPr>
          <w:rtl w:val="0"/>
        </w:rPr>
        <w:t xml:space="preserve">03. Nervová buňka jako základ informační soustavy živých systémů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204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Nervová buňka se skládá z těla (soma) a dvou typů výběžků, aferentních </w:t>
      </w:r>
      <w:r w:rsidDel="00000000" w:rsidR="00000000" w:rsidRPr="00000000">
        <w:rPr>
          <w:color w:val="ff0000"/>
          <w:rtl w:val="0"/>
        </w:rPr>
        <w:t xml:space="preserve">dendritů </w:t>
      </w:r>
      <w:r w:rsidDel="00000000" w:rsidR="00000000" w:rsidRPr="00000000">
        <w:rPr>
          <w:rtl w:val="0"/>
        </w:rPr>
        <w:t xml:space="preserve">a eferentních neuritů (</w:t>
      </w:r>
      <w:r w:rsidDel="00000000" w:rsidR="00000000" w:rsidRPr="00000000">
        <w:rPr>
          <w:color w:val="ff0000"/>
          <w:rtl w:val="0"/>
        </w:rPr>
        <w:t xml:space="preserve">axonů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1avbikqzrd8" w:id="1"/>
      <w:bookmarkEnd w:id="1"/>
      <w:r w:rsidDel="00000000" w:rsidR="00000000" w:rsidRPr="00000000">
        <w:rPr>
          <w:rtl w:val="0"/>
        </w:rPr>
        <w:t xml:space="preserve">Tělo (soma)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= je ohraničené plazmatickou membránou, obsahuje receptory a iontové kanály. Tato jeho struktura podmiňuje vznik a šíření vzruchu. Tělo neuronu obsahuje </w:t>
      </w:r>
      <w:r w:rsidDel="00000000" w:rsidR="00000000" w:rsidRPr="00000000">
        <w:rPr>
          <w:color w:val="ff0000"/>
          <w:rtl w:val="0"/>
        </w:rPr>
        <w:t xml:space="preserve">jádro</w:t>
      </w:r>
      <w:r w:rsidDel="00000000" w:rsidR="00000000" w:rsidRPr="00000000">
        <w:rPr>
          <w:rtl w:val="0"/>
        </w:rPr>
        <w:t xml:space="preserve">, Nisslovu substanci (granulární</w:t>
      </w:r>
      <w:r w:rsidDel="00000000" w:rsidR="00000000" w:rsidRPr="00000000">
        <w:rPr>
          <w:color w:val="ff0000"/>
          <w:rtl w:val="0"/>
        </w:rPr>
        <w:t xml:space="preserve"> endoplazmatické retikulum</w:t>
      </w:r>
      <w:r w:rsidDel="00000000" w:rsidR="00000000" w:rsidRPr="00000000">
        <w:rPr>
          <w:rtl w:val="0"/>
        </w:rPr>
        <w:t xml:space="preserve">) a </w:t>
      </w:r>
      <w:r w:rsidDel="00000000" w:rsidR="00000000" w:rsidRPr="00000000">
        <w:rPr>
          <w:color w:val="ff0000"/>
          <w:rtl w:val="0"/>
        </w:rPr>
        <w:t xml:space="preserve">mitochondrie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y9qqyn3rkl4s" w:id="2"/>
      <w:bookmarkEnd w:id="2"/>
      <w:r w:rsidDel="00000000" w:rsidR="00000000" w:rsidRPr="00000000">
        <w:rPr>
          <w:rtl w:val="0"/>
        </w:rPr>
        <w:t xml:space="preserve">Výběžky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yh1axo8h3ep" w:id="3"/>
      <w:bookmarkEnd w:id="3"/>
      <w:r w:rsidDel="00000000" w:rsidR="00000000" w:rsidRPr="00000000">
        <w:rPr>
          <w:rtl w:val="0"/>
        </w:rPr>
        <w:t xml:space="preserve">Dendrity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ff0000"/>
          <w:rtl w:val="0"/>
        </w:rPr>
        <w:t xml:space="preserve"> přijímají vstupní informace</w:t>
      </w:r>
      <w:r w:rsidDel="00000000" w:rsidR="00000000" w:rsidRPr="00000000">
        <w:rPr>
          <w:rtl w:val="0"/>
        </w:rPr>
        <w:t xml:space="preserve"> (současně se jedná i o trofický segment). Většinou jsou </w:t>
      </w:r>
      <w:r w:rsidDel="00000000" w:rsidR="00000000" w:rsidRPr="00000000">
        <w:rPr>
          <w:color w:val="ff0000"/>
          <w:rtl w:val="0"/>
        </w:rPr>
        <w:t xml:space="preserve">krátké, bohatě větvené, rozšířené do dendritických trnů</w:t>
      </w:r>
      <w:r w:rsidDel="00000000" w:rsidR="00000000" w:rsidRPr="00000000">
        <w:rPr>
          <w:rtl w:val="0"/>
        </w:rPr>
        <w:t xml:space="preserve">, které slouží k modulaci postsynaptického potenciálu při jeho přechodu ze synapse na dendrit. Z neurochemického hlediska jsou velmi </w:t>
      </w:r>
      <w:r w:rsidDel="00000000" w:rsidR="00000000" w:rsidRPr="00000000">
        <w:rPr>
          <w:rtl w:val="0"/>
        </w:rPr>
        <w:t xml:space="preserve">bohaté na</w:t>
      </w:r>
      <w:r w:rsidDel="00000000" w:rsidR="00000000" w:rsidRPr="00000000">
        <w:rPr>
          <w:color w:val="ff0000"/>
          <w:rtl w:val="0"/>
        </w:rPr>
        <w:t xml:space="preserve"> chemicky řízené iontové kanály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66nv1gwme1j" w:id="4"/>
      <w:bookmarkEnd w:id="4"/>
      <w:r w:rsidDel="00000000" w:rsidR="00000000" w:rsidRPr="00000000">
        <w:rPr>
          <w:rtl w:val="0"/>
        </w:rPr>
        <w:t xml:space="preserve">Neurity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highlight w:val="white"/>
          <w:rtl w:val="0"/>
        </w:rPr>
        <w:t xml:space="preserve">dlouhé výběžky vedoucí vzruchy</w:t>
      </w:r>
      <w:r w:rsidDel="00000000" w:rsidR="00000000" w:rsidRPr="00000000">
        <w:rPr>
          <w:color w:val="ff0000"/>
          <w:highlight w:val="white"/>
          <w:rtl w:val="0"/>
        </w:rPr>
        <w:t xml:space="preserve"> od těla</w:t>
      </w:r>
      <w:r w:rsidDel="00000000" w:rsidR="00000000" w:rsidRPr="00000000">
        <w:rPr>
          <w:highlight w:val="white"/>
          <w:rtl w:val="0"/>
        </w:rPr>
        <w:t xml:space="preserve"> neuronu (na další neuron nebo efektor), tedy eferentně. Obsahují ribozomy, malé množství mitochondrií a neurotubuly. Z neurochemického hlediska jsou bohaté na </w:t>
      </w:r>
      <w:r w:rsidDel="00000000" w:rsidR="00000000" w:rsidRPr="00000000">
        <w:rPr>
          <w:color w:val="ff0000"/>
          <w:highlight w:val="white"/>
          <w:rtl w:val="0"/>
        </w:rPr>
        <w:t xml:space="preserve">napěťově řízené iontové kanály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j2wclbnj9im" w:id="5"/>
      <w:bookmarkEnd w:id="5"/>
      <w:r w:rsidDel="00000000" w:rsidR="00000000" w:rsidRPr="00000000">
        <w:rPr>
          <w:rtl w:val="0"/>
        </w:rPr>
        <w:t xml:space="preserve">Axon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= Myelinizovaný úsek se vyskytuje po celé délce axonu s výjimkou jeho začátku a terminálního větvení. Má význam pro přenos vzruchu, platí, že čím je axon silnější, tím je přenos rychlejší. V průběhu je myelinová pochva přerušována</w:t>
      </w:r>
      <w:r w:rsidDel="00000000" w:rsidR="00000000" w:rsidRPr="00000000">
        <w:rPr>
          <w:color w:val="ff0000"/>
          <w:rtl w:val="0"/>
        </w:rPr>
        <w:t xml:space="preserve"> Ranvierovými zářezy</w:t>
      </w:r>
      <w:r w:rsidDel="00000000" w:rsidR="00000000" w:rsidRPr="00000000">
        <w:rPr>
          <w:rtl w:val="0"/>
        </w:rPr>
        <w:t xml:space="preserve">, kdy se úseky mezi jednotlivými zářezy nazývají internodia. Rychlost vedení vzruchu je přímo úměrná délce internodií. Konec axonu je silně rozvětvený. Na konci jsou synapse, které slouží k přenosu signálu mezi buňkami, obvykle přeměně přijatého elektrochemického impulzu na informaci ve formě k tomu určených chemických látek.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