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pPr>
      <w:bookmarkStart w:colFirst="0" w:colLast="0" w:name="_16l96kfwp5v" w:id="0"/>
      <w:bookmarkEnd w:id="0"/>
      <w:r w:rsidDel="00000000" w:rsidR="00000000" w:rsidRPr="00000000">
        <w:rPr>
          <w:rtl w:val="0"/>
        </w:rPr>
        <w:t xml:space="preserve">11. Sluch, Zrak</w:t>
      </w:r>
    </w:p>
    <w:p w:rsidR="00000000" w:rsidDel="00000000" w:rsidP="00000000" w:rsidRDefault="00000000" w:rsidRPr="00000000">
      <w:pPr>
        <w:pStyle w:val="Heading1"/>
        <w:contextualSpacing w:val="0"/>
        <w:rPr/>
      </w:pPr>
      <w:bookmarkStart w:colFirst="0" w:colLast="0" w:name="_z1urgd1plhmc" w:id="1"/>
      <w:bookmarkEnd w:id="1"/>
      <w:r w:rsidDel="00000000" w:rsidR="00000000" w:rsidRPr="00000000">
        <w:rPr>
          <w:rtl w:val="0"/>
        </w:rPr>
        <w:t xml:space="preserve">Sluch</w:t>
      </w:r>
    </w:p>
    <w:p w:rsidR="00000000" w:rsidDel="00000000" w:rsidP="00000000" w:rsidRDefault="00000000" w:rsidRPr="00000000">
      <w:pPr>
        <w:contextualSpacing w:val="0"/>
        <w:rPr>
          <w:color w:val="0000ff"/>
        </w:rPr>
      </w:pPr>
      <w:r w:rsidDel="00000000" w:rsidR="00000000" w:rsidRPr="00000000">
        <w:rPr>
          <w:rtl w:val="0"/>
        </w:rPr>
        <w:t xml:space="preserve">= jeden z pěti smyslů, založený na percepci akustických signálů; jeho podstatou je </w:t>
      </w:r>
      <w:r w:rsidDel="00000000" w:rsidR="00000000" w:rsidRPr="00000000">
        <w:rPr>
          <w:color w:val="ff0000"/>
          <w:rtl w:val="0"/>
        </w:rPr>
        <w:t xml:space="preserve">transformace</w:t>
      </w:r>
      <w:r w:rsidDel="00000000" w:rsidR="00000000" w:rsidRPr="00000000">
        <w:rPr>
          <w:color w:val="0000ff"/>
          <w:rtl w:val="0"/>
        </w:rPr>
        <w:t xml:space="preserve"> mechanických zvukových</w:t>
      </w:r>
      <w:r w:rsidDel="00000000" w:rsidR="00000000" w:rsidRPr="00000000">
        <w:rPr>
          <w:rtl w:val="0"/>
        </w:rPr>
        <w:t xml:space="preserve"> vln na </w:t>
      </w:r>
      <w:r w:rsidDel="00000000" w:rsidR="00000000" w:rsidRPr="00000000">
        <w:rPr>
          <w:color w:val="0000ff"/>
          <w:rtl w:val="0"/>
        </w:rPr>
        <w:t xml:space="preserve">elektrické akční potenciály</w:t>
      </w:r>
    </w:p>
    <w:p w:rsidR="00000000" w:rsidDel="00000000" w:rsidP="00000000" w:rsidRDefault="00000000" w:rsidRPr="00000000">
      <w:pPr>
        <w:pStyle w:val="Heading2"/>
        <w:contextualSpacing w:val="0"/>
        <w:rPr/>
      </w:pPr>
      <w:bookmarkStart w:colFirst="0" w:colLast="0" w:name="_l23y7p92kd29" w:id="2"/>
      <w:bookmarkEnd w:id="2"/>
      <w:r w:rsidDel="00000000" w:rsidR="00000000" w:rsidRPr="00000000">
        <w:rPr>
          <w:rtl w:val="0"/>
        </w:rPr>
        <w:t xml:space="preserve">Akustika</w:t>
      </w:r>
    </w:p>
    <w:p w:rsidR="00000000" w:rsidDel="00000000" w:rsidP="00000000" w:rsidRDefault="00000000" w:rsidRPr="00000000">
      <w:pPr>
        <w:numPr>
          <w:ilvl w:val="0"/>
          <w:numId w:val="7"/>
        </w:numPr>
        <w:ind w:left="720" w:hanging="360"/>
        <w:contextualSpacing w:val="1"/>
        <w:rPr>
          <w:u w:val="none"/>
        </w:rPr>
      </w:pPr>
      <w:r w:rsidDel="00000000" w:rsidR="00000000" w:rsidRPr="00000000">
        <w:rPr>
          <w:color w:val="ff0000"/>
          <w:rtl w:val="0"/>
        </w:rPr>
        <w:t xml:space="preserve">zvuk </w:t>
      </w:r>
      <w:r w:rsidDel="00000000" w:rsidR="00000000" w:rsidRPr="00000000">
        <w:rPr>
          <w:rtl w:val="0"/>
        </w:rPr>
        <w:t xml:space="preserve">= mechanické vlnění pružného prostředí ve frekvenčním rozsahu lidského sluchu (16 - 20kHz)</w:t>
      </w:r>
    </w:p>
    <w:p w:rsidR="00000000" w:rsidDel="00000000" w:rsidP="00000000" w:rsidRDefault="00000000" w:rsidRPr="00000000">
      <w:pPr>
        <w:numPr>
          <w:ilvl w:val="0"/>
          <w:numId w:val="7"/>
        </w:numPr>
        <w:ind w:left="720" w:hanging="360"/>
        <w:contextualSpacing w:val="1"/>
        <w:rPr>
          <w:u w:val="none"/>
        </w:rPr>
      </w:pPr>
      <w:r w:rsidDel="00000000" w:rsidR="00000000" w:rsidRPr="00000000">
        <w:rPr>
          <w:color w:val="ff0000"/>
          <w:rtl w:val="0"/>
        </w:rPr>
        <w:t xml:space="preserve">frekvence </w:t>
      </w:r>
      <w:r w:rsidDel="00000000" w:rsidR="00000000" w:rsidRPr="00000000">
        <w:rPr>
          <w:rtl w:val="0"/>
        </w:rPr>
        <w:t xml:space="preserve">(kmitočet, výška) = počet kmitů prostředí za vteřinu; rozsah lidské řeči 100Hz - 8kHz</w:t>
      </w:r>
    </w:p>
    <w:p w:rsidR="00000000" w:rsidDel="00000000" w:rsidP="00000000" w:rsidRDefault="00000000" w:rsidRPr="00000000">
      <w:pPr>
        <w:numPr>
          <w:ilvl w:val="0"/>
          <w:numId w:val="7"/>
        </w:numPr>
        <w:ind w:left="720" w:hanging="360"/>
        <w:contextualSpacing w:val="1"/>
        <w:rPr>
          <w:u w:val="none"/>
        </w:rPr>
      </w:pPr>
      <w:r w:rsidDel="00000000" w:rsidR="00000000" w:rsidRPr="00000000">
        <w:rPr>
          <w:color w:val="ff0000"/>
          <w:rtl w:val="0"/>
        </w:rPr>
        <w:t xml:space="preserve">rychlost zvuku</w:t>
      </w:r>
      <w:r w:rsidDel="00000000" w:rsidR="00000000" w:rsidRPr="00000000">
        <w:rPr>
          <w:rtl w:val="0"/>
        </w:rPr>
        <w:t xml:space="preserve"> = závisí na charakteru prostředí, kterým zvuková vlna prochází; při 20</w:t>
      </w:r>
      <w:r w:rsidDel="00000000" w:rsidR="00000000" w:rsidRPr="00000000">
        <w:rPr>
          <w:color w:val="222222"/>
          <w:sz w:val="24"/>
          <w:szCs w:val="24"/>
          <w:highlight w:val="white"/>
          <w:rtl w:val="0"/>
        </w:rPr>
        <w:t xml:space="preserve">°C činí ve vzdušném prostředí 433m/s</w:t>
      </w:r>
    </w:p>
    <w:p w:rsidR="00000000" w:rsidDel="00000000" w:rsidP="00000000" w:rsidRDefault="00000000" w:rsidRPr="00000000">
      <w:pPr>
        <w:numPr>
          <w:ilvl w:val="0"/>
          <w:numId w:val="7"/>
        </w:numPr>
        <w:ind w:left="720" w:hanging="360"/>
        <w:contextualSpacing w:val="1"/>
        <w:rPr>
          <w:color w:val="222222"/>
          <w:sz w:val="24"/>
          <w:szCs w:val="24"/>
          <w:highlight w:val="white"/>
          <w:u w:val="none"/>
        </w:rPr>
      </w:pPr>
      <w:r w:rsidDel="00000000" w:rsidR="00000000" w:rsidRPr="00000000">
        <w:rPr>
          <w:color w:val="ff0000"/>
          <w:sz w:val="24"/>
          <w:szCs w:val="24"/>
          <w:highlight w:val="white"/>
          <w:rtl w:val="0"/>
        </w:rPr>
        <w:t xml:space="preserve">vlnová délka</w:t>
      </w:r>
      <w:r w:rsidDel="00000000" w:rsidR="00000000" w:rsidRPr="00000000">
        <w:rPr>
          <w:color w:val="222222"/>
          <w:sz w:val="24"/>
          <w:szCs w:val="24"/>
          <w:highlight w:val="white"/>
          <w:rtl w:val="0"/>
        </w:rPr>
        <w:t xml:space="preserve"> = vzdálenost mezi dvěma vrcholy zvukových vln; v metrech [m]</w:t>
      </w:r>
    </w:p>
    <w:p w:rsidR="00000000" w:rsidDel="00000000" w:rsidP="00000000" w:rsidRDefault="00000000" w:rsidRPr="00000000">
      <w:pPr>
        <w:numPr>
          <w:ilvl w:val="0"/>
          <w:numId w:val="7"/>
        </w:numPr>
        <w:ind w:left="720" w:hanging="360"/>
        <w:contextualSpacing w:val="1"/>
        <w:rPr>
          <w:color w:val="222222"/>
          <w:sz w:val="24"/>
          <w:szCs w:val="24"/>
          <w:highlight w:val="white"/>
          <w:u w:val="none"/>
        </w:rPr>
      </w:pPr>
      <w:r w:rsidDel="00000000" w:rsidR="00000000" w:rsidRPr="00000000">
        <w:rPr>
          <w:color w:val="ff0000"/>
          <w:sz w:val="24"/>
          <w:szCs w:val="24"/>
          <w:highlight w:val="white"/>
          <w:rtl w:val="0"/>
        </w:rPr>
        <w:t xml:space="preserve">akustický tlak</w:t>
      </w:r>
      <w:r w:rsidDel="00000000" w:rsidR="00000000" w:rsidRPr="00000000">
        <w:rPr>
          <w:color w:val="222222"/>
          <w:sz w:val="24"/>
          <w:szCs w:val="24"/>
          <w:highlight w:val="white"/>
          <w:rtl w:val="0"/>
        </w:rPr>
        <w:t xml:space="preserve"> = změny tlaku prostředí způsobené akustickou vlnou; v pascalech [Pa]</w:t>
      </w:r>
    </w:p>
    <w:p w:rsidR="00000000" w:rsidDel="00000000" w:rsidP="00000000" w:rsidRDefault="00000000" w:rsidRPr="00000000">
      <w:pPr>
        <w:numPr>
          <w:ilvl w:val="0"/>
          <w:numId w:val="7"/>
        </w:numPr>
        <w:ind w:left="720" w:hanging="360"/>
        <w:contextualSpacing w:val="1"/>
        <w:rPr>
          <w:color w:val="222222"/>
          <w:sz w:val="24"/>
          <w:szCs w:val="24"/>
          <w:highlight w:val="white"/>
          <w:u w:val="none"/>
        </w:rPr>
      </w:pPr>
      <w:r w:rsidDel="00000000" w:rsidR="00000000" w:rsidRPr="00000000">
        <w:rPr>
          <w:color w:val="ff0000"/>
          <w:sz w:val="24"/>
          <w:szCs w:val="24"/>
          <w:highlight w:val="white"/>
          <w:rtl w:val="0"/>
        </w:rPr>
        <w:t xml:space="preserve">intenzita zvuku</w:t>
      </w:r>
      <w:r w:rsidDel="00000000" w:rsidR="00000000" w:rsidRPr="00000000">
        <w:rPr>
          <w:color w:val="222222"/>
          <w:sz w:val="24"/>
          <w:szCs w:val="24"/>
          <w:highlight w:val="white"/>
          <w:rtl w:val="0"/>
        </w:rPr>
        <w:t xml:space="preserve"> (hladina intenzity) = množství akustické energie, která projde určitou plochou ve směru kolmém na šíření zvuku; v decibelech [dB]</w:t>
      </w:r>
    </w:p>
    <w:p w:rsidR="00000000" w:rsidDel="00000000" w:rsidP="00000000" w:rsidRDefault="00000000" w:rsidRPr="00000000">
      <w:pPr>
        <w:numPr>
          <w:ilvl w:val="0"/>
          <w:numId w:val="7"/>
        </w:numPr>
        <w:ind w:left="720" w:hanging="360"/>
        <w:contextualSpacing w:val="1"/>
        <w:rPr>
          <w:color w:val="222222"/>
          <w:sz w:val="24"/>
          <w:szCs w:val="24"/>
          <w:highlight w:val="white"/>
          <w:u w:val="none"/>
        </w:rPr>
      </w:pPr>
      <w:r w:rsidDel="00000000" w:rsidR="00000000" w:rsidRPr="00000000">
        <w:rPr>
          <w:color w:val="ff0000"/>
          <w:sz w:val="24"/>
          <w:szCs w:val="24"/>
          <w:highlight w:val="white"/>
          <w:rtl w:val="0"/>
        </w:rPr>
        <w:t xml:space="preserve">hlasitost </w:t>
      </w:r>
      <w:r w:rsidDel="00000000" w:rsidR="00000000" w:rsidRPr="00000000">
        <w:rPr>
          <w:color w:val="222222"/>
          <w:sz w:val="24"/>
          <w:szCs w:val="24"/>
          <w:highlight w:val="white"/>
          <w:rtl w:val="0"/>
        </w:rPr>
        <w:t xml:space="preserve">= subjektivní vjem, který vyvolá určitá intenzita zvuku; ve fonech [Ph]; vjem hlastosti není u všech tónů stejný; u frekvencí pod 1kHz a nad 4kH je třeba vyšší intenzity, abychom vnímali tón stejně hlasitě jako u frekvencí mezi 1 - 4kHz</w:t>
      </w:r>
    </w:p>
    <w:p w:rsidR="00000000" w:rsidDel="00000000" w:rsidP="00000000" w:rsidRDefault="00000000" w:rsidRPr="00000000">
      <w:pPr>
        <w:contextualSpacing w:val="0"/>
        <w:rPr>
          <w:color w:val="222222"/>
          <w:sz w:val="24"/>
          <w:szCs w:val="24"/>
          <w:highlight w:val="white"/>
        </w:rPr>
      </w:pPr>
      <w:r w:rsidDel="00000000" w:rsidR="00000000" w:rsidRPr="00000000">
        <w:rPr>
          <w:color w:val="ff0000"/>
          <w:sz w:val="24"/>
          <w:szCs w:val="24"/>
          <w:highlight w:val="white"/>
          <w:rtl w:val="0"/>
        </w:rPr>
        <w:t xml:space="preserve">sluchový práh </w:t>
      </w:r>
      <w:r w:rsidDel="00000000" w:rsidR="00000000" w:rsidRPr="00000000">
        <w:rPr>
          <w:color w:val="222222"/>
          <w:sz w:val="24"/>
          <w:szCs w:val="24"/>
          <w:highlight w:val="white"/>
          <w:rtl w:val="0"/>
        </w:rPr>
        <w:t xml:space="preserve">= akustický tlak, který právě ještě vyvolá sluchový vjem</w:t>
      </w:r>
    </w:p>
    <w:p w:rsidR="00000000" w:rsidDel="00000000" w:rsidP="00000000" w:rsidRDefault="00000000" w:rsidRPr="00000000">
      <w:pPr>
        <w:pStyle w:val="Heading2"/>
        <w:contextualSpacing w:val="0"/>
        <w:rPr/>
      </w:pPr>
      <w:bookmarkStart w:colFirst="0" w:colLast="0" w:name="_k9ep45wgd8ng" w:id="3"/>
      <w:bookmarkEnd w:id="3"/>
      <w:r w:rsidDel="00000000" w:rsidR="00000000" w:rsidRPr="00000000">
        <w:rPr>
          <w:rtl w:val="0"/>
        </w:rPr>
        <w:t xml:space="preserve">Ucho</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4305300"/>
            <wp:effectExtent b="0" l="0" r="0" t="0"/>
            <wp:docPr id="7"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5734050" cy="43053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rPr/>
      </w:pPr>
      <w:bookmarkStart w:colFirst="0" w:colLast="0" w:name="_66j7tk2b9jp4" w:id="4"/>
      <w:bookmarkEnd w:id="4"/>
      <w:r w:rsidDel="00000000" w:rsidR="00000000" w:rsidRPr="00000000">
        <w:rPr>
          <w:rtl w:val="0"/>
        </w:rPr>
        <w:t xml:space="preserve">Střední ucho</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5397500"/>
            <wp:effectExtent b="0" l="0" r="0" t="0"/>
            <wp:docPr id="6" name="image13.png"/>
            <a:graphic>
              <a:graphicData uri="http://schemas.openxmlformats.org/drawingml/2006/picture">
                <pic:pic>
                  <pic:nvPicPr>
                    <pic:cNvPr id="0" name="image13.png"/>
                    <pic:cNvPicPr preferRelativeResize="0"/>
                  </pic:nvPicPr>
                  <pic:blipFill>
                    <a:blip r:embed="rId7"/>
                    <a:srcRect b="0" l="69" r="69" t="0"/>
                    <a:stretch>
                      <a:fillRect/>
                    </a:stretch>
                  </pic:blipFill>
                  <pic:spPr>
                    <a:xfrm>
                      <a:off x="0" y="0"/>
                      <a:ext cx="5734050" cy="5397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Kladívko je připojeno k bubínku, kloubně spojeno s kovadlinkou a ta zase s třmínkem, jehož stupátko přiklápí a odklápí fenestra ovalis do prostoru vnitřního ucha</w:t>
      </w:r>
    </w:p>
    <w:p w:rsidR="00000000" w:rsidDel="00000000" w:rsidP="00000000" w:rsidRDefault="00000000" w:rsidRPr="00000000">
      <w:pPr>
        <w:pStyle w:val="Heading3"/>
        <w:contextualSpacing w:val="0"/>
        <w:rPr/>
      </w:pPr>
      <w:bookmarkStart w:colFirst="0" w:colLast="0" w:name="_3fyxyllx184u" w:id="5"/>
      <w:bookmarkEnd w:id="5"/>
      <w:r w:rsidDel="00000000" w:rsidR="00000000" w:rsidRPr="00000000">
        <w:rPr>
          <w:rtl w:val="0"/>
        </w:rPr>
        <w:t xml:space="preserve">Princip</w:t>
      </w:r>
    </w:p>
    <w:p w:rsidR="00000000" w:rsidDel="00000000" w:rsidP="00000000" w:rsidRDefault="00000000" w:rsidRPr="00000000">
      <w:pPr>
        <w:contextualSpacing w:val="0"/>
        <w:rPr/>
      </w:pPr>
      <w:r w:rsidDel="00000000" w:rsidR="00000000" w:rsidRPr="00000000">
        <w:rPr>
          <w:rtl w:val="0"/>
        </w:rPr>
        <w:t xml:space="preserve">Sluchové kůstky působý jako </w:t>
      </w:r>
      <w:r w:rsidDel="00000000" w:rsidR="00000000" w:rsidRPr="00000000">
        <w:rPr>
          <w:color w:val="ff0000"/>
          <w:rtl w:val="0"/>
        </w:rPr>
        <w:t xml:space="preserve">pákový systém</w:t>
      </w:r>
      <w:r w:rsidDel="00000000" w:rsidR="00000000" w:rsidRPr="00000000">
        <w:rPr>
          <w:rtl w:val="0"/>
        </w:rPr>
        <w:t xml:space="preserve">, jenž přenáší vybrace bubínku na pohyby stupátka třmínku proti fenestra ovalis. Jelikož přechodem ze středního do vnitřního ucha se změní prostředí, kudy vlna prochází, z plynného (ve středouší) na kapalné (v hlemýždi středního ucha), přičemž kapalné prostředí vyvíjí zvukové vlně mnohem větší odpor, je třeba zvýšit tlak, jímž zvuková vlna vtrhne do vnitřního ucha. To se děje mechanickou úpravou vzduchu:</w:t>
      </w:r>
    </w:p>
    <w:p w:rsidR="00000000" w:rsidDel="00000000" w:rsidP="00000000" w:rsidRDefault="00000000" w:rsidRPr="00000000">
      <w:pPr>
        <w:numPr>
          <w:ilvl w:val="0"/>
          <w:numId w:val="4"/>
        </w:numPr>
        <w:ind w:left="720" w:hanging="360"/>
        <w:contextualSpacing w:val="1"/>
        <w:rPr>
          <w:u w:val="none"/>
        </w:rPr>
      </w:pPr>
      <w:r w:rsidDel="00000000" w:rsidR="00000000" w:rsidRPr="00000000">
        <w:rPr>
          <w:color w:val="ff0000"/>
          <w:rtl w:val="0"/>
        </w:rPr>
        <w:t xml:space="preserve">poměrem plochy bubínku</w:t>
      </w:r>
      <w:r w:rsidDel="00000000" w:rsidR="00000000" w:rsidRPr="00000000">
        <w:rPr>
          <w:rtl w:val="0"/>
        </w:rPr>
        <w:t xml:space="preserve"> (velká plocha) a fenestra ovalis (malinká ploška)</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nerovnorameností pák sluchových kůstek</w:t>
      </w:r>
    </w:p>
    <w:p w:rsidR="00000000" w:rsidDel="00000000" w:rsidP="00000000" w:rsidRDefault="00000000" w:rsidRPr="00000000">
      <w:pPr>
        <w:contextualSpacing w:val="0"/>
        <w:rPr/>
      </w:pPr>
      <w:r w:rsidDel="00000000" w:rsidR="00000000" w:rsidRPr="00000000">
        <w:rPr>
          <w:rtl w:val="0"/>
        </w:rPr>
        <w:t xml:space="preserve">Následkem toho se tlak zvukový vlny zvýší (asi 22x) a amplituda sníží</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Eustachova trubice - u dětí je kratší a leží téměř horizontálně → častá příčina zánětů středního ucha</w:t>
      </w:r>
    </w:p>
    <w:p w:rsidR="00000000" w:rsidDel="00000000" w:rsidP="00000000" w:rsidRDefault="00000000" w:rsidRPr="00000000">
      <w:pPr>
        <w:pStyle w:val="Heading3"/>
        <w:contextualSpacing w:val="0"/>
        <w:rPr/>
      </w:pPr>
      <w:bookmarkStart w:colFirst="0" w:colLast="0" w:name="_xysxrlgsksyj" w:id="6"/>
      <w:bookmarkEnd w:id="6"/>
      <w:r w:rsidDel="00000000" w:rsidR="00000000" w:rsidRPr="00000000">
        <w:rPr>
          <w:rtl w:val="0"/>
        </w:rPr>
        <w:t xml:space="preserve">Myringotomie</w:t>
      </w:r>
    </w:p>
    <w:p w:rsidR="00000000" w:rsidDel="00000000" w:rsidP="00000000" w:rsidRDefault="00000000" w:rsidRPr="00000000">
      <w:pPr>
        <w:contextualSpacing w:val="0"/>
        <w:rPr/>
      </w:pPr>
      <w:r w:rsidDel="00000000" w:rsidR="00000000" w:rsidRPr="00000000">
        <w:rPr>
          <w:rtl w:val="0"/>
        </w:rPr>
        <w:t xml:space="preserve">Při zánětu středního ucha se provede malá incise bubínku (píchne se do něj) → hnis vyteče ven</w:t>
      </w:r>
      <w:r w:rsidDel="00000000" w:rsidR="00000000" w:rsidRPr="00000000">
        <w:rPr>
          <w:rtl w:val="0"/>
        </w:rPr>
      </w:r>
    </w:p>
    <w:p w:rsidR="00000000" w:rsidDel="00000000" w:rsidP="00000000" w:rsidRDefault="00000000" w:rsidRPr="00000000">
      <w:pPr>
        <w:pStyle w:val="Heading2"/>
        <w:contextualSpacing w:val="0"/>
        <w:rPr/>
      </w:pPr>
      <w:bookmarkStart w:colFirst="0" w:colLast="0" w:name="_6pzelrgz6cd7" w:id="7"/>
      <w:bookmarkEnd w:id="7"/>
      <w:r w:rsidDel="00000000" w:rsidR="00000000" w:rsidRPr="00000000">
        <w:rPr>
          <w:rtl w:val="0"/>
        </w:rPr>
        <w:t xml:space="preserve">Vedení zvuku</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kostní vedení - když si přiložím zdroj zvuku na kost kolem ucha, tak něco uslyším</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vzdušné vedení - ossikulární</w:t>
      </w:r>
    </w:p>
    <w:p w:rsidR="00000000" w:rsidDel="00000000" w:rsidP="00000000" w:rsidRDefault="00000000" w:rsidRPr="00000000">
      <w:pPr>
        <w:pStyle w:val="Heading2"/>
        <w:contextualSpacing w:val="0"/>
        <w:rPr/>
      </w:pPr>
      <w:bookmarkStart w:colFirst="0" w:colLast="0" w:name="_sculwjpuhu3q" w:id="8"/>
      <w:bookmarkEnd w:id="8"/>
      <w:r w:rsidDel="00000000" w:rsidR="00000000" w:rsidRPr="00000000">
        <w:rPr>
          <w:rtl w:val="0"/>
        </w:rPr>
        <w:t xml:space="preserve">Poruchy sluchu, hluchota</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převodní porucha = překážka v zevním nebo středním uchu</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ucpání zevního zvukovodu, perforace bubínku, zánět</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percepční porucha = poškození vnitřního ucha, nebo sluchového nervu</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nádory, poškození nervu ototoxickými antibiotiky</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presbyakusie = staředká nedoslýchavost - ubývá vláskových buněk s věkem</w:t>
      </w:r>
    </w:p>
    <w:p w:rsidR="00000000" w:rsidDel="00000000" w:rsidP="00000000" w:rsidRDefault="00000000" w:rsidRPr="00000000">
      <w:pPr>
        <w:pStyle w:val="Heading2"/>
        <w:contextualSpacing w:val="0"/>
        <w:rPr/>
      </w:pPr>
      <w:bookmarkStart w:colFirst="0" w:colLast="0" w:name="_kf8h2054bqle" w:id="9"/>
      <w:bookmarkEnd w:id="9"/>
      <w:r w:rsidDel="00000000" w:rsidR="00000000" w:rsidRPr="00000000">
        <w:rPr>
          <w:rtl w:val="0"/>
        </w:rPr>
        <w:t xml:space="preserve">Ladičkové zkoušky</w:t>
      </w:r>
    </w:p>
    <w:p w:rsidR="00000000" w:rsidDel="00000000" w:rsidP="00000000" w:rsidRDefault="00000000" w:rsidRPr="00000000">
      <w:pPr>
        <w:contextualSpacing w:val="0"/>
        <w:rPr/>
      </w:pPr>
      <w:r w:rsidDel="00000000" w:rsidR="00000000" w:rsidRPr="00000000">
        <w:rPr>
          <w:rtl w:val="0"/>
        </w:rPr>
        <w:t xml:space="preserve">= vyšetření sluchu</w:t>
      </w:r>
    </w:p>
    <w:p w:rsidR="00000000" w:rsidDel="00000000" w:rsidP="00000000" w:rsidRDefault="00000000" w:rsidRPr="00000000">
      <w:pPr>
        <w:numPr>
          <w:ilvl w:val="0"/>
          <w:numId w:val="17"/>
        </w:numPr>
        <w:ind w:left="720" w:hanging="360"/>
        <w:contextualSpacing w:val="1"/>
        <w:rPr>
          <w:u w:val="none"/>
        </w:rPr>
      </w:pPr>
      <w:r w:rsidDel="00000000" w:rsidR="00000000" w:rsidRPr="00000000">
        <w:rPr>
          <w:color w:val="ff0000"/>
          <w:rtl w:val="0"/>
        </w:rPr>
        <w:t xml:space="preserve">Weberova zkoušk</w:t>
      </w:r>
      <w:r w:rsidDel="00000000" w:rsidR="00000000" w:rsidRPr="00000000">
        <w:rPr>
          <w:rtl w:val="0"/>
        </w:rPr>
        <w:t xml:space="preserve">a (lateralizační) - patka rozezvučené ladičky se přiloží na temeno hlavy (prostě na hlavu), vnímáme vzukový vjem v obou uších; za normálních okolností je intenzita zvukového vjemu v obou uších stejná</w:t>
      </w:r>
    </w:p>
    <w:p w:rsidR="00000000" w:rsidDel="00000000" w:rsidP="00000000" w:rsidRDefault="00000000" w:rsidRPr="00000000">
      <w:pPr>
        <w:numPr>
          <w:ilvl w:val="1"/>
          <w:numId w:val="17"/>
        </w:numPr>
        <w:ind w:left="1440" w:hanging="360"/>
        <w:contextualSpacing w:val="1"/>
        <w:rPr>
          <w:u w:val="none"/>
        </w:rPr>
      </w:pPr>
      <w:r w:rsidDel="00000000" w:rsidR="00000000" w:rsidRPr="00000000">
        <w:rPr>
          <w:color w:val="0000ff"/>
          <w:rtl w:val="0"/>
        </w:rPr>
        <w:t xml:space="preserve">převodní jednostranná porucha</w:t>
      </w:r>
      <w:r w:rsidDel="00000000" w:rsidR="00000000" w:rsidRPr="00000000">
        <w:rPr>
          <w:rtl w:val="0"/>
        </w:rPr>
        <w:t xml:space="preserve"> - </w:t>
      </w:r>
      <w:r w:rsidDel="00000000" w:rsidR="00000000" w:rsidRPr="00000000">
        <w:rPr>
          <w:color w:val="ff0000"/>
          <w:rtl w:val="0"/>
        </w:rPr>
        <w:t xml:space="preserve">postižené </w:t>
      </w:r>
      <w:r w:rsidDel="00000000" w:rsidR="00000000" w:rsidRPr="00000000">
        <w:rPr>
          <w:rtl w:val="0"/>
        </w:rPr>
        <w:t xml:space="preserve">ucho slyší </w:t>
      </w:r>
      <w:r w:rsidDel="00000000" w:rsidR="00000000" w:rsidRPr="00000000">
        <w:rPr>
          <w:color w:val="ff0000"/>
          <w:rtl w:val="0"/>
        </w:rPr>
        <w:t xml:space="preserve">lépe</w:t>
      </w:r>
    </w:p>
    <w:p w:rsidR="00000000" w:rsidDel="00000000" w:rsidP="00000000" w:rsidRDefault="00000000" w:rsidRPr="00000000">
      <w:pPr>
        <w:numPr>
          <w:ilvl w:val="1"/>
          <w:numId w:val="17"/>
        </w:numPr>
        <w:ind w:left="1440" w:hanging="360"/>
        <w:contextualSpacing w:val="1"/>
        <w:rPr>
          <w:u w:val="none"/>
        </w:rPr>
      </w:pPr>
      <w:r w:rsidDel="00000000" w:rsidR="00000000" w:rsidRPr="00000000">
        <w:rPr>
          <w:color w:val="0000ff"/>
          <w:rtl w:val="0"/>
        </w:rPr>
        <w:t xml:space="preserve">percepční jednostranná porucha</w:t>
      </w:r>
      <w:r w:rsidDel="00000000" w:rsidR="00000000" w:rsidRPr="00000000">
        <w:rPr>
          <w:rtl w:val="0"/>
        </w:rPr>
        <w:t xml:space="preserve"> - </w:t>
      </w:r>
      <w:r w:rsidDel="00000000" w:rsidR="00000000" w:rsidRPr="00000000">
        <w:rPr>
          <w:color w:val="ff0000"/>
          <w:rtl w:val="0"/>
        </w:rPr>
        <w:t xml:space="preserve">zdravé </w:t>
      </w:r>
      <w:r w:rsidDel="00000000" w:rsidR="00000000" w:rsidRPr="00000000">
        <w:rPr>
          <w:rtl w:val="0"/>
        </w:rPr>
        <w:t xml:space="preserve">ucho slyší </w:t>
      </w:r>
      <w:r w:rsidDel="00000000" w:rsidR="00000000" w:rsidRPr="00000000">
        <w:rPr>
          <w:color w:val="ff0000"/>
          <w:rtl w:val="0"/>
        </w:rPr>
        <w:t xml:space="preserve">lépe </w:t>
      </w:r>
      <w:r w:rsidDel="00000000" w:rsidR="00000000" w:rsidRPr="00000000">
        <w:rPr>
          <w:rtl w:val="0"/>
        </w:rPr>
        <w:t xml:space="preserve">- lateralizace vjemu</w:t>
      </w:r>
    </w:p>
    <w:p w:rsidR="00000000" w:rsidDel="00000000" w:rsidP="00000000" w:rsidRDefault="00000000" w:rsidRPr="00000000">
      <w:pPr>
        <w:numPr>
          <w:ilvl w:val="0"/>
          <w:numId w:val="17"/>
        </w:numPr>
        <w:ind w:left="720" w:hanging="360"/>
        <w:contextualSpacing w:val="1"/>
        <w:rPr>
          <w:u w:val="none"/>
        </w:rPr>
      </w:pPr>
      <w:r w:rsidDel="00000000" w:rsidR="00000000" w:rsidRPr="00000000">
        <w:rPr>
          <w:color w:val="ff0000"/>
          <w:rtl w:val="0"/>
        </w:rPr>
        <w:t xml:space="preserve">Rinneho zkouška</w:t>
      </w:r>
      <w:r w:rsidDel="00000000" w:rsidR="00000000" w:rsidRPr="00000000">
        <w:rPr>
          <w:rtl w:val="0"/>
        </w:rPr>
        <w:t xml:space="preserve"> - porovnává dobu, pro kterou vyšetřovaný slyší zvuk rozezvučené ladičky pri kostním vedení a vzdušném vedení</w:t>
      </w:r>
    </w:p>
    <w:p w:rsidR="00000000" w:rsidDel="00000000" w:rsidP="00000000" w:rsidRDefault="00000000" w:rsidRPr="00000000">
      <w:pPr>
        <w:numPr>
          <w:ilvl w:val="1"/>
          <w:numId w:val="17"/>
        </w:numPr>
        <w:ind w:left="1440" w:hanging="360"/>
        <w:contextualSpacing w:val="1"/>
        <w:rPr>
          <w:u w:val="none"/>
        </w:rPr>
      </w:pPr>
      <w:r w:rsidDel="00000000" w:rsidR="00000000" w:rsidRPr="00000000">
        <w:rPr>
          <w:color w:val="0000ff"/>
          <w:rtl w:val="0"/>
        </w:rPr>
        <w:t xml:space="preserve">pozitivní zkouška</w:t>
      </w:r>
      <w:r w:rsidDel="00000000" w:rsidR="00000000" w:rsidRPr="00000000">
        <w:rPr>
          <w:rtl w:val="0"/>
        </w:rPr>
        <w:t xml:space="preserve"> - slyšení </w:t>
      </w:r>
      <w:r w:rsidDel="00000000" w:rsidR="00000000" w:rsidRPr="00000000">
        <w:rPr>
          <w:color w:val="ff0000"/>
          <w:rtl w:val="0"/>
        </w:rPr>
        <w:t xml:space="preserve">vzdušným </w:t>
      </w:r>
      <w:r w:rsidDel="00000000" w:rsidR="00000000" w:rsidRPr="00000000">
        <w:rPr>
          <w:rtl w:val="0"/>
        </w:rPr>
        <w:t xml:space="preserve">vedením je 2x </w:t>
      </w:r>
      <w:r w:rsidDel="00000000" w:rsidR="00000000" w:rsidRPr="00000000">
        <w:rPr>
          <w:color w:val="ff0000"/>
          <w:rtl w:val="0"/>
        </w:rPr>
        <w:t xml:space="preserve">delší </w:t>
      </w:r>
      <w:r w:rsidDel="00000000" w:rsidR="00000000" w:rsidRPr="00000000">
        <w:rPr>
          <w:rtl w:val="0"/>
        </w:rPr>
        <w:t xml:space="preserve">než slyšení </w:t>
      </w:r>
      <w:r w:rsidDel="00000000" w:rsidR="00000000" w:rsidRPr="00000000">
        <w:rPr>
          <w:color w:val="ff0000"/>
          <w:rtl w:val="0"/>
        </w:rPr>
        <w:t xml:space="preserve">kostním </w:t>
      </w:r>
      <w:r w:rsidDel="00000000" w:rsidR="00000000" w:rsidRPr="00000000">
        <w:rPr>
          <w:rtl w:val="0"/>
        </w:rPr>
        <w:t xml:space="preserve">vedením</w:t>
      </w:r>
    </w:p>
    <w:p w:rsidR="00000000" w:rsidDel="00000000" w:rsidP="00000000" w:rsidRDefault="00000000" w:rsidRPr="00000000">
      <w:pPr>
        <w:numPr>
          <w:ilvl w:val="1"/>
          <w:numId w:val="17"/>
        </w:numPr>
        <w:ind w:left="1440" w:hanging="360"/>
        <w:contextualSpacing w:val="1"/>
        <w:rPr>
          <w:u w:val="none"/>
        </w:rPr>
      </w:pPr>
      <w:r w:rsidDel="00000000" w:rsidR="00000000" w:rsidRPr="00000000">
        <w:rPr>
          <w:color w:val="0000ff"/>
          <w:rtl w:val="0"/>
        </w:rPr>
        <w:t xml:space="preserve">negativní zkouška</w:t>
      </w:r>
      <w:r w:rsidDel="00000000" w:rsidR="00000000" w:rsidRPr="00000000">
        <w:rPr>
          <w:rtl w:val="0"/>
        </w:rPr>
        <w:t xml:space="preserve"> - vnímání zvuku </w:t>
      </w:r>
      <w:r w:rsidDel="00000000" w:rsidR="00000000" w:rsidRPr="00000000">
        <w:rPr>
          <w:color w:val="ff0000"/>
          <w:rtl w:val="0"/>
        </w:rPr>
        <w:t xml:space="preserve">kostním </w:t>
      </w:r>
      <w:r w:rsidDel="00000000" w:rsidR="00000000" w:rsidRPr="00000000">
        <w:rPr>
          <w:rtl w:val="0"/>
        </w:rPr>
        <w:t xml:space="preserve">vedením trvá </w:t>
      </w:r>
      <w:r w:rsidDel="00000000" w:rsidR="00000000" w:rsidRPr="00000000">
        <w:rPr>
          <w:color w:val="ff0000"/>
          <w:rtl w:val="0"/>
        </w:rPr>
        <w:t xml:space="preserve">déle </w:t>
      </w:r>
      <w:r w:rsidDel="00000000" w:rsidR="00000000" w:rsidRPr="00000000">
        <w:rPr>
          <w:rtl w:val="0"/>
        </w:rPr>
        <w:t xml:space="preserve">nežli vedení </w:t>
      </w:r>
      <w:r w:rsidDel="00000000" w:rsidR="00000000" w:rsidRPr="00000000">
        <w:rPr>
          <w:color w:val="ff0000"/>
          <w:rtl w:val="0"/>
        </w:rPr>
        <w:t xml:space="preserve">vzdušnou </w:t>
      </w:r>
      <w:r w:rsidDel="00000000" w:rsidR="00000000" w:rsidRPr="00000000">
        <w:rPr>
          <w:rtl w:val="0"/>
        </w:rPr>
        <w:t xml:space="preserve">cestou</w:t>
      </w:r>
    </w:p>
    <w:p w:rsidR="00000000" w:rsidDel="00000000" w:rsidP="00000000" w:rsidRDefault="00000000" w:rsidRPr="00000000">
      <w:pPr>
        <w:numPr>
          <w:ilvl w:val="0"/>
          <w:numId w:val="17"/>
        </w:numPr>
        <w:ind w:left="720" w:hanging="360"/>
        <w:contextualSpacing w:val="1"/>
        <w:rPr>
          <w:u w:val="none"/>
        </w:rPr>
      </w:pPr>
      <w:r w:rsidDel="00000000" w:rsidR="00000000" w:rsidRPr="00000000">
        <w:rPr>
          <w:color w:val="ff0000"/>
          <w:rtl w:val="0"/>
        </w:rPr>
        <w:t xml:space="preserve">Schvabachova zkouška</w:t>
      </w:r>
      <w:r w:rsidDel="00000000" w:rsidR="00000000" w:rsidRPr="00000000">
        <w:rPr>
          <w:rtl w:val="0"/>
        </w:rPr>
        <w:t xml:space="preserve"> - porovnává, jak dlouho trvá vjem zvuku cestou kostního vedení u pacienta a vyšetřujícího</w:t>
      </w:r>
    </w:p>
    <w:p w:rsidR="00000000" w:rsidDel="00000000" w:rsidP="00000000" w:rsidRDefault="00000000" w:rsidRPr="00000000">
      <w:pPr>
        <w:numPr>
          <w:ilvl w:val="1"/>
          <w:numId w:val="17"/>
        </w:numPr>
        <w:ind w:left="1440" w:hanging="360"/>
        <w:contextualSpacing w:val="1"/>
        <w:rPr/>
      </w:pPr>
      <w:r w:rsidDel="00000000" w:rsidR="00000000" w:rsidRPr="00000000">
        <w:rPr>
          <w:color w:val="0000ff"/>
          <w:rtl w:val="0"/>
        </w:rPr>
        <w:t xml:space="preserve">převodní jednostranná porucha</w:t>
      </w:r>
      <w:r w:rsidDel="00000000" w:rsidR="00000000" w:rsidRPr="00000000">
        <w:rPr>
          <w:rtl w:val="0"/>
        </w:rPr>
        <w:t xml:space="preserve"> -</w:t>
      </w:r>
      <w:r w:rsidDel="00000000" w:rsidR="00000000" w:rsidRPr="00000000">
        <w:rPr>
          <w:color w:val="ff0000"/>
          <w:rtl w:val="0"/>
        </w:rPr>
        <w:t xml:space="preserve"> kostní vedení</w:t>
      </w:r>
      <w:r w:rsidDel="00000000" w:rsidR="00000000" w:rsidRPr="00000000">
        <w:rPr>
          <w:rtl w:val="0"/>
        </w:rPr>
        <w:t xml:space="preserve"> je u pacienta </w:t>
      </w:r>
      <w:r w:rsidDel="00000000" w:rsidR="00000000" w:rsidRPr="00000000">
        <w:rPr>
          <w:color w:val="ff0000"/>
          <w:rtl w:val="0"/>
        </w:rPr>
        <w:t xml:space="preserve">prodloužené</w:t>
      </w:r>
    </w:p>
    <w:p w:rsidR="00000000" w:rsidDel="00000000" w:rsidP="00000000" w:rsidRDefault="00000000" w:rsidRPr="00000000">
      <w:pPr>
        <w:numPr>
          <w:ilvl w:val="1"/>
          <w:numId w:val="17"/>
        </w:numPr>
        <w:ind w:left="1440" w:hanging="360"/>
        <w:contextualSpacing w:val="1"/>
        <w:rPr/>
      </w:pPr>
      <w:r w:rsidDel="00000000" w:rsidR="00000000" w:rsidRPr="00000000">
        <w:rPr>
          <w:color w:val="0000ff"/>
          <w:rtl w:val="0"/>
        </w:rPr>
        <w:t xml:space="preserve">percepční jednostranná porucha</w:t>
      </w:r>
      <w:r w:rsidDel="00000000" w:rsidR="00000000" w:rsidRPr="00000000">
        <w:rPr>
          <w:rtl w:val="0"/>
        </w:rPr>
        <w:t xml:space="preserve"> - </w:t>
      </w:r>
      <w:r w:rsidDel="00000000" w:rsidR="00000000" w:rsidRPr="00000000">
        <w:rPr>
          <w:color w:val="ff0000"/>
          <w:rtl w:val="0"/>
        </w:rPr>
        <w:t xml:space="preserve">kostní vedení </w:t>
      </w:r>
      <w:r w:rsidDel="00000000" w:rsidR="00000000" w:rsidRPr="00000000">
        <w:rPr>
          <w:rtl w:val="0"/>
        </w:rPr>
        <w:t xml:space="preserve">je u pacienta </w:t>
      </w:r>
      <w:r w:rsidDel="00000000" w:rsidR="00000000" w:rsidRPr="00000000">
        <w:rPr>
          <w:color w:val="ff0000"/>
          <w:rtl w:val="0"/>
        </w:rPr>
        <w:t xml:space="preserve">zkrácené</w:t>
      </w:r>
    </w:p>
    <w:p w:rsidR="00000000" w:rsidDel="00000000" w:rsidP="00000000" w:rsidRDefault="00000000" w:rsidRPr="00000000">
      <w:pPr>
        <w:pStyle w:val="Heading1"/>
        <w:contextualSpacing w:val="0"/>
        <w:rPr/>
      </w:pPr>
      <w:bookmarkStart w:colFirst="0" w:colLast="0" w:name="_12zmrabdfpqe" w:id="10"/>
      <w:bookmarkEnd w:id="10"/>
      <w:r w:rsidDel="00000000" w:rsidR="00000000" w:rsidRPr="00000000">
        <w:rPr>
          <w:rtl w:val="0"/>
        </w:rPr>
      </w:r>
    </w:p>
    <w:p w:rsidR="00000000" w:rsidDel="00000000" w:rsidP="00000000" w:rsidRDefault="00000000" w:rsidRPr="00000000">
      <w:pPr>
        <w:pStyle w:val="Heading1"/>
        <w:contextualSpacing w:val="0"/>
        <w:rPr/>
      </w:pPr>
      <w:bookmarkStart w:colFirst="0" w:colLast="0" w:name="_kx4f038ldtjn" w:id="11"/>
      <w:bookmarkEnd w:id="11"/>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gktkccc8jyeo" w:id="12"/>
      <w:bookmarkEnd w:id="12"/>
      <w:r w:rsidDel="00000000" w:rsidR="00000000" w:rsidRPr="00000000">
        <w:rPr>
          <w:rtl w:val="0"/>
        </w:rPr>
        <w:t xml:space="preserve">Zrak</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pro člověka nejdůležitější smysl; až 90% informací je získáváno ze zraku</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vnímáme elektromagnetické světelné záření o vlnové délce 400 - 760nm</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převod z fotochemického procesu v sítnici na bioelektrické podněty</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vidíme prostorově; černobíle i barevně</w:t>
      </w:r>
    </w:p>
    <w:p w:rsidR="00000000" w:rsidDel="00000000" w:rsidP="00000000" w:rsidRDefault="00000000" w:rsidRPr="00000000">
      <w:pPr>
        <w:pStyle w:val="Heading2"/>
        <w:contextualSpacing w:val="0"/>
        <w:rPr/>
      </w:pPr>
      <w:bookmarkStart w:colFirst="0" w:colLast="0" w:name="_pu251njb250d" w:id="13"/>
      <w:bookmarkEnd w:id="13"/>
      <w:r w:rsidDel="00000000" w:rsidR="00000000" w:rsidRPr="00000000">
        <w:rPr>
          <w:rtl w:val="0"/>
        </w:rPr>
        <w:t xml:space="preserve">Části oka</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3784600"/>
            <wp:effectExtent b="0" l="0" r="0" t="0"/>
            <wp:docPr id="3"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734050" cy="37846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rPr/>
      </w:pPr>
      <w:bookmarkStart w:colFirst="0" w:colLast="0" w:name="_48ceby4m7175" w:id="14"/>
      <w:bookmarkEnd w:id="14"/>
      <w:r w:rsidDel="00000000" w:rsidR="00000000" w:rsidRPr="00000000">
        <w:rPr>
          <w:rtl w:val="0"/>
        </w:rPr>
        <w:t xml:space="preserve">Čočka</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průhledná, na povrchu; lze sloupnout</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základní plocha je více vyklenutá</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má asi 18 D+</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zavěšena na corpus ciliare pomocí fibrae zonulares (fakt se učit nebudu)</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při zákalu čočky, je možná výměna</w:t>
      </w:r>
    </w:p>
    <w:p w:rsidR="00000000" w:rsidDel="00000000" w:rsidP="00000000" w:rsidRDefault="00000000" w:rsidRPr="00000000">
      <w:pPr>
        <w:pStyle w:val="Heading2"/>
        <w:contextualSpacing w:val="0"/>
        <w:rPr/>
      </w:pPr>
      <w:bookmarkStart w:colFirst="0" w:colLast="0" w:name="_yjstrx9mreb9" w:id="15"/>
      <w:bookmarkEnd w:id="15"/>
      <w:r w:rsidDel="00000000" w:rsidR="00000000" w:rsidRPr="00000000">
        <w:rPr>
          <w:rtl w:val="0"/>
        </w:rPr>
      </w:r>
    </w:p>
    <w:p w:rsidR="00000000" w:rsidDel="00000000" w:rsidP="00000000" w:rsidRDefault="00000000" w:rsidRPr="00000000">
      <w:pPr>
        <w:pStyle w:val="Heading2"/>
        <w:contextualSpacing w:val="0"/>
        <w:rPr/>
      </w:pPr>
      <w:bookmarkStart w:colFirst="0" w:colLast="0" w:name="_vin0gvc20z29" w:id="16"/>
      <w:bookmarkEnd w:id="16"/>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mdrqpmjoyc9p" w:id="17"/>
      <w:bookmarkEnd w:id="17"/>
      <w:r w:rsidDel="00000000" w:rsidR="00000000" w:rsidRPr="00000000">
        <w:rPr>
          <w:rtl w:val="0"/>
        </w:rPr>
        <w:t xml:space="preserve">Akomodace</w:t>
      </w:r>
    </w:p>
    <w:p w:rsidR="00000000" w:rsidDel="00000000" w:rsidP="00000000" w:rsidRDefault="00000000" w:rsidRPr="00000000">
      <w:pPr>
        <w:contextualSpacing w:val="0"/>
        <w:rPr/>
      </w:pPr>
      <w:r w:rsidDel="00000000" w:rsidR="00000000" w:rsidRPr="00000000">
        <w:rPr>
          <w:rtl w:val="0"/>
        </w:rPr>
        <w:t xml:space="preserve">= proces, při kterém se zvětšuje optická mohutnost čočky při pohledu na blízké předměty</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2628900"/>
            <wp:effectExtent b="0" l="0" r="0" t="0"/>
            <wp:docPr id="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734050" cy="2628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Blízký bod = bod ležící nejblíže oku, který lze při maximální akomodaci vidět ostře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 dětí do několika cm</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 věkem se vzdaluje od oka</w:t>
      </w:r>
    </w:p>
    <w:p w:rsidR="00000000" w:rsidDel="00000000" w:rsidP="00000000" w:rsidRDefault="00000000" w:rsidRPr="00000000">
      <w:pPr>
        <w:contextualSpacing w:val="0"/>
        <w:rPr/>
      </w:pPr>
      <w:r w:rsidDel="00000000" w:rsidR="00000000" w:rsidRPr="00000000">
        <w:rPr>
          <w:rtl w:val="0"/>
        </w:rPr>
        <w:t xml:space="preserve">Daleký bod = nejvzdálenější bod od oka, který lze ještě vidět ostře bez akomodace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leží ve vzdálenosti více než 6m od oka</w:t>
      </w:r>
    </w:p>
    <w:p w:rsidR="00000000" w:rsidDel="00000000" w:rsidP="00000000" w:rsidRDefault="00000000" w:rsidRPr="00000000">
      <w:pPr>
        <w:pStyle w:val="Heading2"/>
        <w:contextualSpacing w:val="0"/>
        <w:rPr/>
      </w:pPr>
      <w:bookmarkStart w:colFirst="0" w:colLast="0" w:name="_nww04o8e9uvo" w:id="18"/>
      <w:bookmarkEnd w:id="18"/>
      <w:r w:rsidDel="00000000" w:rsidR="00000000" w:rsidRPr="00000000">
        <w:rPr>
          <w:rtl w:val="0"/>
        </w:rPr>
      </w:r>
    </w:p>
    <w:p w:rsidR="00000000" w:rsidDel="00000000" w:rsidP="00000000" w:rsidRDefault="00000000" w:rsidRPr="00000000">
      <w:pPr>
        <w:pStyle w:val="Heading2"/>
        <w:contextualSpacing w:val="0"/>
        <w:rPr/>
      </w:pPr>
      <w:bookmarkStart w:colFirst="0" w:colLast="0" w:name="_inrzcdyf3tx3" w:id="19"/>
      <w:bookmarkEnd w:id="19"/>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v20xll5u2cja" w:id="20"/>
      <w:bookmarkEnd w:id="20"/>
      <w:r w:rsidDel="00000000" w:rsidR="00000000" w:rsidRPr="00000000">
        <w:rPr>
          <w:rtl w:val="0"/>
        </w:rPr>
        <w:t xml:space="preserve">Zraková dráha</w:t>
      </w:r>
    </w:p>
    <w:p w:rsidR="00000000" w:rsidDel="00000000" w:rsidP="00000000" w:rsidRDefault="00000000" w:rsidRPr="00000000">
      <w:pPr>
        <w:contextualSpacing w:val="0"/>
        <w:jc w:val="left"/>
        <w:rPr/>
      </w:pPr>
      <w:r w:rsidDel="00000000" w:rsidR="00000000" w:rsidRPr="00000000">
        <w:rPr/>
        <w:drawing>
          <wp:inline distB="114300" distT="114300" distL="114300" distR="114300">
            <wp:extent cx="3695700" cy="5229225"/>
            <wp:effectExtent b="0" l="0" r="0" t="0"/>
            <wp:docPr id="4"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3695700" cy="522922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5"/>
        </w:numPr>
        <w:ind w:left="720" w:hanging="360"/>
        <w:contextualSpacing w:val="1"/>
        <w:jc w:val="left"/>
        <w:rPr>
          <w:u w:val="none"/>
        </w:rPr>
      </w:pPr>
      <w:r w:rsidDel="00000000" w:rsidR="00000000" w:rsidRPr="00000000">
        <w:rPr>
          <w:rtl w:val="0"/>
        </w:rPr>
        <w:t xml:space="preserve">neuron - tyčinky a čípky sítnice</w:t>
      </w:r>
    </w:p>
    <w:p w:rsidR="00000000" w:rsidDel="00000000" w:rsidP="00000000" w:rsidRDefault="00000000" w:rsidRPr="00000000">
      <w:pPr>
        <w:numPr>
          <w:ilvl w:val="0"/>
          <w:numId w:val="15"/>
        </w:numPr>
        <w:ind w:left="720" w:hanging="360"/>
        <w:contextualSpacing w:val="1"/>
        <w:jc w:val="left"/>
        <w:rPr>
          <w:u w:val="none"/>
        </w:rPr>
      </w:pPr>
      <w:r w:rsidDel="00000000" w:rsidR="00000000" w:rsidRPr="00000000">
        <w:rPr>
          <w:rtl w:val="0"/>
        </w:rPr>
        <w:t xml:space="preserve">neuron - bipolární buňky sítnice</w:t>
      </w:r>
    </w:p>
    <w:p w:rsidR="00000000" w:rsidDel="00000000" w:rsidP="00000000" w:rsidRDefault="00000000" w:rsidRPr="00000000">
      <w:pPr>
        <w:numPr>
          <w:ilvl w:val="0"/>
          <w:numId w:val="15"/>
        </w:numPr>
        <w:ind w:left="720" w:hanging="360"/>
        <w:contextualSpacing w:val="1"/>
        <w:jc w:val="left"/>
        <w:rPr>
          <w:u w:val="none"/>
        </w:rPr>
      </w:pPr>
      <w:r w:rsidDel="00000000" w:rsidR="00000000" w:rsidRPr="00000000">
        <w:rPr>
          <w:rtl w:val="0"/>
        </w:rPr>
        <w:t xml:space="preserve">neuron - gangliové buňky sítnice </w:t>
      </w:r>
    </w:p>
    <w:p w:rsidR="00000000" w:rsidDel="00000000" w:rsidP="00000000" w:rsidRDefault="00000000" w:rsidRPr="00000000">
      <w:pPr>
        <w:numPr>
          <w:ilvl w:val="0"/>
          <w:numId w:val="15"/>
        </w:numPr>
        <w:ind w:left="720" w:hanging="360"/>
        <w:contextualSpacing w:val="1"/>
        <w:jc w:val="left"/>
        <w:rPr>
          <w:u w:val="none"/>
        </w:rPr>
      </w:pPr>
      <w:r w:rsidDel="00000000" w:rsidR="00000000" w:rsidRPr="00000000">
        <w:rPr>
          <w:rtl w:val="0"/>
        </w:rPr>
        <w:t xml:space="preserve">neuron - buňky v corpus geniculatum laterale</w:t>
      </w:r>
    </w:p>
    <w:p w:rsidR="00000000" w:rsidDel="00000000" w:rsidP="00000000" w:rsidRDefault="00000000" w:rsidRPr="00000000">
      <w:pPr>
        <w:ind w:left="690" w:firstLine="0"/>
        <w:contextualSpacing w:val="0"/>
        <w:jc w:val="left"/>
        <w:rPr/>
      </w:pPr>
      <w:r w:rsidDel="00000000" w:rsidR="00000000" w:rsidRPr="00000000">
        <w:rPr>
          <w:rtl w:val="0"/>
        </w:rPr>
        <w:t xml:space="preserve">primární zraková korová oblast</w:t>
      </w:r>
    </w:p>
    <w:p w:rsidR="00000000" w:rsidDel="00000000" w:rsidP="00000000" w:rsidRDefault="00000000" w:rsidRPr="00000000">
      <w:pPr>
        <w:ind w:left="690" w:firstLine="0"/>
        <w:contextualSpacing w:val="0"/>
        <w:jc w:val="left"/>
        <w:rPr/>
      </w:pPr>
      <w:r w:rsidDel="00000000" w:rsidR="00000000" w:rsidRPr="00000000">
        <w:rPr>
          <w:rtl w:val="0"/>
        </w:rPr>
        <w:t xml:space="preserve">sekundární zraková korová oblast</w:t>
      </w:r>
    </w:p>
    <w:p w:rsidR="00000000" w:rsidDel="00000000" w:rsidP="00000000" w:rsidRDefault="00000000" w:rsidRPr="00000000">
      <w:pPr>
        <w:pStyle w:val="Heading2"/>
        <w:ind w:left="0" w:firstLine="0"/>
        <w:contextualSpacing w:val="0"/>
        <w:rPr/>
      </w:pPr>
      <w:bookmarkStart w:colFirst="0" w:colLast="0" w:name="_4vmqfdl7wp0k" w:id="21"/>
      <w:bookmarkEnd w:id="21"/>
      <w:r w:rsidDel="00000000" w:rsidR="00000000" w:rsidRPr="00000000">
        <w:rPr>
          <w:rtl w:val="0"/>
        </w:rPr>
      </w:r>
    </w:p>
    <w:p w:rsidR="00000000" w:rsidDel="00000000" w:rsidP="00000000" w:rsidRDefault="00000000" w:rsidRPr="00000000">
      <w:pPr>
        <w:pStyle w:val="Heading2"/>
        <w:ind w:left="0" w:firstLine="0"/>
        <w:contextualSpacing w:val="0"/>
        <w:rPr/>
      </w:pPr>
      <w:bookmarkStart w:colFirst="0" w:colLast="0" w:name="_fk2tl5iu8d6" w:id="22"/>
      <w:bookmarkEnd w:id="22"/>
      <w:r w:rsidDel="00000000" w:rsidR="00000000" w:rsidRPr="00000000">
        <w:br w:type="page"/>
      </w:r>
      <w:r w:rsidDel="00000000" w:rsidR="00000000" w:rsidRPr="00000000">
        <w:rPr>
          <w:rtl w:val="0"/>
        </w:rPr>
      </w:r>
    </w:p>
    <w:p w:rsidR="00000000" w:rsidDel="00000000" w:rsidP="00000000" w:rsidRDefault="00000000" w:rsidRPr="00000000">
      <w:pPr>
        <w:pStyle w:val="Heading2"/>
        <w:ind w:left="0" w:firstLine="0"/>
        <w:contextualSpacing w:val="0"/>
        <w:rPr/>
      </w:pPr>
      <w:bookmarkStart w:colFirst="0" w:colLast="0" w:name="_g4c9wcwpmhw7" w:id="23"/>
      <w:bookmarkEnd w:id="23"/>
      <w:r w:rsidDel="00000000" w:rsidR="00000000" w:rsidRPr="00000000">
        <w:rPr>
          <w:rtl w:val="0"/>
        </w:rPr>
        <w:t xml:space="preserve">Poruchy zraku</w:t>
      </w:r>
    </w:p>
    <w:p w:rsidR="00000000" w:rsidDel="00000000" w:rsidP="00000000" w:rsidRDefault="00000000" w:rsidRPr="00000000">
      <w:pPr>
        <w:pStyle w:val="Heading3"/>
        <w:contextualSpacing w:val="0"/>
        <w:rPr/>
      </w:pPr>
      <w:bookmarkStart w:colFirst="0" w:colLast="0" w:name="_2zeh4gdyirc1" w:id="24"/>
      <w:bookmarkEnd w:id="24"/>
      <w:r w:rsidDel="00000000" w:rsidR="00000000" w:rsidRPr="00000000">
        <w:rPr>
          <w:rtl w:val="0"/>
        </w:rPr>
        <w:t xml:space="preserve">Hemianopsie</w:t>
      </w:r>
    </w:p>
    <w:p w:rsidR="00000000" w:rsidDel="00000000" w:rsidP="00000000" w:rsidRDefault="00000000" w:rsidRPr="00000000">
      <w:pPr>
        <w:contextualSpacing w:val="0"/>
        <w:rPr/>
      </w:pPr>
      <w:r w:rsidDel="00000000" w:rsidR="00000000" w:rsidRPr="00000000">
        <w:rPr>
          <w:rtl w:val="0"/>
        </w:rPr>
        <w:t xml:space="preserve">= označení výpadku postihujícího polovinu zorného pole</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heteronymní - postiženy jsou různé poloviny zorného pole - obě nasální, či obě temporální</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homonymní - obě stejnostranné - levé, nebo pravé</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bitemporální hemianopsie - způsobena lézí chismatu - tumor</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binasální hemianopsie - způsobena zevní bilaterální kompresí chiasmatu při oboustranném aneurysmatu karotidy</w:t>
      </w:r>
    </w:p>
    <w:p w:rsidR="00000000" w:rsidDel="00000000" w:rsidP="00000000" w:rsidRDefault="00000000" w:rsidRPr="00000000">
      <w:pPr>
        <w:pStyle w:val="Heading3"/>
        <w:contextualSpacing w:val="0"/>
        <w:rPr/>
      </w:pPr>
      <w:bookmarkStart w:colFirst="0" w:colLast="0" w:name="_gwj52ylphygm" w:id="25"/>
      <w:bookmarkEnd w:id="25"/>
      <w:r w:rsidDel="00000000" w:rsidR="00000000" w:rsidRPr="00000000">
        <w:rPr>
          <w:rtl w:val="0"/>
        </w:rPr>
        <w:t xml:space="preserve">Poruchy zrakové dráhy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stejnostranná slepota</w:t>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9525</wp:posOffset>
            </wp:positionV>
            <wp:extent cx="2818867" cy="2986088"/>
            <wp:effectExtent b="0" l="0" r="0" t="0"/>
            <wp:wrapSquare wrapText="bothSides" distB="114300" distT="114300" distL="114300" distR="114300"/>
            <wp:docPr id="5"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2818867" cy="2986088"/>
                    </a:xfrm>
                    <a:prstGeom prst="rect"/>
                    <a:ln/>
                  </pic:spPr>
                </pic:pic>
              </a:graphicData>
            </a:graphic>
          </wp:anchor>
        </w:drawing>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heteronymní bitemporální hemianopsie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heteronymní binasální hemianopsie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kontralaterální homonymní hemianopsie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kontralaterální homonymní hemianopsie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kontralaterální kvadrantová hemianopsie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kontralaterální kvadrantová hemianopsie s centrální úsporou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cqzul5kazb9e" w:id="26"/>
      <w:bookmarkEnd w:id="26"/>
      <w:r w:rsidDel="00000000" w:rsidR="00000000" w:rsidRPr="00000000">
        <w:rPr>
          <w:rtl w:val="0"/>
        </w:rPr>
        <w:t xml:space="preserve">Emetropické oko</w:t>
      </w:r>
    </w:p>
    <w:p w:rsidR="00000000" w:rsidDel="00000000" w:rsidP="00000000" w:rsidRDefault="00000000" w:rsidRPr="00000000">
      <w:pPr>
        <w:contextualSpacing w:val="0"/>
        <w:rPr/>
      </w:pPr>
      <w:r w:rsidDel="00000000" w:rsidR="00000000" w:rsidRPr="00000000">
        <w:rPr>
          <w:rtl w:val="0"/>
        </w:rPr>
        <w:t xml:space="preserve">= paprsky rovnoběžné s osou oka se protínají na sítnici, aniž by docházelo k akomodaci</w:t>
      </w:r>
    </w:p>
    <w:p w:rsidR="00000000" w:rsidDel="00000000" w:rsidP="00000000" w:rsidRDefault="00000000" w:rsidRPr="00000000">
      <w:pPr>
        <w:pStyle w:val="Heading3"/>
        <w:contextualSpacing w:val="0"/>
        <w:rPr/>
      </w:pPr>
      <w:bookmarkStart w:colFirst="0" w:colLast="0" w:name="_u5uj9sotkhk9" w:id="27"/>
      <w:bookmarkEnd w:id="27"/>
      <w:r w:rsidDel="00000000" w:rsidR="00000000" w:rsidRPr="00000000">
        <w:rPr>
          <w:rtl w:val="0"/>
        </w:rPr>
        <w:t xml:space="preserve">Krátkozrakost</w:t>
      </w:r>
    </w:p>
    <w:p w:rsidR="00000000" w:rsidDel="00000000" w:rsidP="00000000" w:rsidRDefault="00000000" w:rsidRPr="00000000">
      <w:pPr>
        <w:contextualSpacing w:val="0"/>
        <w:rPr/>
      </w:pPr>
      <w:r w:rsidDel="00000000" w:rsidR="00000000" w:rsidRPr="00000000">
        <w:rPr>
          <w:rtl w:val="0"/>
        </w:rPr>
        <w:t xml:space="preserve">= příliš dlouhý bulbus, velká lomovitost optické soustavy</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korekce rozptylkami → divergence paprsků</w:t>
      </w:r>
    </w:p>
    <w:p w:rsidR="00000000" w:rsidDel="00000000" w:rsidP="00000000" w:rsidRDefault="00000000" w:rsidRPr="00000000">
      <w:pPr>
        <w:pStyle w:val="Heading3"/>
        <w:contextualSpacing w:val="0"/>
        <w:rPr/>
      </w:pPr>
      <w:bookmarkStart w:colFirst="0" w:colLast="0" w:name="_q17u6jp9idwj" w:id="28"/>
      <w:bookmarkEnd w:id="28"/>
      <w:r w:rsidDel="00000000" w:rsidR="00000000" w:rsidRPr="00000000">
        <w:rPr>
          <w:rtl w:val="0"/>
        </w:rPr>
        <w:t xml:space="preserve">Dalekozrakost</w:t>
      </w:r>
    </w:p>
    <w:p w:rsidR="00000000" w:rsidDel="00000000" w:rsidP="00000000" w:rsidRDefault="00000000" w:rsidRPr="00000000">
      <w:pPr>
        <w:contextualSpacing w:val="0"/>
        <w:rPr/>
      </w:pPr>
      <w:r w:rsidDel="00000000" w:rsidR="00000000" w:rsidRPr="00000000">
        <w:rPr>
          <w:rtl w:val="0"/>
        </w:rPr>
        <w:t xml:space="preserve">= příliš krátky bulbus, malá lomovitost optické soustavy</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korekce spojkami → konvergence paprsků</w:t>
      </w:r>
    </w:p>
    <w:p w:rsidR="00000000" w:rsidDel="00000000" w:rsidP="00000000" w:rsidRDefault="00000000" w:rsidRPr="00000000">
      <w:pPr>
        <w:pStyle w:val="Heading3"/>
        <w:contextualSpacing w:val="0"/>
        <w:rPr/>
      </w:pPr>
      <w:bookmarkStart w:colFirst="0" w:colLast="0" w:name="_u2prog2gh7ci" w:id="29"/>
      <w:bookmarkEnd w:id="29"/>
      <w:r w:rsidDel="00000000" w:rsidR="00000000" w:rsidRPr="00000000">
        <w:rPr>
          <w:rtl w:val="0"/>
        </w:rPr>
        <w:t xml:space="preserve">Vetchozrakost</w:t>
      </w:r>
    </w:p>
    <w:p w:rsidR="00000000" w:rsidDel="00000000" w:rsidP="00000000" w:rsidRDefault="00000000" w:rsidRPr="00000000">
      <w:pPr>
        <w:contextualSpacing w:val="0"/>
        <w:rPr/>
      </w:pPr>
      <w:r w:rsidDel="00000000" w:rsidR="00000000" w:rsidRPr="00000000">
        <w:rPr>
          <w:rtl w:val="0"/>
        </w:rPr>
        <w:t xml:space="preserve">= ztráta akomodační schopnosti čočky</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korekce spojkami</w:t>
      </w:r>
    </w:p>
    <w:p w:rsidR="00000000" w:rsidDel="00000000" w:rsidP="00000000" w:rsidRDefault="00000000" w:rsidRPr="00000000">
      <w:pPr>
        <w:pStyle w:val="Heading3"/>
        <w:contextualSpacing w:val="0"/>
        <w:rPr/>
      </w:pPr>
      <w:bookmarkStart w:colFirst="0" w:colLast="0" w:name="_6oua7fykqqhe" w:id="30"/>
      <w:bookmarkEnd w:id="30"/>
      <w:r w:rsidDel="00000000" w:rsidR="00000000" w:rsidRPr="00000000">
        <w:rPr>
          <w:rtl w:val="0"/>
        </w:rPr>
        <w:t xml:space="preserve">Astigmatismus</w:t>
      </w:r>
    </w:p>
    <w:p w:rsidR="00000000" w:rsidDel="00000000" w:rsidP="00000000" w:rsidRDefault="00000000" w:rsidRPr="00000000">
      <w:pPr>
        <w:contextualSpacing w:val="0"/>
        <w:rPr/>
      </w:pPr>
      <w:r w:rsidDel="00000000" w:rsidR="00000000" w:rsidRPr="00000000">
        <w:rPr>
          <w:rtl w:val="0"/>
        </w:rPr>
        <w:t xml:space="preserve">= oko nemá ve všech meridiánech stejnou optickou mohutnost</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nerovnoměrné zakřivení rohovky</w:t>
      </w:r>
    </w:p>
    <w:p w:rsidR="00000000" w:rsidDel="00000000" w:rsidP="00000000" w:rsidRDefault="00000000" w:rsidRPr="00000000">
      <w:pPr>
        <w:pStyle w:val="Heading3"/>
        <w:contextualSpacing w:val="0"/>
        <w:rPr/>
      </w:pPr>
      <w:bookmarkStart w:colFirst="0" w:colLast="0" w:name="_xtsqjwllhfet" w:id="31"/>
      <w:bookmarkEnd w:id="31"/>
      <w:r w:rsidDel="00000000" w:rsidR="00000000" w:rsidRPr="00000000">
        <w:rPr>
          <w:rtl w:val="0"/>
        </w:rPr>
        <w:t xml:space="preserve">Barvoslepost</w:t>
      </w:r>
    </w:p>
    <w:p w:rsidR="00000000" w:rsidDel="00000000" w:rsidP="00000000" w:rsidRDefault="00000000" w:rsidRPr="00000000">
      <w:pPr>
        <w:contextualSpacing w:val="0"/>
        <w:rPr/>
      </w:pPr>
      <w:r w:rsidDel="00000000" w:rsidR="00000000" w:rsidRPr="00000000">
        <w:rPr>
          <w:rtl w:val="0"/>
        </w:rPr>
        <w:t xml:space="preserve">= za normálních okolnosti vidímě všechny barvy správně - trichromat</w:t>
      </w:r>
    </w:p>
    <w:p w:rsidR="00000000" w:rsidDel="00000000" w:rsidP="00000000" w:rsidRDefault="00000000" w:rsidRPr="00000000">
      <w:pPr>
        <w:numPr>
          <w:ilvl w:val="0"/>
          <w:numId w:val="10"/>
        </w:numPr>
        <w:ind w:left="720" w:hanging="360"/>
        <w:contextualSpacing w:val="1"/>
        <w:rPr>
          <w:u w:val="none"/>
        </w:rPr>
      </w:pPr>
      <w:r w:rsidDel="00000000" w:rsidR="00000000" w:rsidRPr="00000000">
        <w:rPr>
          <w:color w:val="ff0000"/>
          <w:rtl w:val="0"/>
        </w:rPr>
        <w:t xml:space="preserve">protanopie </w:t>
      </w:r>
      <w:r w:rsidDel="00000000" w:rsidR="00000000" w:rsidRPr="00000000">
        <w:rPr>
          <w:rtl w:val="0"/>
        </w:rPr>
        <w:t xml:space="preserve">- ztráta vnímání červené barvy</w:t>
      </w:r>
    </w:p>
    <w:p w:rsidR="00000000" w:rsidDel="00000000" w:rsidP="00000000" w:rsidRDefault="00000000" w:rsidRPr="00000000">
      <w:pPr>
        <w:numPr>
          <w:ilvl w:val="0"/>
          <w:numId w:val="10"/>
        </w:numPr>
        <w:ind w:left="720" w:hanging="360"/>
        <w:contextualSpacing w:val="1"/>
        <w:rPr>
          <w:u w:val="none"/>
        </w:rPr>
      </w:pPr>
      <w:r w:rsidDel="00000000" w:rsidR="00000000" w:rsidRPr="00000000">
        <w:rPr>
          <w:color w:val="274e13"/>
          <w:rtl w:val="0"/>
        </w:rPr>
        <w:t xml:space="preserve">deuteranopie </w:t>
      </w:r>
      <w:r w:rsidDel="00000000" w:rsidR="00000000" w:rsidRPr="00000000">
        <w:rPr>
          <w:rtl w:val="0"/>
        </w:rPr>
        <w:t xml:space="preserve">- ztráta vnímání zelené barvy</w:t>
      </w:r>
    </w:p>
    <w:p w:rsidR="00000000" w:rsidDel="00000000" w:rsidP="00000000" w:rsidRDefault="00000000" w:rsidRPr="00000000">
      <w:pPr>
        <w:numPr>
          <w:ilvl w:val="0"/>
          <w:numId w:val="10"/>
        </w:numPr>
        <w:ind w:left="720" w:hanging="360"/>
        <w:contextualSpacing w:val="1"/>
        <w:rPr>
          <w:u w:val="none"/>
        </w:rPr>
      </w:pPr>
      <w:r w:rsidDel="00000000" w:rsidR="00000000" w:rsidRPr="00000000">
        <w:rPr>
          <w:color w:val="0000ff"/>
          <w:rtl w:val="0"/>
        </w:rPr>
        <w:t xml:space="preserve">tritanopie </w:t>
      </w:r>
      <w:r w:rsidDel="00000000" w:rsidR="00000000" w:rsidRPr="00000000">
        <w:rPr>
          <w:rtl w:val="0"/>
        </w:rPr>
        <w:t xml:space="preserve">- ztráta vnímání modré barvy</w:t>
      </w:r>
    </w:p>
    <w:p w:rsidR="00000000" w:rsidDel="00000000" w:rsidP="00000000" w:rsidRDefault="00000000" w:rsidRPr="00000000">
      <w:pPr>
        <w:contextualSpacing w:val="0"/>
        <w:rPr/>
      </w:pPr>
      <w:r w:rsidDel="00000000" w:rsidR="00000000" w:rsidRPr="00000000">
        <w:rPr/>
        <w:drawing>
          <wp:inline distB="114300" distT="114300" distL="114300" distR="114300">
            <wp:extent cx="4124325" cy="4086225"/>
            <wp:effectExtent b="0" l="0" r="0" t="0"/>
            <wp:docPr id="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124325" cy="40862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c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2.png"/><Relationship Id="rId10" Type="http://schemas.openxmlformats.org/officeDocument/2006/relationships/image" Target="media/image11.png"/><Relationship Id="rId12" Type="http://schemas.openxmlformats.org/officeDocument/2006/relationships/image" Target="media/image8.png"/><Relationship Id="rId9"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image" Target="media/image13.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