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center"/>
        <w:rPr>
          <w:rFonts w:ascii="Calibri" w:cs="Calibri" w:eastAsia="Calibri" w:hAnsi="Calibri"/>
          <w:color w:val="212121"/>
        </w:rPr>
      </w:pPr>
      <w:bookmarkStart w:colFirst="0" w:colLast="0" w:name="_d9dykm8kgy2v" w:id="0"/>
      <w:bookmarkEnd w:id="0"/>
      <w:r w:rsidDel="00000000" w:rsidR="00000000" w:rsidRPr="00000000">
        <w:rPr>
          <w:rtl w:val="0"/>
        </w:rPr>
        <w:t xml:space="preserve">01. Biologická membrána</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31200" cy="2362200"/>
            <wp:effectExtent b="0" l="0" r="0" t="0"/>
            <wp:docPr descr="bio_membrana.png" id="5" name="image21.png"/>
            <a:graphic>
              <a:graphicData uri="http://schemas.openxmlformats.org/drawingml/2006/picture">
                <pic:pic>
                  <pic:nvPicPr>
                    <pic:cNvPr descr="bio_membrana.png" id="0" name="image21.png"/>
                    <pic:cNvPicPr preferRelativeResize="0"/>
                  </pic:nvPicPr>
                  <pic:blipFill>
                    <a:blip r:embed="rId7"/>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ar6tvk7pnumq" w:id="1"/>
      <w:bookmarkEnd w:id="1"/>
      <w:r w:rsidDel="00000000" w:rsidR="00000000" w:rsidRPr="00000000">
        <w:rPr>
          <w:rtl w:val="0"/>
        </w:rPr>
        <w:t xml:space="preserve">Biologická membrána (</w:t>
      </w:r>
      <w:hyperlink r:id="rId8">
        <w:r w:rsidDel="00000000" w:rsidR="00000000" w:rsidRPr="00000000">
          <w:rPr>
            <w:color w:val="1155cc"/>
            <w:u w:val="single"/>
            <w:rtl w:val="0"/>
          </w:rPr>
          <w:t xml:space="preserve">Další popis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rPr>
          <w:highlight w:val="white"/>
        </w:rPr>
      </w:pPr>
      <w:r w:rsidDel="00000000" w:rsidR="00000000" w:rsidRPr="00000000">
        <w:rPr>
          <w:highlight w:val="white"/>
          <w:rtl w:val="0"/>
        </w:rPr>
        <w:t xml:space="preserve">Na povrchu buněk je buněčná membrána (cytoplazmatická membrána, biomembrána). Biomembrány regulují přechod látek z okolí do buněk a naopak. Základem je lipidová dvojvrstva (∓6nm). Molekuly bílkovin jsou přítomny na povrchu této vrstvy (jsou to glykoproteiny) a mají především ochrannou funkci.</w:t>
      </w:r>
    </w:p>
    <w:p w:rsidR="00000000" w:rsidDel="00000000" w:rsidP="00000000" w:rsidRDefault="00000000" w:rsidRPr="00000000">
      <w:pPr>
        <w:contextualSpacing w:val="0"/>
        <w:rPr>
          <w:highlight w:val="white"/>
        </w:rPr>
      </w:pPr>
      <w:r w:rsidDel="00000000" w:rsidR="00000000" w:rsidRPr="00000000">
        <w:rPr>
          <w:highlight w:val="white"/>
          <w:rtl w:val="0"/>
        </w:rPr>
        <w:t xml:space="preserve">Základem membrány je tzv.</w:t>
      </w:r>
      <w:r w:rsidDel="00000000" w:rsidR="00000000" w:rsidRPr="00000000">
        <w:rPr>
          <w:color w:val="0000ff"/>
          <w:highlight w:val="white"/>
          <w:rtl w:val="0"/>
        </w:rPr>
        <w:t xml:space="preserve"> membránová jednotka</w:t>
      </w:r>
      <w:r w:rsidDel="00000000" w:rsidR="00000000" w:rsidRPr="00000000">
        <w:rPr>
          <w:highlight w:val="white"/>
          <w:rtl w:val="0"/>
        </w:rPr>
        <w:t xml:space="preserve">, tvořená biomolekulární vrstvou </w:t>
      </w:r>
      <w:r w:rsidDel="00000000" w:rsidR="00000000" w:rsidRPr="00000000">
        <w:rPr>
          <w:b w:val="1"/>
          <w:highlight w:val="white"/>
          <w:rtl w:val="0"/>
        </w:rPr>
        <w:t xml:space="preserve">folfolipidů</w:t>
      </w:r>
      <w:r w:rsidDel="00000000" w:rsidR="00000000" w:rsidRPr="00000000">
        <w:rPr>
          <w:highlight w:val="white"/>
          <w:rtl w:val="0"/>
        </w:rPr>
        <w:t xml:space="preserve">.</w:t>
      </w:r>
    </w:p>
    <w:p w:rsidR="00000000" w:rsidDel="00000000" w:rsidP="00000000" w:rsidRDefault="00000000" w:rsidRPr="00000000">
      <w:pPr>
        <w:contextualSpacing w:val="0"/>
        <w:rPr>
          <w:highlight w:val="white"/>
        </w:rPr>
      </w:pPr>
      <w:r w:rsidDel="00000000" w:rsidR="00000000" w:rsidRPr="00000000">
        <w:rPr>
          <w:highlight w:val="white"/>
          <w:rtl w:val="0"/>
        </w:rPr>
        <w:t xml:space="preserve">Tato membrána obsahuje (mimo jiné):</w:t>
      </w:r>
    </w:p>
    <w:p w:rsidR="00000000" w:rsidDel="00000000" w:rsidP="00000000" w:rsidRDefault="00000000" w:rsidRPr="00000000">
      <w:pPr>
        <w:numPr>
          <w:ilvl w:val="0"/>
          <w:numId w:val="18"/>
        </w:numPr>
        <w:ind w:left="720" w:hanging="360"/>
        <w:contextualSpacing w:val="1"/>
        <w:rPr>
          <w:highlight w:val="white"/>
          <w:u w:val="none"/>
        </w:rPr>
      </w:pPr>
      <w:r w:rsidDel="00000000" w:rsidR="00000000" w:rsidRPr="00000000">
        <w:rPr>
          <w:color w:val="ff0000"/>
          <w:highlight w:val="white"/>
          <w:rtl w:val="0"/>
        </w:rPr>
        <w:t xml:space="preserve">membránové proteiny</w:t>
      </w:r>
      <w:r w:rsidDel="00000000" w:rsidR="00000000" w:rsidRPr="00000000">
        <w:rPr>
          <w:highlight w:val="white"/>
          <w:rtl w:val="0"/>
        </w:rPr>
        <w:t xml:space="preserve"> - viz níže</w:t>
      </w:r>
    </w:p>
    <w:p w:rsidR="00000000" w:rsidDel="00000000" w:rsidP="00000000" w:rsidRDefault="00000000" w:rsidRPr="00000000">
      <w:pPr>
        <w:numPr>
          <w:ilvl w:val="0"/>
          <w:numId w:val="18"/>
        </w:numPr>
        <w:ind w:left="720" w:hanging="360"/>
        <w:contextualSpacing w:val="1"/>
        <w:rPr>
          <w:highlight w:val="white"/>
          <w:u w:val="none"/>
        </w:rPr>
      </w:pPr>
      <w:r w:rsidDel="00000000" w:rsidR="00000000" w:rsidRPr="00000000">
        <w:rPr>
          <w:color w:val="ff0000"/>
          <w:highlight w:val="white"/>
          <w:rtl w:val="0"/>
        </w:rPr>
        <w:t xml:space="preserve">cukerné zbytky</w:t>
      </w:r>
      <w:r w:rsidDel="00000000" w:rsidR="00000000" w:rsidRPr="00000000">
        <w:rPr>
          <w:highlight w:val="white"/>
          <w:rtl w:val="0"/>
        </w:rPr>
        <w:t xml:space="preserve"> - glykokalix - cukerný plášť</w:t>
      </w:r>
    </w:p>
    <w:p w:rsidR="00000000" w:rsidDel="00000000" w:rsidP="00000000" w:rsidRDefault="00000000" w:rsidRPr="00000000">
      <w:pPr>
        <w:numPr>
          <w:ilvl w:val="0"/>
          <w:numId w:val="18"/>
        </w:numPr>
        <w:ind w:left="720" w:hanging="360"/>
        <w:contextualSpacing w:val="1"/>
        <w:rPr>
          <w:highlight w:val="white"/>
          <w:u w:val="none"/>
        </w:rPr>
      </w:pPr>
      <w:r w:rsidDel="00000000" w:rsidR="00000000" w:rsidRPr="00000000">
        <w:rPr>
          <w:color w:val="ff0000"/>
          <w:highlight w:val="white"/>
          <w:rtl w:val="0"/>
        </w:rPr>
        <w:t xml:space="preserve">iontový kanál</w:t>
      </w:r>
      <w:r w:rsidDel="00000000" w:rsidR="00000000" w:rsidRPr="00000000">
        <w:rPr>
          <w:highlight w:val="white"/>
          <w:rtl w:val="0"/>
        </w:rPr>
        <w:t xml:space="preserve"> - viz níže</w:t>
      </w:r>
    </w:p>
    <w:p w:rsidR="00000000" w:rsidDel="00000000" w:rsidP="00000000" w:rsidRDefault="00000000" w:rsidRPr="00000000">
      <w:pPr>
        <w:pStyle w:val="Heading1"/>
        <w:contextualSpacing w:val="0"/>
        <w:rPr/>
      </w:pPr>
      <w:bookmarkStart w:colFirst="0" w:colLast="0" w:name="_3kex4o5fzhmj" w:id="2"/>
      <w:bookmarkEnd w:id="2"/>
      <w:r w:rsidDel="00000000" w:rsidR="00000000" w:rsidRPr="00000000">
        <w:rPr>
          <w:rtl w:val="0"/>
        </w:rPr>
        <w:t xml:space="preserve">Fosfolipidy</w:t>
      </w:r>
    </w:p>
    <w:p w:rsidR="00000000" w:rsidDel="00000000" w:rsidP="00000000" w:rsidRDefault="00000000" w:rsidRPr="00000000">
      <w:pPr>
        <w:contextualSpacing w:val="0"/>
        <w:rPr/>
      </w:pPr>
      <w:r w:rsidDel="00000000" w:rsidR="00000000" w:rsidRPr="00000000">
        <w:rPr>
          <w:rtl w:val="0"/>
        </w:rPr>
        <w:t xml:space="preserve">= estery</w:t>
      </w:r>
      <w:r w:rsidDel="00000000" w:rsidR="00000000" w:rsidRPr="00000000">
        <w:rPr>
          <w:vertAlign w:val="superscript"/>
        </w:rPr>
        <w:footnoteReference w:customMarkFollows="0" w:id="0"/>
      </w:r>
      <w:r w:rsidDel="00000000" w:rsidR="00000000" w:rsidRPr="00000000">
        <w:rPr>
          <w:rtl w:val="0"/>
        </w:rPr>
        <w:t xml:space="preserve"> vyšších mastných kyselin, kyseliny fosforečné a speficifkého alkoholu (glycerolu).</w:t>
      </w:r>
    </w:p>
    <w:p w:rsidR="00000000" w:rsidDel="00000000" w:rsidP="00000000" w:rsidRDefault="00000000" w:rsidRPr="00000000">
      <w:pPr>
        <w:contextualSpacing w:val="0"/>
        <w:rPr>
          <w:highlight w:val="white"/>
        </w:rPr>
      </w:pPr>
      <w:r w:rsidDel="00000000" w:rsidR="00000000" w:rsidRPr="00000000">
        <w:rPr>
          <w:rtl w:val="0"/>
        </w:rPr>
        <w:t xml:space="preserve">= deriváty kyseliny fosfatidové </w:t>
      </w:r>
      <w:r w:rsidDel="00000000" w:rsidR="00000000" w:rsidRPr="00000000">
        <w:rPr>
          <w:highlight w:val="white"/>
          <w:rtl w:val="0"/>
        </w:rPr>
        <w:t xml:space="preserve">(glycerol-3-fosforečná kyselina)</w:t>
      </w:r>
    </w:p>
    <w:p w:rsidR="00000000" w:rsidDel="00000000" w:rsidP="00000000" w:rsidRDefault="00000000" w:rsidRPr="00000000">
      <w:pPr>
        <w:numPr>
          <w:ilvl w:val="0"/>
          <w:numId w:val="7"/>
        </w:numPr>
        <w:ind w:left="720" w:hanging="360"/>
        <w:contextualSpacing w:val="1"/>
        <w:rPr>
          <w:highlight w:val="white"/>
          <w:u w:val="none"/>
        </w:rPr>
      </w:pPr>
      <w:r w:rsidDel="00000000" w:rsidR="00000000" w:rsidRPr="00000000">
        <w:rPr>
          <w:color w:val="222222"/>
          <w:sz w:val="24"/>
          <w:szCs w:val="24"/>
          <w:highlight w:val="white"/>
          <w:rtl w:val="0"/>
        </w:rPr>
        <w:t xml:space="preserve">patří mezi složené lipidy obsahující fosfor a jsou hlavní částí všech buněčných membrán spolu s glykolipidy, cholesteroly a bílkovinami</w:t>
      </w:r>
    </w:p>
    <w:p w:rsidR="00000000" w:rsidDel="00000000" w:rsidP="00000000" w:rsidRDefault="00000000" w:rsidRPr="00000000">
      <w:pPr>
        <w:numPr>
          <w:ilvl w:val="0"/>
          <w:numId w:val="7"/>
        </w:numPr>
        <w:ind w:left="72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molekuly mají část hydrofobní (bojí se vody; do buňky), a hydrofilní (mají rádi vodu; z buňky).</w:t>
      </w:r>
      <w:r w:rsidDel="00000000" w:rsidR="00000000" w:rsidRPr="00000000">
        <w:rPr>
          <w:rtl w:val="0"/>
        </w:rPr>
      </w:r>
    </w:p>
    <w:p w:rsidR="00000000" w:rsidDel="00000000" w:rsidP="00000000" w:rsidRDefault="00000000" w:rsidRPr="00000000">
      <w:pPr>
        <w:pStyle w:val="Heading1"/>
        <w:contextualSpacing w:val="0"/>
        <w:rPr/>
      </w:pPr>
      <w:bookmarkStart w:colFirst="0" w:colLast="0" w:name="_voas7cegg8uu" w:id="3"/>
      <w:bookmarkEnd w:id="3"/>
      <w:r w:rsidDel="00000000" w:rsidR="00000000" w:rsidRPr="00000000">
        <w:rPr>
          <w:rtl w:val="0"/>
        </w:rPr>
        <w:t xml:space="preserve">Membránové proteiny (bílkoviny)</w:t>
      </w:r>
    </w:p>
    <w:p w:rsidR="00000000" w:rsidDel="00000000" w:rsidP="00000000" w:rsidRDefault="00000000" w:rsidRPr="00000000">
      <w:pPr>
        <w:numPr>
          <w:ilvl w:val="0"/>
          <w:numId w:val="12"/>
        </w:numPr>
        <w:ind w:left="720" w:hanging="360"/>
        <w:contextualSpacing w:val="1"/>
        <w:rPr>
          <w:u w:val="none"/>
        </w:rPr>
      </w:pPr>
      <w:r w:rsidDel="00000000" w:rsidR="00000000" w:rsidRPr="00000000">
        <w:rPr>
          <w:color w:val="ff0000"/>
          <w:rtl w:val="0"/>
        </w:rPr>
        <w:t xml:space="preserve">i</w:t>
      </w:r>
      <w:r w:rsidDel="00000000" w:rsidR="00000000" w:rsidRPr="00000000">
        <w:rPr>
          <w:color w:val="ff0000"/>
          <w:rtl w:val="0"/>
        </w:rPr>
        <w:t xml:space="preserve">ntegrální</w:t>
      </w:r>
      <w:r w:rsidDel="00000000" w:rsidR="00000000" w:rsidRPr="00000000">
        <w:rPr>
          <w:rtl w:val="0"/>
        </w:rPr>
        <w:t xml:space="preserve"> (transmembránový) - </w:t>
      </w:r>
      <w:r w:rsidDel="00000000" w:rsidR="00000000" w:rsidRPr="00000000">
        <w:rPr>
          <w:rtl w:val="0"/>
        </w:rPr>
        <w:t xml:space="preserve">umožňuje komunikaci skrz buněčnou membránu</w:t>
      </w:r>
    </w:p>
    <w:p w:rsidR="00000000" w:rsidDel="00000000" w:rsidP="00000000" w:rsidRDefault="00000000" w:rsidRPr="00000000">
      <w:pPr>
        <w:numPr>
          <w:ilvl w:val="0"/>
          <w:numId w:val="12"/>
        </w:numPr>
        <w:ind w:left="720" w:hanging="360"/>
        <w:contextualSpacing w:val="1"/>
        <w:rPr>
          <w:u w:val="none"/>
        </w:rPr>
      </w:pPr>
      <w:r w:rsidDel="00000000" w:rsidR="00000000" w:rsidRPr="00000000">
        <w:rPr>
          <w:color w:val="ff0000"/>
          <w:rtl w:val="0"/>
        </w:rPr>
        <w:t xml:space="preserve">periferní</w:t>
      </w:r>
      <w:r w:rsidDel="00000000" w:rsidR="00000000" w:rsidRPr="00000000">
        <w:rPr>
          <w:rtl w:val="0"/>
        </w:rPr>
        <w:t xml:space="preserve"> - neprochází skrz, ale leží pouze na vnitřní, nebo vnější straně buněčné membrány</w:t>
      </w:r>
    </w:p>
    <w:p w:rsidR="00000000" w:rsidDel="00000000" w:rsidP="00000000" w:rsidRDefault="00000000" w:rsidRPr="00000000">
      <w:pPr>
        <w:numPr>
          <w:ilvl w:val="0"/>
          <w:numId w:val="12"/>
        </w:numPr>
        <w:ind w:left="720" w:hanging="360"/>
        <w:contextualSpacing w:val="1"/>
        <w:rPr>
          <w:u w:val="none"/>
        </w:rPr>
      </w:pPr>
      <w:r w:rsidDel="00000000" w:rsidR="00000000" w:rsidRPr="00000000">
        <w:rPr>
          <w:color w:val="ff0000"/>
          <w:rtl w:val="0"/>
        </w:rPr>
        <w:t xml:space="preserve">kotevní (periferní)</w:t>
      </w:r>
      <w:r w:rsidDel="00000000" w:rsidR="00000000" w:rsidRPr="00000000">
        <w:rPr>
          <w:rtl w:val="0"/>
        </w:rPr>
        <w:t xml:space="preserve"> - drží ostatní proteiny na svém místě; tvoří tvar (kostru) buňky</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534025" cy="3819525"/>
            <wp:effectExtent b="0" l="0" r="0" t="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534025" cy="3819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bpiodyanpjxj" w:id="4"/>
      <w:bookmarkEnd w:id="4"/>
      <w:r w:rsidDel="00000000" w:rsidR="00000000" w:rsidRPr="00000000">
        <w:rPr>
          <w:rtl w:val="0"/>
        </w:rPr>
        <w:t xml:space="preserve">Membránový transport</w:t>
      </w:r>
    </w:p>
    <w:p w:rsidR="00000000" w:rsidDel="00000000" w:rsidP="00000000" w:rsidRDefault="00000000" w:rsidRPr="00000000">
      <w:pPr>
        <w:contextualSpacing w:val="0"/>
        <w:rPr/>
      </w:pPr>
      <w:r w:rsidDel="00000000" w:rsidR="00000000" w:rsidRPr="00000000">
        <w:rPr>
          <w:rtl w:val="0"/>
        </w:rPr>
        <w:t xml:space="preserve">= mezibuněčný přesun iontů, dýchacích plynů, extruze katabolizů z buňky, produkce různých látek pro potřeby dalších buněk, nebo molekul zajišťujících regulace</w:t>
      </w:r>
    </w:p>
    <w:p w:rsidR="00000000" w:rsidDel="00000000" w:rsidP="00000000" w:rsidRDefault="00000000" w:rsidRPr="00000000">
      <w:pPr>
        <w:contextualSpacing w:val="0"/>
        <w:rPr/>
      </w:pPr>
      <w:r w:rsidDel="00000000" w:rsidR="00000000" w:rsidRPr="00000000">
        <w:rPr>
          <w:rtl w:val="0"/>
        </w:rPr>
        <w:t xml:space="preserve">Transport se rozděluje podle typu na:</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aktivní</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sekundární aktivní</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pasivní</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přenos makromolekulárních látek</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iontové kanály</w:t>
      </w:r>
    </w:p>
    <w:p w:rsidR="00000000" w:rsidDel="00000000" w:rsidP="00000000" w:rsidRDefault="00000000" w:rsidRPr="00000000">
      <w:pPr>
        <w:pStyle w:val="Heading2"/>
        <w:contextualSpacing w:val="0"/>
        <w:rPr/>
      </w:pPr>
      <w:bookmarkStart w:colFirst="0" w:colLast="0" w:name="_z99ur8eayjp5" w:id="5"/>
      <w:bookmarkEnd w:id="5"/>
      <w:r w:rsidDel="00000000" w:rsidR="00000000" w:rsidRPr="00000000">
        <w:rPr>
          <w:rtl w:val="0"/>
        </w:rPr>
        <w:t xml:space="preserve">Primární aktivní transport (pumpy)</w:t>
      </w:r>
    </w:p>
    <w:p w:rsidR="00000000" w:rsidDel="00000000" w:rsidP="00000000" w:rsidRDefault="00000000" w:rsidRPr="00000000">
      <w:pPr>
        <w:contextualSpacing w:val="0"/>
        <w:rPr>
          <w:color w:val="ff0000"/>
        </w:rPr>
      </w:pPr>
      <w:r w:rsidDel="00000000" w:rsidR="00000000" w:rsidRPr="00000000">
        <w:rPr>
          <w:rtl w:val="0"/>
        </w:rPr>
        <w:t xml:space="preserve">= </w:t>
      </w:r>
      <w:r w:rsidDel="00000000" w:rsidR="00000000" w:rsidRPr="00000000">
        <w:rPr>
          <w:color w:val="ff0000"/>
          <w:rtl w:val="0"/>
        </w:rPr>
        <w:t xml:space="preserve">spotřebovává </w:t>
      </w:r>
      <w:r w:rsidDel="00000000" w:rsidR="00000000" w:rsidRPr="00000000">
        <w:rPr>
          <w:rtl w:val="0"/>
        </w:rPr>
        <w:t xml:space="preserve">chemickou energii uloženou v makroergních fosforečnanových esterech; molekuly jsou přenášeny </w:t>
      </w:r>
      <w:r w:rsidDel="00000000" w:rsidR="00000000" w:rsidRPr="00000000">
        <w:rPr>
          <w:color w:val="ff0000"/>
          <w:rtl w:val="0"/>
        </w:rPr>
        <w:t xml:space="preserve">proti </w:t>
      </w:r>
      <w:r w:rsidDel="00000000" w:rsidR="00000000" w:rsidRPr="00000000">
        <w:rPr>
          <w:rtl w:val="0"/>
        </w:rPr>
        <w:t xml:space="preserve">směru svému</w:t>
      </w:r>
      <w:r w:rsidDel="00000000" w:rsidR="00000000" w:rsidRPr="00000000">
        <w:rPr>
          <w:color w:val="ff0000"/>
          <w:rtl w:val="0"/>
        </w:rPr>
        <w:t xml:space="preserve"> koncentračnímu gradientu</w:t>
      </w:r>
    </w:p>
    <w:p w:rsidR="00000000" w:rsidDel="00000000" w:rsidP="00000000" w:rsidRDefault="00000000" w:rsidRPr="00000000">
      <w:pPr>
        <w:pStyle w:val="Heading3"/>
        <w:contextualSpacing w:val="0"/>
        <w:rPr/>
      </w:pPr>
      <w:bookmarkStart w:colFirst="0" w:colLast="0" w:name="_i3rrkcai6xmf" w:id="6"/>
      <w:bookmarkEnd w:id="6"/>
      <w:r w:rsidDel="00000000" w:rsidR="00000000" w:rsidRPr="00000000">
        <w:rPr>
          <w:rtl w:val="0"/>
        </w:rPr>
        <w:t xml:space="preserve">Sodíko-draslíková pumpa ( Na</w:t>
      </w:r>
      <w:r w:rsidDel="00000000" w:rsidR="00000000" w:rsidRPr="00000000">
        <w:rPr>
          <w:vertAlign w:val="superscript"/>
          <w:rtl w:val="0"/>
        </w:rPr>
        <w:t xml:space="preserve">+</w:t>
      </w:r>
      <w:r w:rsidDel="00000000" w:rsidR="00000000" w:rsidRPr="00000000">
        <w:rPr>
          <w:rtl w:val="0"/>
        </w:rPr>
        <w:t xml:space="preserve">/K</w:t>
      </w:r>
      <w:r w:rsidDel="00000000" w:rsidR="00000000" w:rsidRPr="00000000">
        <w:rPr>
          <w:vertAlign w:val="superscript"/>
          <w:rtl w:val="0"/>
        </w:rPr>
        <w:t xml:space="preserve">+</w:t>
      </w:r>
      <w:r w:rsidDel="00000000" w:rsidR="00000000" w:rsidRPr="00000000">
        <w:rPr>
          <w:rtl w:val="0"/>
        </w:rPr>
        <w:t xml:space="preserve"> ATPáza)</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přesouvá iony </w:t>
      </w:r>
      <w:r w:rsidDel="00000000" w:rsidR="00000000" w:rsidRPr="00000000">
        <w:rPr>
          <w:color w:val="ff9900"/>
          <w:rtl w:val="0"/>
        </w:rPr>
        <w:t xml:space="preserve">sodíku </w:t>
      </w:r>
      <w:r w:rsidDel="00000000" w:rsidR="00000000" w:rsidRPr="00000000">
        <w:rPr>
          <w:rtl w:val="0"/>
        </w:rPr>
        <w:t xml:space="preserve">a </w:t>
      </w:r>
      <w:r w:rsidDel="00000000" w:rsidR="00000000" w:rsidRPr="00000000">
        <w:rPr>
          <w:color w:val="ff9900"/>
          <w:rtl w:val="0"/>
        </w:rPr>
        <w:t xml:space="preserve">draslíku </w:t>
      </w:r>
      <w:r w:rsidDel="00000000" w:rsidR="00000000" w:rsidRPr="00000000">
        <w:rPr>
          <w:rtl w:val="0"/>
        </w:rPr>
        <w:t xml:space="preserve">přes buněčnou membránu </w:t>
      </w:r>
      <w:r w:rsidDel="00000000" w:rsidR="00000000" w:rsidRPr="00000000">
        <w:rPr>
          <w:color w:val="ff0000"/>
          <w:rtl w:val="0"/>
        </w:rPr>
        <w:t xml:space="preserve">proti koncentračnímu gradientu</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kotransport = přenáší zároveň dvě substance (Na</w:t>
      </w:r>
      <w:r w:rsidDel="00000000" w:rsidR="00000000" w:rsidRPr="00000000">
        <w:rPr>
          <w:vertAlign w:val="superscript"/>
          <w:rtl w:val="0"/>
        </w:rPr>
        <w:t xml:space="preserve">+</w:t>
      </w:r>
      <w:r w:rsidDel="00000000" w:rsidR="00000000" w:rsidRPr="00000000">
        <w:rPr>
          <w:rtl w:val="0"/>
        </w:rPr>
        <w:t xml:space="preserve"> K</w:t>
      </w:r>
      <w:r w:rsidDel="00000000" w:rsidR="00000000" w:rsidRPr="00000000">
        <w:rPr>
          <w:vertAlign w:val="superscript"/>
          <w:rtl w:val="0"/>
        </w:rPr>
        <w:t xml:space="preserve">+</w:t>
      </w:r>
      <w:r w:rsidDel="00000000" w:rsidR="00000000" w:rsidRPr="00000000">
        <w:rPr>
          <w:rtl w:val="0"/>
        </w:rPr>
        <w:t xml:space="preserv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pro každé 2 ionty</w:t>
      </w:r>
      <w:r w:rsidDel="00000000" w:rsidR="00000000" w:rsidRPr="00000000">
        <w:rPr>
          <w:color w:val="ff0000"/>
          <w:rtl w:val="0"/>
        </w:rPr>
        <w:t xml:space="preserve"> K</w:t>
      </w:r>
      <w:r w:rsidDel="00000000" w:rsidR="00000000" w:rsidRPr="00000000">
        <w:rPr>
          <w:color w:val="ff0000"/>
          <w:vertAlign w:val="superscript"/>
          <w:rtl w:val="0"/>
        </w:rPr>
        <w:t xml:space="preserve">+</w:t>
      </w:r>
      <w:r w:rsidDel="00000000" w:rsidR="00000000" w:rsidRPr="00000000">
        <w:rPr>
          <w:rtl w:val="0"/>
        </w:rPr>
        <w:t xml:space="preserve"> přesunuté </w:t>
      </w:r>
      <w:r w:rsidDel="00000000" w:rsidR="00000000" w:rsidRPr="00000000">
        <w:rPr>
          <w:color w:val="ff0000"/>
          <w:rtl w:val="0"/>
        </w:rPr>
        <w:t xml:space="preserve">dovnitř </w:t>
      </w:r>
      <w:r w:rsidDel="00000000" w:rsidR="00000000" w:rsidRPr="00000000">
        <w:rPr>
          <w:rtl w:val="0"/>
        </w:rPr>
        <w:t xml:space="preserve">buňky přenese 3 ionty</w:t>
      </w:r>
      <w:r w:rsidDel="00000000" w:rsidR="00000000" w:rsidRPr="00000000">
        <w:rPr>
          <w:color w:val="0000ff"/>
          <w:rtl w:val="0"/>
        </w:rPr>
        <w:t xml:space="preserve"> Na</w:t>
      </w:r>
      <w:r w:rsidDel="00000000" w:rsidR="00000000" w:rsidRPr="00000000">
        <w:rPr>
          <w:color w:val="0000ff"/>
          <w:vertAlign w:val="superscript"/>
          <w:rtl w:val="0"/>
        </w:rPr>
        <w:t xml:space="preserve">+</w:t>
      </w:r>
      <w:r w:rsidDel="00000000" w:rsidR="00000000" w:rsidRPr="00000000">
        <w:rPr>
          <w:rtl w:val="0"/>
        </w:rPr>
        <w:t xml:space="preserve"> </w:t>
      </w:r>
      <w:r w:rsidDel="00000000" w:rsidR="00000000" w:rsidRPr="00000000">
        <w:rPr>
          <w:color w:val="0000ff"/>
          <w:rtl w:val="0"/>
        </w:rPr>
        <w:t xml:space="preserve">ven </w:t>
      </w:r>
      <w:r w:rsidDel="00000000" w:rsidR="00000000" w:rsidRPr="00000000">
        <w:rPr>
          <w:rtl w:val="0"/>
        </w:rPr>
        <w:t xml:space="preserve">z buňky</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pracuje v cyklu, trvajícím asi 10 ms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313469" cy="1841464"/>
            <wp:effectExtent b="0" l="0" r="0" t="0"/>
            <wp:docPr id="14"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4313469" cy="184146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i6hqi11jbwwv" w:id="7"/>
      <w:bookmarkEnd w:id="7"/>
      <w:r w:rsidDel="00000000" w:rsidR="00000000" w:rsidRPr="00000000">
        <w:rPr>
          <w:rtl w:val="0"/>
        </w:rPr>
        <w:t xml:space="preserve">Mechanismus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na vnitřní straně membrány se naváže sodík (3 ionty</w:t>
      </w:r>
      <w:r w:rsidDel="00000000" w:rsidR="00000000" w:rsidRPr="00000000">
        <w:rPr>
          <w:color w:val="0000ff"/>
          <w:rtl w:val="0"/>
        </w:rPr>
        <w:t xml:space="preserve"> Na</w:t>
      </w:r>
      <w:r w:rsidDel="00000000" w:rsidR="00000000" w:rsidRPr="00000000">
        <w:rPr>
          <w:color w:val="0000ff"/>
          <w:vertAlign w:val="superscript"/>
          <w:rtl w:val="0"/>
        </w:rPr>
        <w:t xml:space="preserve">+</w:t>
      </w:r>
      <w:r w:rsidDel="00000000" w:rsidR="00000000" w:rsidRPr="00000000">
        <w:rPr>
          <w:rtl w:val="0"/>
        </w:rPr>
        <w:t xml:space="preserv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aktivuje se ATPázová činnost enzymu</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dojde k fosforylaci pumpy za spotřeby ATP</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celá molekula změní konformaci a uvolní sodík ven z buňky na opačné straně membrány (venku)</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uvolní se místo pro draslík (2 ionty</w:t>
      </w:r>
      <w:r w:rsidDel="00000000" w:rsidR="00000000" w:rsidRPr="00000000">
        <w:rPr>
          <w:color w:val="ff0000"/>
          <w:rtl w:val="0"/>
        </w:rPr>
        <w:t xml:space="preserve"> K</w:t>
      </w:r>
      <w:r w:rsidDel="00000000" w:rsidR="00000000" w:rsidRPr="00000000">
        <w:rPr>
          <w:color w:val="ff0000"/>
          <w:vertAlign w:val="superscript"/>
          <w:rtl w:val="0"/>
        </w:rPr>
        <w:t xml:space="preserve">+</w:t>
      </w:r>
      <w:r w:rsidDel="00000000" w:rsidR="00000000" w:rsidRPr="00000000">
        <w:rPr>
          <w:rtl w:val="0"/>
        </w:rPr>
        <w:t xml:space="preserve">) přítomné v extracelulární tekutině</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tyto ionty se navážou na sodno-draselnou pumpu</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sodno-draselná pumpa se defosforyluje (odebere se fosfát z dríve navázaného ATP)</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opět se změní prostorové uspořádání molekuly</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draslík je uvolněn do vnitrního prostoru pumpy</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a celé opět dokola</w:t>
      </w:r>
      <w:r w:rsidDel="00000000" w:rsidR="00000000" w:rsidRPr="00000000">
        <w:rPr>
          <w:rtl w:val="0"/>
        </w:rPr>
      </w:r>
    </w:p>
    <w:p w:rsidR="00000000" w:rsidDel="00000000" w:rsidP="00000000" w:rsidRDefault="00000000" w:rsidRPr="00000000">
      <w:pPr>
        <w:pStyle w:val="Heading2"/>
        <w:contextualSpacing w:val="0"/>
        <w:rPr/>
      </w:pPr>
      <w:bookmarkStart w:colFirst="0" w:colLast="0" w:name="_tngw9hbob47z" w:id="8"/>
      <w:bookmarkEnd w:id="8"/>
      <w:r w:rsidDel="00000000" w:rsidR="00000000" w:rsidRPr="00000000">
        <w:rPr>
          <w:rtl w:val="0"/>
        </w:rPr>
        <w:t xml:space="preserve">Sekundární aktivní transport</w:t>
      </w:r>
    </w:p>
    <w:p w:rsidR="00000000" w:rsidDel="00000000" w:rsidP="00000000" w:rsidRDefault="00000000" w:rsidRPr="00000000">
      <w:pPr>
        <w:contextualSpacing w:val="0"/>
        <w:rPr>
          <w:highlight w:val="white"/>
        </w:rPr>
      </w:pPr>
      <w:r w:rsidDel="00000000" w:rsidR="00000000" w:rsidRPr="00000000">
        <w:rPr>
          <w:rtl w:val="0"/>
        </w:rPr>
        <w:t xml:space="preserve">= </w:t>
      </w:r>
      <w:r w:rsidDel="00000000" w:rsidR="00000000" w:rsidRPr="00000000">
        <w:rPr>
          <w:highlight w:val="white"/>
          <w:rtl w:val="0"/>
        </w:rPr>
        <w:t xml:space="preserve">tento systém je sám o sobě pasivní, ale je spřežen s jiným energii spotřebovávajícím systémem</w:t>
      </w:r>
    </w:p>
    <w:p w:rsidR="00000000" w:rsidDel="00000000" w:rsidP="00000000" w:rsidRDefault="00000000" w:rsidRPr="00000000">
      <w:pPr>
        <w:numPr>
          <w:ilvl w:val="0"/>
          <w:numId w:val="15"/>
        </w:numPr>
        <w:ind w:left="720" w:hanging="360"/>
        <w:contextualSpacing w:val="1"/>
        <w:rPr>
          <w:highlight w:val="white"/>
          <w:u w:val="none"/>
        </w:rPr>
      </w:pPr>
      <w:r w:rsidDel="00000000" w:rsidR="00000000" w:rsidRPr="00000000">
        <w:rPr>
          <w:color w:val="ff0000"/>
          <w:highlight w:val="white"/>
          <w:rtl w:val="0"/>
        </w:rPr>
        <w:t xml:space="preserve">symport </w:t>
      </w:r>
      <w:r w:rsidDel="00000000" w:rsidR="00000000" w:rsidRPr="00000000">
        <w:rPr>
          <w:highlight w:val="white"/>
          <w:rtl w:val="0"/>
        </w:rPr>
        <w:t xml:space="preserve">- systém spřaženého transportu dvou látek v témže směru</w:t>
      </w:r>
      <w:r w:rsidDel="00000000" w:rsidR="00000000" w:rsidRPr="00000000">
        <w:drawing>
          <wp:anchor allowOverlap="1" behindDoc="0" distB="114300" distT="114300" distL="114300" distR="114300" hidden="0" layoutInCell="1" locked="0" relativeHeight="0" simplePos="0">
            <wp:simplePos x="0" y="0"/>
            <wp:positionH relativeFrom="margin">
              <wp:posOffset>2725917</wp:posOffset>
            </wp:positionH>
            <wp:positionV relativeFrom="paragraph">
              <wp:posOffset>122253</wp:posOffset>
            </wp:positionV>
            <wp:extent cx="2893833" cy="1392222"/>
            <wp:effectExtent b="0" l="0" r="0" t="0"/>
            <wp:wrapSquare wrapText="bothSides" distB="114300" distT="114300" distL="114300" distR="114300"/>
            <wp:docPr id="13"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2893833" cy="1392222"/>
                    </a:xfrm>
                    <a:prstGeom prst="rect"/>
                    <a:ln/>
                  </pic:spPr>
                </pic:pic>
              </a:graphicData>
            </a:graphic>
          </wp:anchor>
        </w:drawing>
      </w:r>
    </w:p>
    <w:p w:rsidR="00000000" w:rsidDel="00000000" w:rsidP="00000000" w:rsidRDefault="00000000" w:rsidRPr="00000000">
      <w:pPr>
        <w:numPr>
          <w:ilvl w:val="1"/>
          <w:numId w:val="15"/>
        </w:numPr>
        <w:ind w:left="1440" w:hanging="360"/>
        <w:contextualSpacing w:val="1"/>
        <w:rPr>
          <w:highlight w:val="white"/>
          <w:u w:val="none"/>
        </w:rPr>
      </w:pPr>
      <w:r w:rsidDel="00000000" w:rsidR="00000000" w:rsidRPr="00000000">
        <w:rPr>
          <w:highlight w:val="white"/>
          <w:rtl w:val="0"/>
        </w:rPr>
        <w:t xml:space="preserve">akumulace glukózy v buňkách</w:t>
      </w:r>
    </w:p>
    <w:p w:rsidR="00000000" w:rsidDel="00000000" w:rsidP="00000000" w:rsidRDefault="00000000" w:rsidRPr="00000000">
      <w:pPr>
        <w:numPr>
          <w:ilvl w:val="0"/>
          <w:numId w:val="15"/>
        </w:numPr>
        <w:ind w:left="720" w:hanging="360"/>
        <w:contextualSpacing w:val="1"/>
        <w:rPr>
          <w:highlight w:val="white"/>
          <w:u w:val="none"/>
        </w:rPr>
      </w:pPr>
      <w:r w:rsidDel="00000000" w:rsidR="00000000" w:rsidRPr="00000000">
        <w:rPr>
          <w:color w:val="ff0000"/>
          <w:highlight w:val="white"/>
          <w:rtl w:val="0"/>
        </w:rPr>
        <w:t xml:space="preserve">antiport </w:t>
      </w:r>
      <w:r w:rsidDel="00000000" w:rsidR="00000000" w:rsidRPr="00000000">
        <w:rPr>
          <w:highlight w:val="white"/>
          <w:rtl w:val="0"/>
        </w:rPr>
        <w:t xml:space="preserve"> - systém spřaženého transportu dvou látek v opačném směru</w:t>
      </w:r>
    </w:p>
    <w:p w:rsidR="00000000" w:rsidDel="00000000" w:rsidP="00000000" w:rsidRDefault="00000000" w:rsidRPr="00000000">
      <w:pPr>
        <w:numPr>
          <w:ilvl w:val="1"/>
          <w:numId w:val="15"/>
        </w:numPr>
        <w:ind w:left="1440" w:hanging="360"/>
        <w:contextualSpacing w:val="1"/>
        <w:rPr>
          <w:highlight w:val="white"/>
          <w:u w:val="none"/>
        </w:rPr>
      </w:pPr>
      <w:r w:rsidDel="00000000" w:rsidR="00000000" w:rsidRPr="00000000">
        <w:rPr>
          <w:highlight w:val="white"/>
          <w:rtl w:val="0"/>
        </w:rPr>
        <w:t xml:space="preserve">sekrece vodíkových iontů v ledvinných tubulech</w:t>
      </w:r>
    </w:p>
    <w:p w:rsidR="00000000" w:rsidDel="00000000" w:rsidP="00000000" w:rsidRDefault="00000000" w:rsidRPr="00000000">
      <w:pPr>
        <w:pStyle w:val="Heading2"/>
        <w:contextualSpacing w:val="0"/>
        <w:rPr/>
      </w:pPr>
      <w:bookmarkStart w:colFirst="0" w:colLast="0" w:name="_rcmcsos3ybn8" w:id="9"/>
      <w:bookmarkEnd w:id="9"/>
      <w:r w:rsidDel="00000000" w:rsidR="00000000" w:rsidRPr="00000000">
        <w:rPr>
          <w:rtl w:val="0"/>
        </w:rPr>
        <w:t xml:space="preserve">Pasivní transport</w:t>
      </w:r>
    </w:p>
    <w:p w:rsidR="00000000" w:rsidDel="00000000" w:rsidP="00000000" w:rsidRDefault="00000000" w:rsidRPr="00000000">
      <w:pPr>
        <w:contextualSpacing w:val="0"/>
        <w:rPr/>
      </w:pPr>
      <w:r w:rsidDel="00000000" w:rsidR="00000000" w:rsidRPr="00000000">
        <w:rPr>
          <w:rtl w:val="0"/>
        </w:rPr>
        <w:t xml:space="preserve">= nespotřebovává chemickou energii; molekuly jsou přenášeny ve směru svého koncentračního gradientu</w:t>
      </w:r>
    </w:p>
    <w:p w:rsidR="00000000" w:rsidDel="00000000" w:rsidP="00000000" w:rsidRDefault="00000000" w:rsidRPr="00000000">
      <w:pPr>
        <w:contextualSpacing w:val="0"/>
        <w:rPr/>
      </w:pPr>
      <w:r w:rsidDel="00000000" w:rsidR="00000000" w:rsidRPr="00000000">
        <w:rPr>
          <w:rtl w:val="0"/>
        </w:rPr>
        <w:t xml:space="preserve">Dělí se na:</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difuze</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facilitovaná difuze</w:t>
      </w:r>
      <w:r w:rsidDel="00000000" w:rsidR="00000000" w:rsidRPr="00000000">
        <w:rPr>
          <w:rtl w:val="0"/>
        </w:rPr>
      </w:r>
    </w:p>
    <w:p w:rsidR="00000000" w:rsidDel="00000000" w:rsidP="00000000" w:rsidRDefault="00000000" w:rsidRPr="00000000">
      <w:pPr>
        <w:pStyle w:val="Heading3"/>
        <w:contextualSpacing w:val="0"/>
        <w:rPr/>
      </w:pPr>
      <w:bookmarkStart w:colFirst="0" w:colLast="0" w:name="_xyx6lzm4jhjy" w:id="10"/>
      <w:bookmarkEnd w:id="10"/>
      <w:r w:rsidDel="00000000" w:rsidR="00000000" w:rsidRPr="00000000">
        <w:rPr>
          <w:rtl w:val="0"/>
        </w:rPr>
        <w:t xml:space="preserve">Difuze</w:t>
      </w:r>
    </w:p>
    <w:p w:rsidR="00000000" w:rsidDel="00000000" w:rsidP="00000000" w:rsidRDefault="00000000" w:rsidRPr="00000000">
      <w:pPr>
        <w:contextualSpacing w:val="0"/>
        <w:rPr/>
      </w:pPr>
      <w:r w:rsidDel="00000000" w:rsidR="00000000" w:rsidRPr="00000000">
        <w:rPr>
          <w:rtl w:val="0"/>
        </w:rPr>
        <w:t xml:space="preserve">= je samovolný transport hmoty, který je zapříčiněn snahou o vyrovnání složení soustavy mezi buňkami s buněčnou membránou a zevním okolím</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jeden z nejdůležitějších fyzikálních dějů, který umožňuje pohyb látek uvnitř hmoty</w:t>
      </w:r>
    </w:p>
    <w:p w:rsidR="00000000" w:rsidDel="00000000" w:rsidP="00000000" w:rsidRDefault="00000000" w:rsidRPr="00000000">
      <w:pPr>
        <w:numPr>
          <w:ilvl w:val="0"/>
          <w:numId w:val="11"/>
        </w:numPr>
        <w:ind w:left="720" w:hanging="360"/>
        <w:contextualSpacing w:val="1"/>
        <w:rPr>
          <w:u w:val="none"/>
        </w:rPr>
      </w:pPr>
      <w:r w:rsidDel="00000000" w:rsidR="00000000" w:rsidRPr="00000000">
        <w:rPr>
          <w:color w:val="0000ff"/>
          <w:highlight w:val="white"/>
          <w:rtl w:val="0"/>
        </w:rPr>
        <w:t xml:space="preserve">rychlost </w:t>
      </w:r>
      <w:r w:rsidDel="00000000" w:rsidR="00000000" w:rsidRPr="00000000">
        <w:rPr>
          <w:highlight w:val="white"/>
          <w:rtl w:val="0"/>
        </w:rPr>
        <w:t xml:space="preserve">difuze </w:t>
      </w:r>
      <w:r w:rsidDel="00000000" w:rsidR="00000000" w:rsidRPr="00000000">
        <w:rPr>
          <w:color w:val="ff0000"/>
          <w:highlight w:val="white"/>
          <w:rtl w:val="0"/>
        </w:rPr>
        <w:t xml:space="preserve">stoupá přímo úměrně</w:t>
      </w:r>
      <w:r w:rsidDel="00000000" w:rsidR="00000000" w:rsidRPr="00000000">
        <w:rPr>
          <w:highlight w:val="white"/>
          <w:rtl w:val="0"/>
        </w:rPr>
        <w:t xml:space="preserve"> s koncentrací difundované látky</w:t>
      </w:r>
    </w:p>
    <w:p w:rsidR="00000000" w:rsidDel="00000000" w:rsidP="00000000" w:rsidRDefault="00000000" w:rsidRPr="00000000">
      <w:pPr>
        <w:numPr>
          <w:ilvl w:val="0"/>
          <w:numId w:val="11"/>
        </w:numPr>
        <w:ind w:left="720" w:hanging="360"/>
        <w:contextualSpacing w:val="1"/>
        <w:rPr>
          <w:highlight w:val="white"/>
          <w:u w:val="none"/>
        </w:rPr>
      </w:pPr>
      <w:r w:rsidDel="00000000" w:rsidR="00000000" w:rsidRPr="00000000">
        <w:rPr>
          <w:highlight w:val="white"/>
          <w:rtl w:val="0"/>
        </w:rPr>
        <w:t xml:space="preserve">přenáší se především malé hydrofobní molekuly</w:t>
      </w:r>
    </w:p>
    <w:p w:rsidR="00000000" w:rsidDel="00000000" w:rsidP="00000000" w:rsidRDefault="00000000" w:rsidRPr="00000000">
      <w:pPr>
        <w:numPr>
          <w:ilvl w:val="0"/>
          <w:numId w:val="11"/>
        </w:numPr>
        <w:ind w:left="720" w:hanging="360"/>
        <w:contextualSpacing w:val="1"/>
        <w:rPr>
          <w:highlight w:val="white"/>
          <w:u w:val="none"/>
        </w:rPr>
      </w:pPr>
      <w:r w:rsidDel="00000000" w:rsidR="00000000" w:rsidRPr="00000000">
        <w:rPr>
          <w:highlight w:val="white"/>
          <w:rtl w:val="0"/>
        </w:rPr>
        <w:t xml:space="preserve">hydrofilní látky nepronikají lipoidní dvojvrstvou, ale místy, kde je membrána částečně, nebo zcela přemostěna bílkovinnými molekulami</w:t>
      </w:r>
    </w:p>
    <w:p w:rsidR="00000000" w:rsidDel="00000000" w:rsidP="00000000" w:rsidRDefault="00000000" w:rsidRPr="00000000">
      <w:pPr>
        <w:pStyle w:val="Heading3"/>
        <w:contextualSpacing w:val="0"/>
        <w:rPr/>
      </w:pPr>
      <w:bookmarkStart w:colFirst="0" w:colLast="0" w:name="_jn60bqjxdfeh" w:id="11"/>
      <w:bookmarkEnd w:id="11"/>
      <w:r w:rsidDel="00000000" w:rsidR="00000000" w:rsidRPr="00000000">
        <w:rPr>
          <w:rtl w:val="0"/>
        </w:rPr>
        <w:t xml:space="preserve">Facilitovaná difuze</w:t>
      </w:r>
    </w:p>
    <w:p w:rsidR="00000000" w:rsidDel="00000000" w:rsidP="00000000" w:rsidRDefault="00000000" w:rsidRPr="00000000">
      <w:pPr>
        <w:contextualSpacing w:val="0"/>
        <w:rPr/>
      </w:pPr>
      <w:r w:rsidDel="00000000" w:rsidR="00000000" w:rsidRPr="00000000">
        <w:rPr>
          <w:rtl w:val="0"/>
        </w:rPr>
        <w:t xml:space="preserve">= přes membránu přecházejí látky po svém elektrochemickém gradientu pomocí přenašečů zabudovaných do membrán</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kapacita přenašeče je limitována, proto při vzestupu koncentrace difundované látky nejprve stoupá rychlost difuse</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při nasycení kapacity přenašeče se už </w:t>
      </w:r>
      <w:r w:rsidDel="00000000" w:rsidR="00000000" w:rsidRPr="00000000">
        <w:rPr>
          <w:color w:val="0000ff"/>
          <w:rtl w:val="0"/>
        </w:rPr>
        <w:t xml:space="preserve">rychlost </w:t>
      </w:r>
      <w:r w:rsidDel="00000000" w:rsidR="00000000" w:rsidRPr="00000000">
        <w:rPr>
          <w:rtl w:val="0"/>
        </w:rPr>
        <w:t xml:space="preserve">difuze </w:t>
      </w:r>
      <w:r w:rsidDel="00000000" w:rsidR="00000000" w:rsidRPr="00000000">
        <w:rPr>
          <w:color w:val="ff0000"/>
          <w:rtl w:val="0"/>
        </w:rPr>
        <w:t xml:space="preserve">nemění</w:t>
      </w:r>
    </w:p>
    <w:p w:rsidR="00000000" w:rsidDel="00000000" w:rsidP="00000000" w:rsidRDefault="00000000" w:rsidRPr="00000000">
      <w:pPr>
        <w:numPr>
          <w:ilvl w:val="0"/>
          <w:numId w:val="8"/>
        </w:numPr>
        <w:ind w:left="720" w:hanging="360"/>
        <w:contextualSpacing w:val="1"/>
        <w:rPr/>
      </w:pPr>
      <w:r w:rsidDel="00000000" w:rsidR="00000000" w:rsidRPr="00000000">
        <w:rPr>
          <w:highlight w:val="white"/>
          <w:rtl w:val="0"/>
        </w:rPr>
        <w:t xml:space="preserve">aminokyseliny, proteiny, ionty větších rozměrů</w:t>
      </w:r>
      <w:r w:rsidDel="00000000" w:rsidR="00000000" w:rsidRPr="00000000">
        <w:rPr>
          <w:rtl w:val="0"/>
        </w:rPr>
      </w:r>
    </w:p>
    <w:p w:rsidR="00000000" w:rsidDel="00000000" w:rsidP="00000000" w:rsidRDefault="00000000" w:rsidRPr="00000000">
      <w:pPr>
        <w:pStyle w:val="Heading2"/>
        <w:contextualSpacing w:val="0"/>
        <w:rPr/>
      </w:pPr>
      <w:bookmarkStart w:colFirst="0" w:colLast="0" w:name="_m53bmunhn3sx" w:id="12"/>
      <w:bookmarkEnd w:id="12"/>
      <w:r w:rsidDel="00000000" w:rsidR="00000000" w:rsidRPr="00000000">
        <w:rPr>
          <w:rtl w:val="0"/>
        </w:rPr>
        <w:t xml:space="preserve">Transport makromolekulárních látek</w:t>
      </w:r>
    </w:p>
    <w:p w:rsidR="00000000" w:rsidDel="00000000" w:rsidP="00000000" w:rsidRDefault="00000000" w:rsidRPr="00000000">
      <w:pPr>
        <w:contextualSpacing w:val="0"/>
        <w:rPr/>
      </w:pPr>
      <w:r w:rsidDel="00000000" w:rsidR="00000000" w:rsidRPr="00000000">
        <w:rPr>
          <w:rtl w:val="0"/>
        </w:rPr>
        <w:t xml:space="preserve">= spotřebovává energii; nutná spolupráce cytoskeletonu</w:t>
      </w:r>
    </w:p>
    <w:p w:rsidR="00000000" w:rsidDel="00000000" w:rsidP="00000000" w:rsidRDefault="00000000" w:rsidRPr="00000000">
      <w:pPr>
        <w:pStyle w:val="Heading2"/>
        <w:contextualSpacing w:val="0"/>
        <w:rPr/>
      </w:pPr>
      <w:bookmarkStart w:colFirst="0" w:colLast="0" w:name="_ifk7ny96b3h4" w:id="13"/>
      <w:bookmarkEnd w:id="13"/>
      <w:r w:rsidDel="00000000" w:rsidR="00000000" w:rsidRPr="00000000">
        <w:rPr>
          <w:rtl w:val="0"/>
        </w:rPr>
        <w:t xml:space="preserve">Iontové kanály</w:t>
      </w:r>
    </w:p>
    <w:p w:rsidR="00000000" w:rsidDel="00000000" w:rsidP="00000000" w:rsidRDefault="00000000" w:rsidRPr="00000000">
      <w:pPr>
        <w:contextualSpacing w:val="0"/>
        <w:rPr/>
      </w:pPr>
      <w:r w:rsidDel="00000000" w:rsidR="00000000" w:rsidRPr="00000000">
        <w:rPr>
          <w:rtl w:val="0"/>
        </w:rPr>
        <w:t xml:space="preserve">= uplatňují se především při vedení nervového vzruchu a při vzniku akčního potenciálu</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prostup iontů membránou je mimořádně rychlý</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ionty putují více či méně specifickými kanály</w:t>
      </w:r>
    </w:p>
    <w:p w:rsidR="00000000" w:rsidDel="00000000" w:rsidP="00000000" w:rsidRDefault="00000000" w:rsidRPr="00000000">
      <w:pPr>
        <w:contextualSpacing w:val="0"/>
        <w:rPr/>
      </w:pPr>
      <w:r w:rsidDel="00000000" w:rsidR="00000000" w:rsidRPr="00000000">
        <w:rPr>
          <w:rtl w:val="0"/>
        </w:rPr>
        <w:t xml:space="preserve">Dva základní typy kanálů:</w:t>
      </w:r>
    </w:p>
    <w:p w:rsidR="00000000" w:rsidDel="00000000" w:rsidP="00000000" w:rsidRDefault="00000000" w:rsidRPr="00000000">
      <w:pPr>
        <w:numPr>
          <w:ilvl w:val="0"/>
          <w:numId w:val="3"/>
        </w:numPr>
        <w:ind w:left="720" w:hanging="360"/>
        <w:contextualSpacing w:val="1"/>
        <w:rPr>
          <w:u w:val="none"/>
        </w:rPr>
      </w:pPr>
      <w:r w:rsidDel="00000000" w:rsidR="00000000" w:rsidRPr="00000000">
        <w:rPr>
          <w:color w:val="ff0000"/>
          <w:rtl w:val="0"/>
        </w:rPr>
        <w:t xml:space="preserve">K-kanály</w:t>
      </w:r>
      <w:r w:rsidDel="00000000" w:rsidR="00000000" w:rsidRPr="00000000">
        <w:rPr>
          <w:rtl w:val="0"/>
        </w:rPr>
        <w:t xml:space="preserve"> - mají velké ústí, opatřené pohyblivou záklopkou, a přecházejí do užšího póru; těmito kanály prostupují K</w:t>
      </w:r>
      <w:r w:rsidDel="00000000" w:rsidR="00000000" w:rsidRPr="00000000">
        <w:rPr>
          <w:vertAlign w:val="superscript"/>
          <w:rtl w:val="0"/>
        </w:rPr>
        <w:t xml:space="preserve">+</w:t>
      </w:r>
      <w:r w:rsidDel="00000000" w:rsidR="00000000" w:rsidRPr="00000000">
        <w:rPr>
          <w:rtl w:val="0"/>
        </w:rPr>
        <w:t xml:space="preserve">, Rb</w:t>
      </w:r>
      <w:r w:rsidDel="00000000" w:rsidR="00000000" w:rsidRPr="00000000">
        <w:rPr>
          <w:vertAlign w:val="superscript"/>
          <w:rtl w:val="0"/>
        </w:rPr>
        <w:t xml:space="preserve">+</w:t>
      </w:r>
      <w:r w:rsidDel="00000000" w:rsidR="00000000" w:rsidRPr="00000000">
        <w:rPr>
          <w:rtl w:val="0"/>
        </w:rPr>
        <w:t xml:space="preserve"> a NH</w:t>
      </w:r>
      <w:r w:rsidDel="00000000" w:rsidR="00000000" w:rsidRPr="00000000">
        <w:rPr>
          <w:vertAlign w:val="subscript"/>
          <w:rtl w:val="0"/>
        </w:rPr>
        <w:t xml:space="preserve">4</w:t>
      </w:r>
      <w:r w:rsidDel="00000000" w:rsidR="00000000" w:rsidRPr="00000000">
        <w:rPr>
          <w:vertAlign w:val="superscript"/>
          <w:rtl w:val="0"/>
        </w:rPr>
        <w:t xml:space="preserve">+</w:t>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color w:val="ff0000"/>
          <w:rtl w:val="0"/>
        </w:rPr>
        <w:t xml:space="preserve">Na-kanály</w:t>
      </w:r>
      <w:r w:rsidDel="00000000" w:rsidR="00000000" w:rsidRPr="00000000">
        <w:rPr>
          <w:rtl w:val="0"/>
        </w:rPr>
        <w:t xml:space="preserve"> - proniká Na</w:t>
      </w:r>
      <w:r w:rsidDel="00000000" w:rsidR="00000000" w:rsidRPr="00000000">
        <w:rPr>
          <w:vertAlign w:val="superscript"/>
          <w:rtl w:val="0"/>
        </w:rPr>
        <w:t xml:space="preserve">+</w:t>
      </w:r>
      <w:r w:rsidDel="00000000" w:rsidR="00000000" w:rsidRPr="00000000">
        <w:rPr>
          <w:rtl w:val="0"/>
        </w:rPr>
        <w:t xml:space="preserve">, ale i některé další ionty; nitro póru je mnohem širší, než jeho ústí, která má i funkci záklopky</w:t>
      </w:r>
    </w:p>
    <w:p w:rsidR="00000000" w:rsidDel="00000000" w:rsidP="00000000" w:rsidRDefault="00000000" w:rsidRPr="00000000">
      <w:pPr>
        <w:contextualSpacing w:val="0"/>
        <w:rPr>
          <w:highlight w:val="white"/>
        </w:rPr>
      </w:pPr>
      <w:r w:rsidDel="00000000" w:rsidR="00000000" w:rsidRPr="00000000">
        <w:rPr>
          <w:highlight w:val="white"/>
          <w:rtl w:val="0"/>
        </w:rPr>
        <w:t xml:space="preserve">Kanál v uzavřené konformaci má svůj průchod uzavřen hradlem, které nic nepropouští. Vazba acetylcholinu způsobí oddálení podjednotek včetně hradla. V této chvíli můžou Na</w:t>
      </w:r>
      <w:r w:rsidDel="00000000" w:rsidR="00000000" w:rsidRPr="00000000">
        <w:rPr>
          <w:highlight w:val="white"/>
          <w:vertAlign w:val="superscript"/>
          <w:rtl w:val="0"/>
        </w:rPr>
        <w:t xml:space="preserve">+</w:t>
      </w:r>
      <w:r w:rsidDel="00000000" w:rsidR="00000000" w:rsidRPr="00000000">
        <w:rPr>
          <w:highlight w:val="white"/>
          <w:rtl w:val="0"/>
        </w:rPr>
        <w:t xml:space="preserve"> nebo K</w:t>
      </w:r>
      <w:r w:rsidDel="00000000" w:rsidR="00000000" w:rsidRPr="00000000">
        <w:rPr>
          <w:highlight w:val="white"/>
          <w:vertAlign w:val="superscript"/>
          <w:rtl w:val="0"/>
        </w:rPr>
        <w:t xml:space="preserve">+</w:t>
      </w:r>
      <w:r w:rsidDel="00000000" w:rsidR="00000000" w:rsidRPr="00000000">
        <w:rPr>
          <w:highlight w:val="white"/>
          <w:rtl w:val="0"/>
        </w:rPr>
        <w:t xml:space="preserve"> procházet přes membránu po spádu svého elektrochemického potenciálu.</w:t>
      </w:r>
    </w:p>
    <w:p w:rsidR="00000000" w:rsidDel="00000000" w:rsidP="00000000" w:rsidRDefault="00000000" w:rsidRPr="00000000">
      <w:pPr>
        <w:contextualSpacing w:val="0"/>
        <w:rPr>
          <w:highlight w:val="white"/>
        </w:rPr>
      </w:pPr>
      <w:r w:rsidDel="00000000" w:rsidR="00000000" w:rsidRPr="00000000">
        <w:rPr>
          <w:highlight w:val="white"/>
          <w:rtl w:val="0"/>
        </w:rPr>
        <w:t xml:space="preserve">Do kanálu vstupuje iont, který je zbavený hydratačního obalu (je potřeba energie)</w:t>
      </w:r>
      <w:r w:rsidDel="00000000" w:rsidR="00000000" w:rsidRPr="00000000">
        <w:rPr>
          <w:rtl w:val="0"/>
        </w:rPr>
      </w:r>
    </w:p>
    <w:p w:rsidR="00000000" w:rsidDel="00000000" w:rsidP="00000000" w:rsidRDefault="00000000" w:rsidRPr="00000000">
      <w:pPr>
        <w:pStyle w:val="Heading2"/>
        <w:contextualSpacing w:val="0"/>
        <w:jc w:val="center"/>
        <w:rPr/>
      </w:pPr>
      <w:bookmarkStart w:colFirst="0" w:colLast="0" w:name="_mhmygle5zjpq" w:id="14"/>
      <w:bookmarkEnd w:id="14"/>
      <w:r w:rsidDel="00000000" w:rsidR="00000000" w:rsidRPr="00000000">
        <w:rPr/>
        <mc:AlternateContent>
          <mc:Choice Requires="wpg">
            <w:drawing>
              <wp:inline distB="114300" distT="114300" distL="114300" distR="114300">
                <wp:extent cx="2463730" cy="2402136"/>
                <wp:effectExtent b="0" l="0" r="0" t="0"/>
                <wp:docPr id="18" name=""/>
                <a:graphic>
                  <a:graphicData uri="http://schemas.microsoft.com/office/word/2010/wordprocessingGroup">
                    <wpg:wgp>
                      <wpg:cNvGrpSpPr/>
                      <wpg:grpSpPr>
                        <a:xfrm>
                          <a:off x="2115350" y="437401"/>
                          <a:ext cx="2463730" cy="2402136"/>
                          <a:chOff x="2115350" y="437401"/>
                          <a:chExt cx="4646699" cy="4762499"/>
                        </a:xfrm>
                      </wpg:grpSpPr>
                      <pic:pic>
                        <pic:nvPicPr>
                          <pic:cNvPr id="3" name="Shape 3"/>
                          <pic:cNvPicPr preferRelativeResize="0"/>
                        </pic:nvPicPr>
                        <pic:blipFill/>
                        <pic:spPr>
                          <a:xfrm rot="-5400000">
                            <a:off x="2115350" y="437401"/>
                            <a:ext cx="4646699" cy="4762499"/>
                          </a:xfrm>
                          <a:prstGeom prst="rect">
                            <a:avLst/>
                          </a:prstGeom>
                          <a:noFill/>
                          <a:ln>
                            <a:noFill/>
                          </a:ln>
                        </pic:spPr>
                      </pic:pic>
                    </wpg:wgp>
                  </a:graphicData>
                </a:graphic>
              </wp:inline>
            </w:drawing>
          </mc:Choice>
          <mc:Fallback>
            <w:drawing>
              <wp:inline distB="114300" distT="114300" distL="114300" distR="114300">
                <wp:extent cx="2463730" cy="2402136"/>
                <wp:effectExtent b="0" l="0" r="0" t="0"/>
                <wp:docPr id="18" name="image36.png"/>
                <a:graphic>
                  <a:graphicData uri="http://schemas.openxmlformats.org/drawingml/2006/picture">
                    <pic:pic>
                      <pic:nvPicPr>
                        <pic:cNvPr id="0" name="image36.png"/>
                        <pic:cNvPicPr preferRelativeResize="0"/>
                      </pic:nvPicPr>
                      <pic:blipFill>
                        <a:blip r:embed="rId12"/>
                        <a:srcRect/>
                        <a:stretch>
                          <a:fillRect/>
                        </a:stretch>
                      </pic:blipFill>
                      <pic:spPr>
                        <a:xfrm>
                          <a:off x="0" y="0"/>
                          <a:ext cx="2463730" cy="2402136"/>
                        </a:xfrm>
                        <a:prstGeom prst="rect"/>
                        <a:ln/>
                      </pic:spPr>
                    </pic:pic>
                  </a:graphicData>
                </a:graphic>
              </wp:inline>
            </w:drawing>
          </mc:Fallback>
        </mc:AlternateContent>
      </w:r>
      <w:r w:rsidDel="00000000" w:rsidR="00000000" w:rsidRPr="00000000">
        <w:rPr/>
        <w:drawing>
          <wp:inline distB="114300" distT="114300" distL="114300" distR="114300">
            <wp:extent cx="3081816" cy="2093110"/>
            <wp:effectExtent b="0" l="0" r="0" t="0"/>
            <wp:docPr id="4"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081816" cy="209311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17q5ucc0xgom" w:id="15"/>
      <w:bookmarkEnd w:id="15"/>
      <w:r w:rsidDel="00000000" w:rsidR="00000000" w:rsidRPr="00000000">
        <w:rPr>
          <w:rtl w:val="0"/>
        </w:rPr>
        <w:t xml:space="preserve">Části iontového kanálu</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zevní ústí - slouží k vstupu iontů z příslušné strany</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selektivní filtr - zajišťuje, že kanálem mohou projít jen určité ionty</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vrátka (hradlo) - reprezentuje stav kanálu VEDE x NEVEDE</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senzor vrátkovacího signálu - zařízení, které je citlivé ke specifickému podnětu, kzerý způsobí konformaci kanálu do otevřeného, nebo zavřeného stavu</w:t>
      </w:r>
    </w:p>
    <w:p w:rsidR="00000000" w:rsidDel="00000000" w:rsidP="00000000" w:rsidRDefault="00000000" w:rsidRPr="00000000">
      <w:pPr>
        <w:pStyle w:val="Heading3"/>
        <w:contextualSpacing w:val="0"/>
        <w:rPr/>
      </w:pPr>
      <w:bookmarkStart w:colFirst="0" w:colLast="0" w:name="_3tp5abgyowss" w:id="16"/>
      <w:bookmarkEnd w:id="16"/>
      <w:r w:rsidDel="00000000" w:rsidR="00000000" w:rsidRPr="00000000">
        <w:rPr>
          <w:rtl w:val="0"/>
        </w:rPr>
        <w:t xml:space="preserve">Iontové kanály stále otevřené</w:t>
      </w:r>
    </w:p>
    <w:p w:rsidR="00000000" w:rsidDel="00000000" w:rsidP="00000000" w:rsidRDefault="00000000" w:rsidRPr="00000000">
      <w:pPr>
        <w:contextualSpacing w:val="0"/>
        <w:rPr/>
      </w:pPr>
      <w:r w:rsidDel="00000000" w:rsidR="00000000" w:rsidRPr="00000000">
        <w:rPr>
          <w:rtl w:val="0"/>
        </w:rPr>
        <w:t xml:space="preserve">Iontové kanály stále otevřené jsou vodou naplněné labyrinty rychle měnící konfiguraci a elektrický náboj. Ionty se v nich pohybují podle</w:t>
      </w:r>
      <w:r w:rsidDel="00000000" w:rsidR="00000000" w:rsidRPr="00000000">
        <w:rPr>
          <w:color w:val="ff0000"/>
          <w:rtl w:val="0"/>
        </w:rPr>
        <w:t xml:space="preserve"> koncentračního gradientu</w:t>
      </w:r>
      <w:r w:rsidDel="00000000" w:rsidR="00000000" w:rsidRPr="00000000">
        <w:rPr>
          <w:rtl w:val="0"/>
        </w:rPr>
        <w:t xml:space="preserve"> a </w:t>
      </w:r>
      <w:r w:rsidDel="00000000" w:rsidR="00000000" w:rsidRPr="00000000">
        <w:rPr>
          <w:color w:val="ff0000"/>
          <w:rtl w:val="0"/>
        </w:rPr>
        <w:t xml:space="preserve">membránového potenciálu</w:t>
      </w:r>
      <w:r w:rsidDel="00000000" w:rsidR="00000000" w:rsidRPr="00000000">
        <w:rPr>
          <w:rtl w:val="0"/>
        </w:rPr>
        <w:t xml:space="preserve"> (mají totiž náboj). Tento typ iontových kanálů má </w:t>
      </w:r>
      <w:r w:rsidDel="00000000" w:rsidR="00000000" w:rsidRPr="00000000">
        <w:rPr>
          <w:color w:val="0000ff"/>
          <w:rtl w:val="0"/>
        </w:rPr>
        <w:t xml:space="preserve">vysoce selektivní permeabilitu</w:t>
      </w:r>
      <w:r w:rsidDel="00000000" w:rsidR="00000000" w:rsidRPr="00000000">
        <w:rPr>
          <w:rtl w:val="0"/>
        </w:rPr>
        <w:t xml:space="preserve"> pro jeden nebo víc iontů či molekul. Selektivita závisí na charakteristice kanálu a na jeho vnitřním povrchu.</w:t>
      </w:r>
    </w:p>
    <w:p w:rsidR="00000000" w:rsidDel="00000000" w:rsidP="00000000" w:rsidRDefault="00000000" w:rsidRPr="00000000">
      <w:pPr>
        <w:pStyle w:val="Heading3"/>
        <w:contextualSpacing w:val="0"/>
        <w:rPr/>
      </w:pPr>
      <w:bookmarkStart w:colFirst="0" w:colLast="0" w:name="_qwxvz0q52jv1" w:id="17"/>
      <w:bookmarkEnd w:id="17"/>
      <w:r w:rsidDel="00000000" w:rsidR="00000000" w:rsidRPr="00000000">
        <w:rPr>
          <w:rtl w:val="0"/>
        </w:rPr>
        <w:t xml:space="preserve">Napěťově vrátkované kanály (Iontové kanály napěťově řízené)</w:t>
      </w:r>
    </w:p>
    <w:p w:rsidR="00000000" w:rsidDel="00000000" w:rsidP="00000000" w:rsidRDefault="00000000" w:rsidRPr="00000000">
      <w:pPr>
        <w:contextualSpacing w:val="0"/>
        <w:rPr/>
      </w:pPr>
      <w:r w:rsidDel="00000000" w:rsidR="00000000" w:rsidRPr="00000000">
        <w:rPr>
          <w:rtl w:val="0"/>
        </w:rPr>
        <w:t xml:space="preserve">Iontové kanály napěťově řízené se otevírají a zavírají se </w:t>
      </w:r>
      <w:r w:rsidDel="00000000" w:rsidR="00000000" w:rsidRPr="00000000">
        <w:rPr>
          <w:color w:val="ff0000"/>
          <w:rtl w:val="0"/>
        </w:rPr>
        <w:t xml:space="preserve">změnou elektrického potenciálu</w:t>
      </w:r>
      <w:r w:rsidDel="00000000" w:rsidR="00000000" w:rsidRPr="00000000">
        <w:rPr>
          <w:rtl w:val="0"/>
        </w:rPr>
        <w:t xml:space="preserve"> na membráně. To se děje v důsledku konfigurační změny proteinu, který kanál tvoří.</w:t>
      </w:r>
    </w:p>
    <w:p w:rsidR="00000000" w:rsidDel="00000000" w:rsidP="00000000" w:rsidRDefault="00000000" w:rsidRPr="00000000">
      <w:pPr>
        <w:pStyle w:val="Heading4"/>
        <w:contextualSpacing w:val="0"/>
        <w:rPr/>
      </w:pPr>
      <w:bookmarkStart w:colFirst="0" w:colLast="0" w:name="_23hijc2d1ww0" w:id="18"/>
      <w:bookmarkEnd w:id="18"/>
      <w:r w:rsidDel="00000000" w:rsidR="00000000" w:rsidRPr="00000000">
        <w:rPr>
          <w:rtl w:val="0"/>
        </w:rPr>
        <w:t xml:space="preserve">Kanál s aktivačními vrátky</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1612900"/>
            <wp:effectExtent b="0" l="0" r="0" t="0"/>
            <wp:docPr id="6"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contextualSpacing w:val="0"/>
        <w:rPr/>
      </w:pPr>
      <w:bookmarkStart w:colFirst="0" w:colLast="0" w:name="_i4lr5ji2l5u1" w:id="19"/>
      <w:bookmarkEnd w:id="19"/>
      <w:r w:rsidDel="00000000" w:rsidR="00000000" w:rsidRPr="00000000">
        <w:rPr>
          <w:rtl w:val="0"/>
        </w:rPr>
        <w:t xml:space="preserve">Inaktivační kanál (se dvěma vrátkama)</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562600" cy="3095625"/>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562600" cy="30956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contextualSpacing w:val="0"/>
        <w:rPr/>
      </w:pPr>
      <w:bookmarkStart w:colFirst="0" w:colLast="0" w:name="_sr3rc3tbb5rc" w:id="20"/>
      <w:bookmarkEnd w:id="20"/>
      <w:r w:rsidDel="00000000" w:rsidR="00000000" w:rsidRPr="00000000">
        <w:rPr>
          <w:rtl w:val="0"/>
        </w:rPr>
        <w:t xml:space="preserve">Vrátkované kanály vazbou ligandu</w:t>
      </w:r>
    </w:p>
    <w:p w:rsidR="00000000" w:rsidDel="00000000" w:rsidP="00000000" w:rsidRDefault="00000000" w:rsidRPr="00000000">
      <w:pPr>
        <w:contextualSpacing w:val="0"/>
        <w:rPr/>
      </w:pPr>
      <w:r w:rsidDel="00000000" w:rsidR="00000000" w:rsidRPr="00000000">
        <w:rPr/>
        <w:drawing>
          <wp:inline distB="114300" distT="114300" distL="114300" distR="114300">
            <wp:extent cx="2628900" cy="3038475"/>
            <wp:effectExtent b="0" l="0" r="0" t="0"/>
            <wp:docPr id="16"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2628900" cy="30384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contextualSpacing w:val="0"/>
        <w:rPr/>
      </w:pPr>
      <w:bookmarkStart w:colFirst="0" w:colLast="0" w:name="_2jyfpsabx4wd" w:id="21"/>
      <w:bookmarkEnd w:id="21"/>
      <w:r w:rsidDel="00000000" w:rsidR="00000000" w:rsidRPr="00000000">
        <w:rPr>
          <w:rtl w:val="0"/>
        </w:rPr>
        <w:t xml:space="preserve">Mechanosensitivní kanály</w:t>
      </w:r>
    </w:p>
    <w:p w:rsidR="00000000" w:rsidDel="00000000" w:rsidP="00000000" w:rsidRDefault="00000000" w:rsidRPr="00000000">
      <w:pPr>
        <w:contextualSpacing w:val="0"/>
        <w:rPr/>
      </w:pPr>
      <w:r w:rsidDel="00000000" w:rsidR="00000000" w:rsidRPr="00000000">
        <w:rPr>
          <w:rtl w:val="0"/>
        </w:rPr>
        <w:t xml:space="preserve">= tahem za vlákna cytoskeletonu (například ve směru plochy membrány) nastává mechanickou silou podmíněné vrátkování mechanosensitivních kanálů. Vrátkování může být jak otevření, tak uzavření kanálu. Smyslem udržení například turgoru buňky při změně extracelulárních osmotických poměrů</w:t>
      </w:r>
    </w:p>
    <w:p w:rsidR="00000000" w:rsidDel="00000000" w:rsidP="00000000" w:rsidRDefault="00000000" w:rsidRPr="00000000">
      <w:pPr>
        <w:contextualSpacing w:val="0"/>
        <w:rPr/>
      </w:pPr>
      <w:r w:rsidDel="00000000" w:rsidR="00000000" w:rsidRPr="00000000">
        <w:rPr/>
        <w:drawing>
          <wp:inline distB="114300" distT="114300" distL="114300" distR="114300">
            <wp:extent cx="2860032" cy="2158774"/>
            <wp:effectExtent b="0" l="0" r="0" t="0"/>
            <wp:docPr id="12"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2860032" cy="2158774"/>
                    </a:xfrm>
                    <a:prstGeom prst="rect"/>
                    <a:ln/>
                  </pic:spPr>
                </pic:pic>
              </a:graphicData>
            </a:graphic>
          </wp:inline>
        </w:drawing>
      </w:r>
      <w:r w:rsidDel="00000000" w:rsidR="00000000" w:rsidRPr="00000000">
        <w:rPr/>
        <w:drawing>
          <wp:inline distB="114300" distT="114300" distL="114300" distR="114300">
            <wp:extent cx="2740388" cy="2179364"/>
            <wp:effectExtent b="0" l="0" r="0" t="0"/>
            <wp:docPr id="15"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2740388" cy="2179364"/>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contextualSpacing w:val="0"/>
        <w:rPr/>
      </w:pPr>
      <w:bookmarkStart w:colFirst="0" w:colLast="0" w:name="_r2muf4bk26j" w:id="22"/>
      <w:bookmarkEnd w:id="22"/>
      <w:r w:rsidDel="00000000" w:rsidR="00000000" w:rsidRPr="00000000">
        <w:rPr>
          <w:rtl w:val="0"/>
        </w:rPr>
        <w:t xml:space="preserve">Metabotropní kanály (řízené intracelulární hladinou ATP)</w:t>
      </w:r>
    </w:p>
    <w:p w:rsidR="00000000" w:rsidDel="00000000" w:rsidP="00000000" w:rsidRDefault="00000000" w:rsidRPr="00000000">
      <w:pPr>
        <w:contextualSpacing w:val="0"/>
        <w:rPr/>
      </w:pPr>
      <w:r w:rsidDel="00000000" w:rsidR="00000000" w:rsidRPr="00000000">
        <w:rPr>
          <w:rtl w:val="0"/>
        </w:rPr>
        <w:t xml:space="preserve">= pokud klecne intracelulární hladina ATP pod 1 mMol/litr, otevře se draslíkový kanál; nastává hyperpolarizace a buňka se elektricky stabilizuje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hqd3y1w6rb1h" w:id="23"/>
      <w:bookmarkEnd w:id="23"/>
      <w:r w:rsidDel="00000000" w:rsidR="00000000" w:rsidRPr="00000000">
        <w:rPr>
          <w:rtl w:val="0"/>
        </w:rPr>
        <w:t xml:space="preserve">Membránový potenciál</w:t>
      </w:r>
    </w:p>
    <w:p w:rsidR="00000000" w:rsidDel="00000000" w:rsidP="00000000" w:rsidRDefault="00000000" w:rsidRPr="00000000">
      <w:pPr>
        <w:contextualSpacing w:val="0"/>
        <w:rPr/>
      </w:pPr>
      <w:r w:rsidDel="00000000" w:rsidR="00000000" w:rsidRPr="00000000">
        <w:rPr>
          <w:rtl w:val="0"/>
        </w:rPr>
        <w:t xml:space="preserve">Neurony i jiné buňky vytvářejí a </w:t>
      </w:r>
      <w:r w:rsidDel="00000000" w:rsidR="00000000" w:rsidRPr="00000000">
        <w:rPr>
          <w:color w:val="ff0000"/>
          <w:rtl w:val="0"/>
        </w:rPr>
        <w:t xml:space="preserve">udržují rozdílné koncentrace iontů</w:t>
      </w:r>
      <w:r w:rsidDel="00000000" w:rsidR="00000000" w:rsidRPr="00000000">
        <w:rPr>
          <w:rtl w:val="0"/>
        </w:rPr>
        <w:t xml:space="preserve"> na obou stranách plazmatické membrány. Jedná se o</w:t>
      </w:r>
      <w:r w:rsidDel="00000000" w:rsidR="00000000" w:rsidRPr="00000000">
        <w:rPr>
          <w:color w:val="ff0000"/>
          <w:rtl w:val="0"/>
        </w:rPr>
        <w:t xml:space="preserve"> aktivní procesy</w:t>
      </w:r>
      <w:r w:rsidDel="00000000" w:rsidR="00000000" w:rsidRPr="00000000">
        <w:rPr>
          <w:rtl w:val="0"/>
        </w:rPr>
        <w:t xml:space="preserve">, které používají specifické iontové pumpy. Výsledkem této činnosti je vznik </w:t>
      </w:r>
      <w:r w:rsidDel="00000000" w:rsidR="00000000" w:rsidRPr="00000000">
        <w:rPr>
          <w:color w:val="ff0000"/>
          <w:rtl w:val="0"/>
        </w:rPr>
        <w:t xml:space="preserve">membránového potenciálu</w:t>
      </w:r>
      <w:r w:rsidDel="00000000" w:rsidR="00000000" w:rsidRPr="00000000">
        <w:rPr>
          <w:rtl w:val="0"/>
        </w:rPr>
        <w:t xml:space="preserve">, tedy napěťového rozdílu mezi vnitřní a vnější stranou membrány. </w:t>
      </w:r>
      <w:r w:rsidDel="00000000" w:rsidR="00000000" w:rsidRPr="00000000">
        <w:rPr>
          <w:color w:val="0000ff"/>
          <w:rtl w:val="0"/>
        </w:rPr>
        <w:t xml:space="preserve">Vnitřek </w:t>
      </w:r>
      <w:r w:rsidDel="00000000" w:rsidR="00000000" w:rsidRPr="00000000">
        <w:rPr>
          <w:rtl w:val="0"/>
        </w:rPr>
        <w:t xml:space="preserve">buněk je </w:t>
      </w:r>
      <w:r w:rsidDel="00000000" w:rsidR="00000000" w:rsidRPr="00000000">
        <w:rPr>
          <w:color w:val="0000ff"/>
          <w:rtl w:val="0"/>
        </w:rPr>
        <w:t xml:space="preserve">negativní </w:t>
      </w:r>
      <w:r w:rsidDel="00000000" w:rsidR="00000000" w:rsidRPr="00000000">
        <w:rPr>
          <w:rtl w:val="0"/>
        </w:rPr>
        <w:t xml:space="preserve">vůči vnějšku. </w:t>
      </w:r>
    </w:p>
    <w:p w:rsidR="00000000" w:rsidDel="00000000" w:rsidP="00000000" w:rsidRDefault="00000000" w:rsidRPr="00000000">
      <w:pPr>
        <w:contextualSpacing w:val="0"/>
        <w:rPr/>
      </w:pPr>
      <w:r w:rsidDel="00000000" w:rsidR="00000000" w:rsidRPr="00000000">
        <w:rPr>
          <w:rtl w:val="0"/>
        </w:rPr>
        <w:t xml:space="preserve">Klidový membránový potenciál (stálý potenciál) dosahuje v různých buňkách -9 až -100 mV, v neuronech -40 až -90 mV (obvykle -70 mV).</w:t>
      </w:r>
    </w:p>
    <w:p w:rsidR="00000000" w:rsidDel="00000000" w:rsidP="00000000" w:rsidRDefault="00000000" w:rsidRPr="00000000">
      <w:pPr>
        <w:pStyle w:val="Heading2"/>
        <w:contextualSpacing w:val="0"/>
        <w:rPr/>
      </w:pPr>
      <w:bookmarkStart w:colFirst="0" w:colLast="0" w:name="_rmmz7aauq6ts" w:id="24"/>
      <w:bookmarkEnd w:id="24"/>
      <w:r w:rsidDel="00000000" w:rsidR="00000000" w:rsidRPr="00000000">
        <w:rPr>
          <w:rtl w:val="0"/>
        </w:rPr>
        <w:t xml:space="preserve">Rovnovážný potenciál</w:t>
      </w:r>
    </w:p>
    <w:p w:rsidR="00000000" w:rsidDel="00000000" w:rsidP="00000000" w:rsidRDefault="00000000" w:rsidRPr="00000000">
      <w:pPr>
        <w:contextualSpacing w:val="0"/>
        <w:rPr/>
      </w:pPr>
      <w:r w:rsidDel="00000000" w:rsidR="00000000" w:rsidRPr="00000000">
        <w:rPr>
          <w:rtl w:val="0"/>
        </w:rPr>
        <w:t xml:space="preserve">= síly koncentračního a elektrického gradientu jsou v rovnováze</w:t>
      </w:r>
    </w:p>
    <w:p w:rsidR="00000000" w:rsidDel="00000000" w:rsidP="00000000" w:rsidRDefault="00000000" w:rsidRPr="00000000">
      <w:pPr>
        <w:contextualSpacing w:val="0"/>
        <w:rPr/>
      </w:pPr>
      <w:r w:rsidDel="00000000" w:rsidR="00000000" w:rsidRPr="00000000">
        <w:rPr>
          <w:rtl w:val="0"/>
        </w:rPr>
        <w:t xml:space="preserve">1)</w:t>
      </w:r>
      <w:r w:rsidDel="00000000" w:rsidR="00000000" w:rsidRPr="00000000">
        <w:rPr/>
        <w:drawing>
          <wp:inline distB="114300" distT="114300" distL="114300" distR="114300">
            <wp:extent cx="1333500" cy="762000"/>
            <wp:effectExtent b="0" l="0" r="0" t="0"/>
            <wp:docPr id="9"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1333500" cy="762000"/>
                    </a:xfrm>
                    <a:prstGeom prst="rect"/>
                    <a:ln/>
                  </pic:spPr>
                </pic:pic>
              </a:graphicData>
            </a:graphic>
          </wp:inline>
        </w:drawing>
      </w:r>
      <w:r w:rsidDel="00000000" w:rsidR="00000000" w:rsidRPr="00000000">
        <w:rPr>
          <w:rtl w:val="0"/>
        </w:rPr>
        <w:t xml:space="preserve">2)</w:t>
      </w:r>
      <w:r w:rsidDel="00000000" w:rsidR="00000000" w:rsidRPr="00000000">
        <w:rPr/>
        <w:drawing>
          <wp:inline distB="114300" distT="114300" distL="114300" distR="114300">
            <wp:extent cx="1333500" cy="762000"/>
            <wp:effectExtent b="0" l="0" r="0" t="0"/>
            <wp:docPr id="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1333500" cy="762000"/>
                    </a:xfrm>
                    <a:prstGeom prst="rect"/>
                    <a:ln/>
                  </pic:spPr>
                </pic:pic>
              </a:graphicData>
            </a:graphic>
          </wp:inline>
        </w:drawing>
      </w:r>
      <w:r w:rsidDel="00000000" w:rsidR="00000000" w:rsidRPr="00000000">
        <w:rPr>
          <w:rtl w:val="0"/>
        </w:rPr>
        <w:t xml:space="preserve">3)</w:t>
      </w:r>
      <w:r w:rsidDel="00000000" w:rsidR="00000000" w:rsidRPr="00000000">
        <w:rPr/>
        <w:drawing>
          <wp:inline distB="114300" distT="114300" distL="114300" distR="114300">
            <wp:extent cx="1333500" cy="762000"/>
            <wp:effectExtent b="0" l="0" r="0" t="0"/>
            <wp:docPr id="10"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13335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Existuje velká síla koncentračního gradientu</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Začíná se objevovat síla elektrického gradientu, ale nerovná se síle koncentračního gradientu</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Síly jsou v rovnováze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n6zikdyw6ku2" w:id="25"/>
      <w:bookmarkEnd w:id="25"/>
      <w:r w:rsidDel="00000000" w:rsidR="00000000" w:rsidRPr="00000000">
        <w:rPr>
          <w:rtl w:val="0"/>
        </w:rPr>
        <w:t xml:space="preserve">Nernstova rovnice</w:t>
      </w:r>
    </w:p>
    <w:p w:rsidR="00000000" w:rsidDel="00000000" w:rsidP="00000000" w:rsidRDefault="00000000" w:rsidRPr="00000000">
      <w:pPr>
        <w:contextualSpacing w:val="0"/>
        <w:rPr/>
      </w:pPr>
      <w:r w:rsidDel="00000000" w:rsidR="00000000" w:rsidRPr="00000000">
        <w:rPr>
          <w:rtl w:val="0"/>
        </w:rPr>
        <w:t xml:space="preserve">= slouží k výpočtu elektrochemického rovnovážného potenciálu E libovolného iontu X</w:t>
      </w:r>
    </w:p>
    <w:p w:rsidR="00000000" w:rsidDel="00000000" w:rsidP="00000000" w:rsidRDefault="00000000" w:rsidRPr="00000000">
      <w:pPr>
        <w:contextualSpacing w:val="0"/>
        <w:jc w:val="center"/>
        <w:rPr>
          <w:sz w:val="48"/>
          <w:szCs w:val="48"/>
        </w:rPr>
      </w:pPr>
      <m:oMath>
        <m:r>
          <w:rPr>
            <w:sz w:val="48"/>
            <w:szCs w:val="48"/>
          </w:rPr>
          <m:t xml:space="preserve">E=</m:t>
        </m:r>
        <m:f>
          <m:fPr>
            <m:ctrlPr>
              <w:rPr>
                <w:sz w:val="48"/>
                <w:szCs w:val="48"/>
              </w:rPr>
            </m:ctrlPr>
          </m:fPr>
          <m:num>
            <m:r>
              <w:rPr>
                <w:sz w:val="48"/>
                <w:szCs w:val="48"/>
              </w:rPr>
              <m:t xml:space="preserve">RT</m:t>
            </m:r>
          </m:num>
          <m:den>
            <m:r>
              <w:rPr>
                <w:sz w:val="48"/>
                <w:szCs w:val="48"/>
              </w:rPr>
              <m:t xml:space="preserve">nF</m:t>
            </m:r>
          </m:den>
        </m:f>
        <m:r>
          <w:rPr>
            <w:sz w:val="48"/>
            <w:szCs w:val="48"/>
          </w:rPr>
          <m:t xml:space="preserve">ln</m:t>
        </m:r>
        <m:f>
          <m:fPr>
            <m:ctrlPr>
              <w:rPr>
                <w:sz w:val="48"/>
                <w:szCs w:val="48"/>
              </w:rPr>
            </m:ctrlPr>
          </m:fPr>
          <m:num>
            <m:r>
              <w:rPr>
                <w:sz w:val="48"/>
                <w:szCs w:val="48"/>
              </w:rPr>
              <m:t xml:space="preserve">[</m:t>
            </m:r>
            <m:sSub>
              <m:sSubPr>
                <m:ctrlPr>
                  <w:rPr>
                    <w:sz w:val="48"/>
                    <w:szCs w:val="48"/>
                  </w:rPr>
                </m:ctrlPr>
              </m:sSubPr>
              <m:e>
                <m:r>
                  <w:rPr>
                    <w:sz w:val="48"/>
                    <w:szCs w:val="48"/>
                  </w:rPr>
                  <m:t xml:space="preserve">X</m:t>
                </m:r>
              </m:e>
              <m:sub>
                <m:r>
                  <w:rPr>
                    <w:sz w:val="48"/>
                    <w:szCs w:val="48"/>
                  </w:rPr>
                  <m:t xml:space="preserve">i</m:t>
                </m:r>
              </m:sub>
            </m:sSub>
            <m:r>
              <w:rPr>
                <w:sz w:val="48"/>
                <w:szCs w:val="48"/>
              </w:rPr>
              <m:t xml:space="preserve">]</m:t>
            </m:r>
          </m:num>
          <m:den>
            <m:r>
              <w:rPr>
                <w:sz w:val="48"/>
                <w:szCs w:val="48"/>
              </w:rPr>
              <m:t xml:space="preserve">[</m:t>
            </m:r>
            <m:sSub>
              <m:sSubPr>
                <m:ctrlPr>
                  <w:rPr>
                    <w:sz w:val="48"/>
                    <w:szCs w:val="48"/>
                  </w:rPr>
                </m:ctrlPr>
              </m:sSubPr>
              <m:e>
                <m:r>
                  <w:rPr>
                    <w:sz w:val="48"/>
                    <w:szCs w:val="48"/>
                  </w:rPr>
                  <m:t xml:space="preserve">X</m:t>
                </m:r>
              </m:e>
              <m:sub>
                <m:r>
                  <w:rPr>
                    <w:sz w:val="48"/>
                    <w:szCs w:val="48"/>
                  </w:rPr>
                  <m:t xml:space="preserve">e</m:t>
                </m:r>
              </m:sub>
            </m:sSub>
            <m:r>
              <w:rPr>
                <w:sz w:val="48"/>
                <w:szCs w:val="48"/>
              </w:rPr>
              <m:t xml:space="preserve">]</m:t>
            </m:r>
          </m:den>
        </m:f>
      </m:oMath>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 = univerzání plynová konstanta</w:t>
      </w:r>
    </w:p>
    <w:p w:rsidR="00000000" w:rsidDel="00000000" w:rsidP="00000000" w:rsidRDefault="00000000" w:rsidRPr="00000000">
      <w:pPr>
        <w:contextualSpacing w:val="0"/>
        <w:rPr/>
      </w:pPr>
      <w:r w:rsidDel="00000000" w:rsidR="00000000" w:rsidRPr="00000000">
        <w:rPr>
          <w:rtl w:val="0"/>
        </w:rPr>
        <w:t xml:space="preserve">T = absolutní teplota v kelvinech</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 = mocenství </w:t>
      </w:r>
      <w:r w:rsidDel="00000000" w:rsidR="00000000" w:rsidRPr="00000000">
        <w:rPr>
          <w:highlight w:val="white"/>
          <w:rtl w:val="0"/>
        </w:rPr>
        <w:t xml:space="preserve"> (např. + 1 pro K</w:t>
      </w:r>
      <w:r w:rsidDel="00000000" w:rsidR="00000000" w:rsidRPr="00000000">
        <w:rPr>
          <w:highlight w:val="white"/>
          <w:vertAlign w:val="superscript"/>
          <w:rtl w:val="0"/>
        </w:rPr>
        <w:t xml:space="preserve">+</w:t>
      </w:r>
      <w:r w:rsidDel="00000000" w:rsidR="00000000" w:rsidRPr="00000000">
        <w:rPr>
          <w:highlight w:val="white"/>
          <w:rtl w:val="0"/>
        </w:rPr>
        <w:t xml:space="preserve"> a Na</w:t>
      </w:r>
      <w:r w:rsidDel="00000000" w:rsidR="00000000" w:rsidRPr="00000000">
        <w:rPr>
          <w:highlight w:val="white"/>
          <w:vertAlign w:val="superscript"/>
          <w:rtl w:val="0"/>
        </w:rPr>
        <w:t xml:space="preserve">+</w:t>
      </w:r>
      <w:r w:rsidDel="00000000" w:rsidR="00000000" w:rsidRPr="00000000">
        <w:rPr>
          <w:highlight w:val="white"/>
          <w:rtl w:val="0"/>
        </w:rPr>
        <w:t xml:space="preserve">, +2 pro Ca</w:t>
      </w:r>
      <w:r w:rsidDel="00000000" w:rsidR="00000000" w:rsidRPr="00000000">
        <w:rPr>
          <w:highlight w:val="white"/>
          <w:vertAlign w:val="superscript"/>
          <w:rtl w:val="0"/>
        </w:rPr>
        <w:t xml:space="preserve">2+</w:t>
      </w:r>
      <w:r w:rsidDel="00000000" w:rsidR="00000000" w:rsidRPr="00000000">
        <w:rPr>
          <w:rFonts w:ascii="Arial Unicode MS" w:cs="Arial Unicode MS" w:eastAsia="Arial Unicode MS" w:hAnsi="Arial Unicode MS"/>
          <w:highlight w:val="white"/>
          <w:rtl w:val="0"/>
        </w:rPr>
        <w:t xml:space="preserve">, −1 pro Cl</w:t>
      </w:r>
      <w:r w:rsidDel="00000000" w:rsidR="00000000" w:rsidRPr="00000000">
        <w:rPr>
          <w:rFonts w:ascii="Arial Unicode MS" w:cs="Arial Unicode MS" w:eastAsia="Arial Unicode MS" w:hAnsi="Arial Unicode MS"/>
          <w:highlight w:val="white"/>
          <w:vertAlign w:val="superscript"/>
          <w:rtl w:val="0"/>
        </w:rPr>
        <w:t xml:space="preserve">−</w:t>
      </w:r>
      <w:r w:rsidDel="00000000" w:rsidR="00000000" w:rsidRPr="00000000">
        <w:rPr>
          <w:highlight w:val="white"/>
          <w:rtl w:val="0"/>
        </w:rPr>
        <w:t xml:space="preserve"> apod.)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 = faradayova konstanta</w:t>
      </w:r>
    </w:p>
    <w:p w:rsidR="00000000" w:rsidDel="00000000" w:rsidP="00000000" w:rsidRDefault="00000000" w:rsidRPr="00000000">
      <w:pPr>
        <w:contextualSpacing w:val="0"/>
        <w:rPr/>
      </w:pPr>
      <w:r w:rsidDel="00000000" w:rsidR="00000000" w:rsidRPr="00000000">
        <w:rPr>
          <w:rtl w:val="0"/>
        </w:rPr>
        <w:t xml:space="preserve">ln = přirozený logaritmus</w:t>
      </w:r>
    </w:p>
    <w:p w:rsidR="00000000" w:rsidDel="00000000" w:rsidP="00000000" w:rsidRDefault="00000000" w:rsidRPr="00000000">
      <w:pPr>
        <w:spacing w:after="20" w:lineRule="auto"/>
        <w:ind w:left="0" w:firstLine="0"/>
        <w:contextualSpacing w:val="0"/>
        <w:rPr>
          <w:highlight w:val="white"/>
        </w:rPr>
      </w:pPr>
      <w:r w:rsidDel="00000000" w:rsidR="00000000" w:rsidRPr="00000000">
        <w:rPr>
          <w:highlight w:val="white"/>
          <w:rtl w:val="0"/>
        </w:rPr>
        <w:t xml:space="preserve">[X</w:t>
      </w:r>
      <w:r w:rsidDel="00000000" w:rsidR="00000000" w:rsidRPr="00000000">
        <w:rPr>
          <w:highlight w:val="white"/>
          <w:vertAlign w:val="subscript"/>
          <w:rtl w:val="0"/>
        </w:rPr>
        <w:t xml:space="preserve">e</w:t>
      </w:r>
      <w:r w:rsidDel="00000000" w:rsidR="00000000" w:rsidRPr="00000000">
        <w:rPr>
          <w:highlight w:val="white"/>
          <w:rtl w:val="0"/>
        </w:rPr>
        <w:t xml:space="preserve">] = extracelulární koncentrace iontu X</w:t>
      </w:r>
    </w:p>
    <w:p w:rsidR="00000000" w:rsidDel="00000000" w:rsidP="00000000" w:rsidRDefault="00000000" w:rsidRPr="00000000">
      <w:pPr>
        <w:spacing w:after="20" w:lineRule="auto"/>
        <w:ind w:left="0" w:firstLine="0"/>
        <w:contextualSpacing w:val="0"/>
        <w:rPr>
          <w:highlight w:val="white"/>
        </w:rPr>
      </w:pPr>
      <w:r w:rsidDel="00000000" w:rsidR="00000000" w:rsidRPr="00000000">
        <w:rPr>
          <w:highlight w:val="white"/>
          <w:rtl w:val="0"/>
        </w:rPr>
        <w:t xml:space="preserve">[X</w:t>
      </w:r>
      <w:r w:rsidDel="00000000" w:rsidR="00000000" w:rsidRPr="00000000">
        <w:rPr>
          <w:highlight w:val="white"/>
          <w:vertAlign w:val="subscript"/>
          <w:rtl w:val="0"/>
        </w:rPr>
        <w:t xml:space="preserve">i</w:t>
      </w:r>
      <w:r w:rsidDel="00000000" w:rsidR="00000000" w:rsidRPr="00000000">
        <w:rPr>
          <w:highlight w:val="white"/>
          <w:rtl w:val="0"/>
        </w:rPr>
        <w:t xml:space="preserve">] = intracelulární koncentrace iontu X</w:t>
      </w:r>
    </w:p>
    <w:p w:rsidR="00000000" w:rsidDel="00000000" w:rsidP="00000000" w:rsidRDefault="00000000" w:rsidRPr="00000000">
      <w:pPr>
        <w:spacing w:after="20" w:lineRule="auto"/>
        <w:ind w:left="0" w:firstLine="0"/>
        <w:contextualSpacing w:val="0"/>
        <w:rPr/>
      </w:pPr>
      <w:r w:rsidDel="00000000" w:rsidR="00000000" w:rsidRPr="00000000">
        <w:rPr>
          <w:highlight w:val="white"/>
        </w:rPr>
        <mc:AlternateContent>
          <mc:Choice Requires="wpg">
            <w:drawing>
              <wp:inline distB="114300" distT="114300" distL="114300" distR="114300">
                <wp:extent cx="3571875" cy="2876550"/>
                <wp:effectExtent b="0" l="0" r="0" t="0"/>
                <wp:docPr id="17" name=""/>
                <a:graphic>
                  <a:graphicData uri="http://schemas.microsoft.com/office/word/2010/wordprocessingGroup">
                    <wpg:wgp>
                      <wpg:cNvGrpSpPr/>
                      <wpg:grpSpPr>
                        <a:xfrm>
                          <a:off x="2157462" y="727163"/>
                          <a:ext cx="3571875" cy="2876550"/>
                          <a:chOff x="2157462" y="727163"/>
                          <a:chExt cx="2857500" cy="3552824"/>
                        </a:xfrm>
                      </wpg:grpSpPr>
                      <pic:pic>
                        <pic:nvPicPr>
                          <pic:cNvPr id="2" name="Shape 2"/>
                          <pic:cNvPicPr preferRelativeResize="0"/>
                        </pic:nvPicPr>
                        <pic:blipFill/>
                        <pic:spPr>
                          <a:xfrm rot="-5400000">
                            <a:off x="2157462" y="727163"/>
                            <a:ext cx="2857500" cy="3552824"/>
                          </a:xfrm>
                          <a:prstGeom prst="rect">
                            <a:avLst/>
                          </a:prstGeom>
                          <a:noFill/>
                          <a:ln>
                            <a:noFill/>
                          </a:ln>
                        </pic:spPr>
                      </pic:pic>
                    </wpg:wgp>
                  </a:graphicData>
                </a:graphic>
              </wp:inline>
            </w:drawing>
          </mc:Choice>
          <mc:Fallback>
            <w:drawing>
              <wp:inline distB="114300" distT="114300" distL="114300" distR="114300">
                <wp:extent cx="3571875" cy="2876550"/>
                <wp:effectExtent b="0" l="0" r="0" t="0"/>
                <wp:docPr id="17" name="image34.png"/>
                <a:graphic>
                  <a:graphicData uri="http://schemas.openxmlformats.org/drawingml/2006/picture">
                    <pic:pic>
                      <pic:nvPicPr>
                        <pic:cNvPr id="0" name="image34.png"/>
                        <pic:cNvPicPr preferRelativeResize="0"/>
                      </pic:nvPicPr>
                      <pic:blipFill>
                        <a:blip r:embed="rId22"/>
                        <a:srcRect/>
                        <a:stretch>
                          <a:fillRect/>
                        </a:stretch>
                      </pic:blipFill>
                      <pic:spPr>
                        <a:xfrm>
                          <a:off x="0" y="0"/>
                          <a:ext cx="3571875" cy="2876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20" w:lineRule="auto"/>
        <w:ind w:left="0" w:firstLine="0"/>
        <w:contextualSpacing w:val="0"/>
        <w:jc w:val="center"/>
        <w:rPr/>
      </w:pPr>
      <w:r w:rsidDel="00000000" w:rsidR="00000000" w:rsidRPr="00000000">
        <w:rPr>
          <w:rtl w:val="0"/>
        </w:rPr>
      </w:r>
    </w:p>
    <w:tbl>
      <w:tblPr>
        <w:tblStyle w:val="Table1"/>
        <w:tblW w:w="4845.0" w:type="dxa"/>
        <w:jc w:val="left"/>
        <w:tblInd w:w="470.0" w:type="dxa"/>
        <w:tblBorders>
          <w:top w:color="aaaaaa" w:space="0" w:sz="5" w:val="single"/>
          <w:left w:color="aaaaaa" w:space="0" w:sz="5" w:val="single"/>
          <w:bottom w:color="aaaaaa" w:space="0" w:sz="5" w:val="single"/>
          <w:right w:color="aaaaaa" w:space="0" w:sz="5" w:val="single"/>
          <w:insideH w:color="aaaaaa" w:space="0" w:sz="5" w:val="single"/>
          <w:insideV w:color="aaaaaa" w:space="0" w:sz="5" w:val="single"/>
        </w:tblBorders>
        <w:tblLayout w:type="fixed"/>
        <w:tblLook w:val="0600"/>
      </w:tblPr>
      <w:tblGrid>
        <w:gridCol w:w="1095"/>
        <w:gridCol w:w="1425"/>
        <w:gridCol w:w="1275"/>
        <w:gridCol w:w="1050"/>
        <w:tblGridChange w:id="0">
          <w:tblGrid>
            <w:gridCol w:w="1095"/>
            <w:gridCol w:w="1425"/>
            <w:gridCol w:w="1275"/>
            <w:gridCol w:w="1050"/>
          </w:tblGrid>
        </w:tblGridChange>
      </w:tblGrid>
      <w:tr>
        <w:trPr>
          <w:trHeight w:val="660" w:hRule="atLeast"/>
        </w:trPr>
        <w:tc>
          <w:tcPr>
            <w:shd w:fill="auto" w:val="clear"/>
            <w:tcMar>
              <w:top w:w="40.0" w:type="dxa"/>
              <w:left w:w="80.0" w:type="dxa"/>
              <w:bottom w:w="40.0" w:type="dxa"/>
              <w:right w:w="8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aaaaaa" w:space="0" w:sz="5" w:val="single"/>
              <w:bottom w:color="aaaaaa" w:space="0" w:sz="5" w:val="single"/>
              <w:right w:color="aaaaaa" w:space="0" w:sz="5" w:val="single"/>
            </w:tcBorders>
            <w:shd w:fill="f2f2f2" w:val="clear"/>
            <w:tcMar>
              <w:top w:w="40.0" w:type="dxa"/>
              <w:left w:w="80.0" w:type="dxa"/>
              <w:bottom w:w="40.0" w:type="dxa"/>
              <w:right w:w="80.0" w:type="dxa"/>
            </w:tcMar>
            <w:vAlign w:val="top"/>
          </w:tcPr>
          <w:p w:rsidR="00000000" w:rsidDel="00000000" w:rsidP="00000000" w:rsidRDefault="00000000" w:rsidRPr="00000000">
            <w:pPr>
              <w:spacing w:after="220" w:before="220" w:lineRule="auto"/>
              <w:ind w:right="220"/>
              <w:contextualSpacing w:val="0"/>
              <w:jc w:val="center"/>
              <w:rPr/>
            </w:pPr>
            <w:r w:rsidDel="00000000" w:rsidR="00000000" w:rsidRPr="00000000">
              <w:rPr>
                <w:b w:val="1"/>
                <w:rtl w:val="0"/>
              </w:rPr>
              <w:t xml:space="preserve">X</w:t>
            </w:r>
            <w:r w:rsidDel="00000000" w:rsidR="00000000" w:rsidRPr="00000000">
              <w:rPr>
                <w:b w:val="1"/>
                <w:vertAlign w:val="subscript"/>
                <w:rtl w:val="0"/>
              </w:rPr>
              <w:t xml:space="preserve">e</w:t>
            </w:r>
            <w:r w:rsidDel="00000000" w:rsidR="00000000" w:rsidRPr="00000000">
              <w:rPr>
                <w:b w:val="1"/>
                <w:rtl w:val="0"/>
              </w:rPr>
              <w:t xml:space="preserve"> (mmol/l)</w:t>
            </w:r>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shd w:fill="f2f2f2" w:val="clear"/>
            <w:tcMar>
              <w:top w:w="40.0" w:type="dxa"/>
              <w:left w:w="80.0" w:type="dxa"/>
              <w:bottom w:w="40.0" w:type="dxa"/>
              <w:right w:w="80.0" w:type="dxa"/>
            </w:tcMar>
            <w:vAlign w:val="top"/>
          </w:tcPr>
          <w:p w:rsidR="00000000" w:rsidDel="00000000" w:rsidP="00000000" w:rsidRDefault="00000000" w:rsidRPr="00000000">
            <w:pPr>
              <w:spacing w:after="220" w:before="220" w:lineRule="auto"/>
              <w:ind w:right="220"/>
              <w:contextualSpacing w:val="0"/>
              <w:jc w:val="center"/>
              <w:rPr/>
            </w:pPr>
            <w:r w:rsidDel="00000000" w:rsidR="00000000" w:rsidRPr="00000000">
              <w:rPr>
                <w:b w:val="1"/>
                <w:rtl w:val="0"/>
              </w:rPr>
              <w:t xml:space="preserve">X</w:t>
            </w:r>
            <w:r w:rsidDel="00000000" w:rsidR="00000000" w:rsidRPr="00000000">
              <w:rPr>
                <w:b w:val="1"/>
                <w:vertAlign w:val="subscript"/>
                <w:rtl w:val="0"/>
              </w:rPr>
              <w:t xml:space="preserve">i</w:t>
            </w:r>
            <w:r w:rsidDel="00000000" w:rsidR="00000000" w:rsidRPr="00000000">
              <w:rPr>
                <w:b w:val="1"/>
                <w:rtl w:val="0"/>
              </w:rPr>
              <w:t xml:space="preserve"> (mmol/l)</w:t>
            </w: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pPr>
              <w:spacing w:after="220" w:before="220" w:lineRule="auto"/>
              <w:ind w:right="220"/>
              <w:contextualSpacing w:val="0"/>
              <w:jc w:val="center"/>
              <w:rPr/>
            </w:pPr>
            <w:r w:rsidDel="00000000" w:rsidR="00000000" w:rsidRPr="00000000">
              <w:rPr>
                <w:b w:val="1"/>
                <w:rtl w:val="0"/>
              </w:rPr>
              <w:t xml:space="preserve">E</w:t>
            </w:r>
            <w:r w:rsidDel="00000000" w:rsidR="00000000" w:rsidRPr="00000000">
              <w:rPr>
                <w:b w:val="1"/>
                <w:vertAlign w:val="subscript"/>
                <w:rtl w:val="0"/>
              </w:rPr>
              <w:t xml:space="preserve">X</w:t>
            </w:r>
            <w:r w:rsidDel="00000000" w:rsidR="00000000" w:rsidRPr="00000000">
              <w:rPr>
                <w:b w:val="1"/>
                <w:rtl w:val="0"/>
              </w:rPr>
              <w:t xml:space="preserve"> (mV)</w:t>
            </w:r>
            <w:r w:rsidDel="00000000" w:rsidR="00000000" w:rsidRPr="00000000">
              <w:rPr>
                <w:rtl w:val="0"/>
              </w:rPr>
            </w:r>
          </w:p>
        </w:tc>
      </w:tr>
      <w:tr>
        <w:trPr>
          <w:trHeight w:val="380" w:hRule="atLeast"/>
        </w:trPr>
        <w:tc>
          <w:tcPr>
            <w:tcBorders>
              <w:left w:color="aaaaaa" w:space="0" w:sz="5" w:val="single"/>
              <w:bottom w:color="aaaaaa" w:space="0" w:sz="5" w:val="single"/>
              <w:right w:color="aaaaaa" w:space="0" w:sz="5" w:val="single"/>
            </w:tcBorders>
            <w:shd w:fill="f2f2f2" w:val="clear"/>
            <w:tcMar>
              <w:top w:w="40.0" w:type="dxa"/>
              <w:left w:w="80.0" w:type="dxa"/>
              <w:bottom w:w="40.0" w:type="dxa"/>
              <w:right w:w="80.0" w:type="dxa"/>
            </w:tcMar>
            <w:vAlign w:val="top"/>
          </w:tcPr>
          <w:p w:rsidR="00000000" w:rsidDel="00000000" w:rsidP="00000000" w:rsidRDefault="00000000" w:rsidRPr="00000000">
            <w:pPr>
              <w:spacing w:after="220" w:before="220" w:lineRule="auto"/>
              <w:ind w:right="220"/>
              <w:contextualSpacing w:val="0"/>
              <w:jc w:val="center"/>
              <w:rPr/>
            </w:pPr>
            <w:r w:rsidDel="00000000" w:rsidR="00000000" w:rsidRPr="00000000">
              <w:rPr>
                <w:rtl w:val="0"/>
              </w:rPr>
              <w:t xml:space="preserve">Na</w:t>
            </w:r>
            <w:r w:rsidDel="00000000" w:rsidR="00000000" w:rsidRPr="00000000">
              <w:rPr>
                <w:vertAlign w:val="superscript"/>
                <w:rtl w:val="0"/>
              </w:rPr>
              <w:t xml:space="preserve">+</w:t>
            </w:r>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tcMar>
              <w:top w:w="40.0" w:type="dxa"/>
              <w:left w:w="80.0" w:type="dxa"/>
              <w:bottom w:w="40.0" w:type="dxa"/>
              <w:right w:w="80.0" w:type="dxa"/>
            </w:tcMar>
            <w:vAlign w:val="top"/>
          </w:tcPr>
          <w:p w:rsidR="00000000" w:rsidDel="00000000" w:rsidP="00000000" w:rsidRDefault="00000000" w:rsidRPr="00000000">
            <w:pPr>
              <w:spacing w:after="220" w:before="220" w:lineRule="auto"/>
              <w:ind w:right="220"/>
              <w:contextualSpacing w:val="0"/>
              <w:jc w:val="center"/>
              <w:rPr/>
            </w:pPr>
            <w:r w:rsidDel="00000000" w:rsidR="00000000" w:rsidRPr="00000000">
              <w:rPr>
                <w:rtl w:val="0"/>
              </w:rPr>
              <w:t xml:space="preserve">145</w:t>
            </w:r>
          </w:p>
        </w:tc>
        <w:tc>
          <w:tcPr>
            <w:tcBorders>
              <w:top w:color="aaaaaa" w:space="0" w:sz="5" w:val="single"/>
              <w:left w:color="aaaaaa" w:space="0" w:sz="5" w:val="single"/>
              <w:bottom w:color="aaaaaa" w:space="0" w:sz="5" w:val="single"/>
              <w:right w:color="aaaaaa" w:space="0" w:sz="5" w:val="single"/>
            </w:tcBorders>
            <w:tcMar>
              <w:top w:w="40.0" w:type="dxa"/>
              <w:left w:w="80.0" w:type="dxa"/>
              <w:bottom w:w="40.0" w:type="dxa"/>
              <w:right w:w="80.0" w:type="dxa"/>
            </w:tcMar>
            <w:vAlign w:val="top"/>
          </w:tcPr>
          <w:p w:rsidR="00000000" w:rsidDel="00000000" w:rsidP="00000000" w:rsidRDefault="00000000" w:rsidRPr="00000000">
            <w:pPr>
              <w:spacing w:after="220" w:before="220" w:lineRule="auto"/>
              <w:ind w:right="220"/>
              <w:contextualSpacing w:val="0"/>
              <w:jc w:val="center"/>
              <w:rPr/>
            </w:pPr>
            <w:r w:rsidDel="00000000" w:rsidR="00000000" w:rsidRPr="00000000">
              <w:rPr>
                <w:rtl w:val="0"/>
              </w:rPr>
              <w:t xml:space="preserve">15</w:t>
            </w:r>
          </w:p>
        </w:tc>
        <w:tc>
          <w:tcPr>
            <w:tcBorders>
              <w:top w:color="aaaaaa" w:space="0" w:sz="5" w:val="single"/>
              <w:left w:color="aaaaaa" w:space="0" w:sz="5" w:val="single"/>
              <w:bottom w:color="aaaaaa" w:space="0" w:sz="5" w:val="single"/>
              <w:right w:color="aaaaaa" w:space="0" w:sz="5" w:val="single"/>
            </w:tcBorders>
            <w:tcMar>
              <w:top w:w="40.0" w:type="dxa"/>
              <w:left w:w="80.0" w:type="dxa"/>
              <w:bottom w:w="40.0" w:type="dxa"/>
              <w:right w:w="80.0" w:type="dxa"/>
            </w:tcMar>
            <w:vAlign w:val="top"/>
          </w:tcPr>
          <w:p w:rsidR="00000000" w:rsidDel="00000000" w:rsidP="00000000" w:rsidRDefault="00000000" w:rsidRPr="00000000">
            <w:pPr>
              <w:spacing w:after="220" w:before="220" w:lineRule="auto"/>
              <w:ind w:right="220"/>
              <w:contextualSpacing w:val="0"/>
              <w:jc w:val="center"/>
              <w:rPr/>
            </w:pPr>
            <w:r w:rsidDel="00000000" w:rsidR="00000000" w:rsidRPr="00000000">
              <w:rPr>
                <w:rtl w:val="0"/>
              </w:rPr>
              <w:t xml:space="preserve">+60</w:t>
            </w:r>
          </w:p>
        </w:tc>
      </w:tr>
      <w:tr>
        <w:trPr>
          <w:trHeight w:val="300" w:hRule="atLeast"/>
        </w:trPr>
        <w:tc>
          <w:tcPr>
            <w:tcBorders>
              <w:top w:color="aaaaaa" w:space="0" w:sz="5" w:val="single"/>
              <w:left w:color="aaaaaa" w:space="0" w:sz="5" w:val="single"/>
              <w:bottom w:color="aaaaaa" w:space="0" w:sz="5" w:val="single"/>
              <w:right w:color="aaaaaa" w:space="0" w:sz="5" w:val="single"/>
            </w:tcBorders>
            <w:shd w:fill="f2f2f2" w:val="clear"/>
            <w:tcMar>
              <w:top w:w="40.0" w:type="dxa"/>
              <w:left w:w="80.0" w:type="dxa"/>
              <w:bottom w:w="40.0" w:type="dxa"/>
              <w:right w:w="80.0" w:type="dxa"/>
            </w:tcMar>
            <w:vAlign w:val="top"/>
          </w:tcPr>
          <w:p w:rsidR="00000000" w:rsidDel="00000000" w:rsidP="00000000" w:rsidRDefault="00000000" w:rsidRPr="00000000">
            <w:pPr>
              <w:spacing w:after="220" w:before="220" w:lineRule="auto"/>
              <w:ind w:right="220"/>
              <w:contextualSpacing w:val="0"/>
              <w:jc w:val="center"/>
              <w:rPr/>
            </w:pPr>
            <w:r w:rsidDel="00000000" w:rsidR="00000000" w:rsidRPr="00000000">
              <w:rPr>
                <w:rtl w:val="0"/>
              </w:rPr>
              <w:t xml:space="preserve">K</w:t>
            </w:r>
            <w:r w:rsidDel="00000000" w:rsidR="00000000" w:rsidRPr="00000000">
              <w:rPr>
                <w:vertAlign w:val="superscript"/>
                <w:rtl w:val="0"/>
              </w:rPr>
              <w:t xml:space="preserve">+</w:t>
            </w:r>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tcMar>
              <w:top w:w="40.0" w:type="dxa"/>
              <w:left w:w="80.0" w:type="dxa"/>
              <w:bottom w:w="40.0" w:type="dxa"/>
              <w:right w:w="80.0" w:type="dxa"/>
            </w:tcMar>
            <w:vAlign w:val="top"/>
          </w:tcPr>
          <w:p w:rsidR="00000000" w:rsidDel="00000000" w:rsidP="00000000" w:rsidRDefault="00000000" w:rsidRPr="00000000">
            <w:pPr>
              <w:spacing w:after="220" w:before="220" w:lineRule="auto"/>
              <w:ind w:right="220"/>
              <w:contextualSpacing w:val="0"/>
              <w:jc w:val="center"/>
              <w:rPr/>
            </w:pPr>
            <w:r w:rsidDel="00000000" w:rsidR="00000000" w:rsidRPr="00000000">
              <w:rPr>
                <w:rtl w:val="0"/>
              </w:rPr>
              <w:t xml:space="preserve">4</w:t>
            </w:r>
          </w:p>
        </w:tc>
        <w:tc>
          <w:tcPr>
            <w:tcBorders>
              <w:top w:color="aaaaaa" w:space="0" w:sz="5" w:val="single"/>
              <w:left w:color="aaaaaa" w:space="0" w:sz="5" w:val="single"/>
              <w:bottom w:color="aaaaaa" w:space="0" w:sz="5" w:val="single"/>
              <w:right w:color="aaaaaa" w:space="0" w:sz="5" w:val="single"/>
            </w:tcBorders>
            <w:tcMar>
              <w:top w:w="40.0" w:type="dxa"/>
              <w:left w:w="80.0" w:type="dxa"/>
              <w:bottom w:w="40.0" w:type="dxa"/>
              <w:right w:w="80.0" w:type="dxa"/>
            </w:tcMar>
            <w:vAlign w:val="top"/>
          </w:tcPr>
          <w:p w:rsidR="00000000" w:rsidDel="00000000" w:rsidP="00000000" w:rsidRDefault="00000000" w:rsidRPr="00000000">
            <w:pPr>
              <w:spacing w:after="220" w:before="220" w:lineRule="auto"/>
              <w:ind w:right="220"/>
              <w:contextualSpacing w:val="0"/>
              <w:jc w:val="center"/>
              <w:rPr/>
            </w:pPr>
            <w:r w:rsidDel="00000000" w:rsidR="00000000" w:rsidRPr="00000000">
              <w:rPr>
                <w:rtl w:val="0"/>
              </w:rPr>
              <w:t xml:space="preserve">150</w:t>
            </w:r>
          </w:p>
        </w:tc>
        <w:tc>
          <w:tcPr>
            <w:tcBorders>
              <w:top w:color="aaaaaa" w:space="0" w:sz="5" w:val="single"/>
              <w:left w:color="aaaaaa" w:space="0" w:sz="5" w:val="single"/>
              <w:bottom w:color="aaaaaa" w:space="0" w:sz="5" w:val="single"/>
              <w:right w:color="aaaaaa" w:space="0" w:sz="5" w:val="single"/>
            </w:tcBorders>
            <w:tcMar>
              <w:top w:w="40.0" w:type="dxa"/>
              <w:left w:w="80.0" w:type="dxa"/>
              <w:bottom w:w="40.0" w:type="dxa"/>
              <w:right w:w="80.0" w:type="dxa"/>
            </w:tcMar>
            <w:vAlign w:val="top"/>
          </w:tcPr>
          <w:p w:rsidR="00000000" w:rsidDel="00000000" w:rsidP="00000000" w:rsidRDefault="00000000" w:rsidRPr="00000000">
            <w:pPr>
              <w:spacing w:after="220" w:before="220" w:lineRule="auto"/>
              <w:ind w:right="220"/>
              <w:contextualSpacing w:val="0"/>
              <w:jc w:val="center"/>
              <w:rPr/>
            </w:pPr>
            <w:r w:rsidDel="00000000" w:rsidR="00000000" w:rsidRPr="00000000">
              <w:rPr>
                <w:rFonts w:ascii="Arial Unicode MS" w:cs="Arial Unicode MS" w:eastAsia="Arial Unicode MS" w:hAnsi="Arial Unicode MS"/>
                <w:rtl w:val="0"/>
              </w:rPr>
              <w:t xml:space="preserve">−96</w:t>
            </w:r>
          </w:p>
        </w:tc>
      </w:tr>
      <w:tr>
        <w:trPr>
          <w:trHeight w:val="420" w:hRule="atLeast"/>
        </w:trPr>
        <w:tc>
          <w:tcPr>
            <w:tcBorders>
              <w:top w:color="aaaaaa" w:space="0" w:sz="5" w:val="single"/>
              <w:left w:color="aaaaaa" w:space="0" w:sz="5" w:val="single"/>
              <w:bottom w:color="aaaaaa" w:space="0" w:sz="5" w:val="single"/>
              <w:right w:color="aaaaaa" w:space="0" w:sz="5" w:val="single"/>
            </w:tcBorders>
            <w:shd w:fill="f2f2f2" w:val="clear"/>
            <w:tcMar>
              <w:top w:w="40.0" w:type="dxa"/>
              <w:left w:w="80.0" w:type="dxa"/>
              <w:bottom w:w="40.0" w:type="dxa"/>
              <w:right w:w="80.0" w:type="dxa"/>
            </w:tcMar>
            <w:vAlign w:val="top"/>
          </w:tcPr>
          <w:p w:rsidR="00000000" w:rsidDel="00000000" w:rsidP="00000000" w:rsidRDefault="00000000" w:rsidRPr="00000000">
            <w:pPr>
              <w:spacing w:after="220" w:before="220" w:lineRule="auto"/>
              <w:ind w:right="220"/>
              <w:contextualSpacing w:val="0"/>
              <w:jc w:val="center"/>
              <w:rPr/>
            </w:pPr>
            <w:r w:rsidDel="00000000" w:rsidR="00000000" w:rsidRPr="00000000">
              <w:rPr>
                <w:rtl w:val="0"/>
              </w:rPr>
              <w:t xml:space="preserve">Ca</w:t>
            </w:r>
            <w:r w:rsidDel="00000000" w:rsidR="00000000" w:rsidRPr="00000000">
              <w:rPr>
                <w:vertAlign w:val="superscript"/>
                <w:rtl w:val="0"/>
              </w:rPr>
              <w:t xml:space="preserve">2+</w:t>
            </w:r>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tcMar>
              <w:top w:w="40.0" w:type="dxa"/>
              <w:left w:w="80.0" w:type="dxa"/>
              <w:bottom w:w="40.0" w:type="dxa"/>
              <w:right w:w="80.0" w:type="dxa"/>
            </w:tcMar>
            <w:vAlign w:val="top"/>
          </w:tcPr>
          <w:p w:rsidR="00000000" w:rsidDel="00000000" w:rsidP="00000000" w:rsidRDefault="00000000" w:rsidRPr="00000000">
            <w:pPr>
              <w:spacing w:after="220" w:before="220" w:lineRule="auto"/>
              <w:ind w:right="220"/>
              <w:contextualSpacing w:val="0"/>
              <w:jc w:val="center"/>
              <w:rPr/>
            </w:pPr>
            <w:r w:rsidDel="00000000" w:rsidR="00000000" w:rsidRPr="00000000">
              <w:rPr>
                <w:rtl w:val="0"/>
              </w:rPr>
              <w:t xml:space="preserve">2,5</w:t>
            </w:r>
          </w:p>
        </w:tc>
        <w:tc>
          <w:tcPr>
            <w:tcBorders>
              <w:top w:color="aaaaaa" w:space="0" w:sz="5" w:val="single"/>
              <w:left w:color="aaaaaa" w:space="0" w:sz="5" w:val="single"/>
              <w:bottom w:color="aaaaaa" w:space="0" w:sz="5" w:val="single"/>
              <w:right w:color="aaaaaa" w:space="0" w:sz="5" w:val="single"/>
            </w:tcBorders>
            <w:tcMar>
              <w:top w:w="40.0" w:type="dxa"/>
              <w:left w:w="80.0" w:type="dxa"/>
              <w:bottom w:w="40.0" w:type="dxa"/>
              <w:right w:w="80.0" w:type="dxa"/>
            </w:tcMar>
            <w:vAlign w:val="top"/>
          </w:tcPr>
          <w:p w:rsidR="00000000" w:rsidDel="00000000" w:rsidP="00000000" w:rsidRDefault="00000000" w:rsidRPr="00000000">
            <w:pPr>
              <w:spacing w:after="220" w:before="220" w:lineRule="auto"/>
              <w:ind w:right="220"/>
              <w:contextualSpacing w:val="0"/>
              <w:jc w:val="center"/>
              <w:rPr/>
            </w:pPr>
            <w:r w:rsidDel="00000000" w:rsidR="00000000" w:rsidRPr="00000000">
              <w:rPr>
                <w:rtl w:val="0"/>
              </w:rPr>
              <w:t xml:space="preserve">10</w:t>
            </w:r>
            <w:r w:rsidDel="00000000" w:rsidR="00000000" w:rsidRPr="00000000">
              <w:rPr>
                <w:rFonts w:ascii="Arial Unicode MS" w:cs="Arial Unicode MS" w:eastAsia="Arial Unicode MS" w:hAnsi="Arial Unicode MS"/>
                <w:vertAlign w:val="superscript"/>
                <w:rtl w:val="0"/>
              </w:rPr>
              <w:t xml:space="preserve">−4</w:t>
            </w:r>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tcMar>
              <w:top w:w="40.0" w:type="dxa"/>
              <w:left w:w="80.0" w:type="dxa"/>
              <w:bottom w:w="40.0" w:type="dxa"/>
              <w:right w:w="80.0" w:type="dxa"/>
            </w:tcMar>
            <w:vAlign w:val="top"/>
          </w:tcPr>
          <w:p w:rsidR="00000000" w:rsidDel="00000000" w:rsidP="00000000" w:rsidRDefault="00000000" w:rsidRPr="00000000">
            <w:pPr>
              <w:spacing w:after="220" w:before="220" w:lineRule="auto"/>
              <w:ind w:right="220"/>
              <w:contextualSpacing w:val="0"/>
              <w:jc w:val="center"/>
              <w:rPr/>
            </w:pPr>
            <w:r w:rsidDel="00000000" w:rsidR="00000000" w:rsidRPr="00000000">
              <w:rPr>
                <w:rtl w:val="0"/>
              </w:rPr>
              <w:t xml:space="preserve">+134</w:t>
            </w:r>
          </w:p>
        </w:tc>
      </w:tr>
      <w:tr>
        <w:trPr>
          <w:trHeight w:val="420" w:hRule="atLeast"/>
        </w:trPr>
        <w:tc>
          <w:tcPr>
            <w:tcBorders>
              <w:top w:color="aaaaaa" w:space="0" w:sz="5" w:val="single"/>
              <w:left w:color="aaaaaa" w:space="0" w:sz="5" w:val="single"/>
              <w:bottom w:color="aaaaaa" w:space="0" w:sz="5" w:val="single"/>
              <w:right w:color="aaaaaa" w:space="0" w:sz="5" w:val="single"/>
            </w:tcBorders>
            <w:shd w:fill="f2f2f2" w:val="clear"/>
            <w:tcMar>
              <w:top w:w="40.0" w:type="dxa"/>
              <w:left w:w="80.0" w:type="dxa"/>
              <w:bottom w:w="40.0" w:type="dxa"/>
              <w:right w:w="80.0" w:type="dxa"/>
            </w:tcMar>
            <w:vAlign w:val="top"/>
          </w:tcPr>
          <w:p w:rsidR="00000000" w:rsidDel="00000000" w:rsidP="00000000" w:rsidRDefault="00000000" w:rsidRPr="00000000">
            <w:pPr>
              <w:spacing w:after="220" w:before="220" w:lineRule="auto"/>
              <w:ind w:right="220"/>
              <w:contextualSpacing w:val="0"/>
              <w:jc w:val="center"/>
              <w:rPr/>
            </w:pPr>
            <w:r w:rsidDel="00000000" w:rsidR="00000000" w:rsidRPr="00000000">
              <w:rPr>
                <w:rtl w:val="0"/>
              </w:rPr>
              <w:t xml:space="preserve">Cl</w:t>
            </w:r>
            <w:r w:rsidDel="00000000" w:rsidR="00000000" w:rsidRPr="00000000">
              <w:rPr>
                <w:rFonts w:ascii="Arial Unicode MS" w:cs="Arial Unicode MS" w:eastAsia="Arial Unicode MS" w:hAnsi="Arial Unicode MS"/>
                <w:vertAlign w:val="superscript"/>
                <w:rtl w:val="0"/>
              </w:rPr>
              <w:t xml:space="preserve">−</w:t>
            </w:r>
            <w:r w:rsidDel="00000000" w:rsidR="00000000" w:rsidRPr="00000000">
              <w:rPr>
                <w:rtl w:val="0"/>
              </w:rPr>
            </w:r>
          </w:p>
        </w:tc>
        <w:tc>
          <w:tcPr>
            <w:tcBorders>
              <w:top w:color="aaaaaa" w:space="0" w:sz="5" w:val="single"/>
              <w:left w:color="aaaaaa" w:space="0" w:sz="5" w:val="single"/>
              <w:bottom w:color="aaaaaa" w:space="0" w:sz="5" w:val="single"/>
              <w:right w:color="aaaaaa" w:space="0" w:sz="5" w:val="single"/>
            </w:tcBorders>
            <w:tcMar>
              <w:top w:w="40.0" w:type="dxa"/>
              <w:left w:w="80.0" w:type="dxa"/>
              <w:bottom w:w="40.0" w:type="dxa"/>
              <w:right w:w="80.0" w:type="dxa"/>
            </w:tcMar>
            <w:vAlign w:val="top"/>
          </w:tcPr>
          <w:p w:rsidR="00000000" w:rsidDel="00000000" w:rsidP="00000000" w:rsidRDefault="00000000" w:rsidRPr="00000000">
            <w:pPr>
              <w:spacing w:after="220" w:before="220" w:lineRule="auto"/>
              <w:ind w:right="220"/>
              <w:contextualSpacing w:val="0"/>
              <w:jc w:val="center"/>
              <w:rPr/>
            </w:pPr>
            <w:r w:rsidDel="00000000" w:rsidR="00000000" w:rsidRPr="00000000">
              <w:rPr>
                <w:rtl w:val="0"/>
              </w:rPr>
              <w:t xml:space="preserve">100</w:t>
            </w:r>
          </w:p>
        </w:tc>
        <w:tc>
          <w:tcPr>
            <w:tcBorders>
              <w:top w:color="aaaaaa" w:space="0" w:sz="5" w:val="single"/>
              <w:left w:color="aaaaaa" w:space="0" w:sz="5" w:val="single"/>
              <w:bottom w:color="aaaaaa" w:space="0" w:sz="5" w:val="single"/>
              <w:right w:color="aaaaaa" w:space="0" w:sz="5" w:val="single"/>
            </w:tcBorders>
            <w:tcMar>
              <w:top w:w="40.0" w:type="dxa"/>
              <w:left w:w="80.0" w:type="dxa"/>
              <w:bottom w:w="40.0" w:type="dxa"/>
              <w:right w:w="80.0" w:type="dxa"/>
            </w:tcMar>
            <w:vAlign w:val="top"/>
          </w:tcPr>
          <w:p w:rsidR="00000000" w:rsidDel="00000000" w:rsidP="00000000" w:rsidRDefault="00000000" w:rsidRPr="00000000">
            <w:pPr>
              <w:spacing w:after="220" w:before="220" w:lineRule="auto"/>
              <w:ind w:right="220"/>
              <w:contextualSpacing w:val="0"/>
              <w:jc w:val="center"/>
              <w:rPr/>
            </w:pPr>
            <w:r w:rsidDel="00000000" w:rsidR="00000000" w:rsidRPr="00000000">
              <w:rPr>
                <w:rtl w:val="0"/>
              </w:rPr>
              <w:t xml:space="preserve">5</w:t>
            </w:r>
          </w:p>
        </w:tc>
        <w:tc>
          <w:tcPr>
            <w:tcBorders>
              <w:top w:color="aaaaaa" w:space="0" w:sz="5" w:val="single"/>
              <w:left w:color="aaaaaa" w:space="0" w:sz="5" w:val="single"/>
              <w:bottom w:color="aaaaaa" w:space="0" w:sz="5" w:val="single"/>
              <w:right w:color="aaaaaa" w:space="0" w:sz="5" w:val="single"/>
            </w:tcBorders>
            <w:tcMar>
              <w:top w:w="40.0" w:type="dxa"/>
              <w:left w:w="80.0" w:type="dxa"/>
              <w:bottom w:w="40.0" w:type="dxa"/>
              <w:right w:w="80.0" w:type="dxa"/>
            </w:tcMar>
            <w:vAlign w:val="top"/>
          </w:tcPr>
          <w:p w:rsidR="00000000" w:rsidDel="00000000" w:rsidP="00000000" w:rsidRDefault="00000000" w:rsidRPr="00000000">
            <w:pPr>
              <w:spacing w:after="220" w:before="220" w:lineRule="auto"/>
              <w:ind w:right="220"/>
              <w:contextualSpacing w:val="0"/>
              <w:jc w:val="center"/>
              <w:rPr/>
            </w:pPr>
            <w:r w:rsidDel="00000000" w:rsidR="00000000" w:rsidRPr="00000000">
              <w:rPr>
                <w:rFonts w:ascii="Arial Unicode MS" w:cs="Arial Unicode MS" w:eastAsia="Arial Unicode MS" w:hAnsi="Arial Unicode MS"/>
                <w:rtl w:val="0"/>
              </w:rPr>
              <w:t xml:space="preserve">−79</w:t>
            </w:r>
          </w:p>
        </w:tc>
      </w:tr>
    </w:tbl>
    <w:p w:rsidR="00000000" w:rsidDel="00000000" w:rsidP="00000000" w:rsidRDefault="00000000" w:rsidRPr="00000000">
      <w:pPr>
        <w:spacing w:after="20" w:lineRule="auto"/>
        <w:ind w:left="0" w:firstLine="0"/>
        <w:contextualSpacing w:val="0"/>
        <w:rPr/>
      </w:pPr>
      <w:r w:rsidDel="00000000" w:rsidR="00000000" w:rsidRPr="00000000">
        <w:rPr>
          <w:rtl w:val="0"/>
        </w:rPr>
      </w:r>
    </w:p>
    <w:p w:rsidR="00000000" w:rsidDel="00000000" w:rsidP="00000000" w:rsidRDefault="00000000" w:rsidRPr="00000000">
      <w:pPr>
        <w:spacing w:after="20" w:lineRule="auto"/>
        <w:ind w:left="0" w:firstLine="0"/>
        <w:contextualSpacing w:val="0"/>
        <w:rPr/>
      </w:pPr>
      <w:r w:rsidDel="00000000" w:rsidR="00000000" w:rsidRPr="00000000">
        <w:rPr>
          <w:rtl w:val="0"/>
        </w:rPr>
      </w:r>
    </w:p>
    <w:p w:rsidR="00000000" w:rsidDel="00000000" w:rsidP="00000000" w:rsidRDefault="00000000" w:rsidRPr="00000000">
      <w:pPr>
        <w:spacing w:after="20" w:lineRule="auto"/>
        <w:ind w:left="0" w:firstLine="0"/>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pmbuj5lusoz7" w:id="26"/>
      <w:bookmarkEnd w:id="26"/>
      <w:r w:rsidDel="00000000" w:rsidR="00000000" w:rsidRPr="00000000">
        <w:rPr>
          <w:rtl w:val="0"/>
        </w:rPr>
        <w:t xml:space="preserve">Membrány vzrušivé a dráždivé (nevzrušivé)</w:t>
      </w:r>
    </w:p>
    <w:p w:rsidR="00000000" w:rsidDel="00000000" w:rsidP="00000000" w:rsidRDefault="00000000" w:rsidRPr="00000000">
      <w:pPr>
        <w:contextualSpacing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Membrána/vlastnost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VZRUŠIVÁ</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DRÁŽDIVÁ</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akční napětí</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stupňovitá odpověď</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stejná amplituda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amplituda závislá na intenzitě podnětu</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práh</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bezprahová odpověď</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podnět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depolarizace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externí, vazbou ligandu</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napěťově řízené kanály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ostatní kanály</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vedení bez úbytku - všude stejné napětí</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 úbytkem</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okeiodf0roic" w:id="27"/>
      <w:bookmarkEnd w:id="27"/>
      <w:r w:rsidDel="00000000" w:rsidR="00000000" w:rsidRPr="00000000">
        <w:rPr>
          <w:rtl w:val="0"/>
        </w:rPr>
        <w:t xml:space="preserve">Vzrušivé membrány</w:t>
      </w:r>
    </w:p>
    <w:p w:rsidR="00000000" w:rsidDel="00000000" w:rsidP="00000000" w:rsidRDefault="00000000" w:rsidRPr="00000000">
      <w:pPr>
        <w:contextualSpacing w:val="0"/>
        <w:rPr/>
      </w:pPr>
      <w:r w:rsidDel="00000000" w:rsidR="00000000" w:rsidRPr="00000000">
        <w:rPr>
          <w:rtl w:val="0"/>
        </w:rPr>
        <w:t xml:space="preserve">= buňky nervů, kosterní, srdeční a hladké svaloviny</w:t>
      </w:r>
    </w:p>
    <w:p w:rsidR="00000000" w:rsidDel="00000000" w:rsidP="00000000" w:rsidRDefault="00000000" w:rsidRPr="00000000">
      <w:pPr>
        <w:contextualSpacing w:val="0"/>
        <w:rPr/>
      </w:pPr>
      <w:r w:rsidDel="00000000" w:rsidR="00000000" w:rsidRPr="00000000">
        <w:rPr>
          <w:rtl w:val="0"/>
        </w:rPr>
        <w:t xml:space="preserve">membrána je vybavena příslušnými napěťově vrátkovanými kanály; je-li podnět dostatečně silný, generuje se </w:t>
      </w:r>
      <w:r w:rsidDel="00000000" w:rsidR="00000000" w:rsidRPr="00000000">
        <w:rPr>
          <w:color w:val="ff0000"/>
          <w:rtl w:val="0"/>
        </w:rPr>
        <w:t xml:space="preserve">akční napětí</w:t>
      </w:r>
      <w:r w:rsidDel="00000000" w:rsidR="00000000" w:rsidRPr="00000000">
        <w:rPr>
          <w:rtl w:val="0"/>
        </w:rPr>
        <w:t xml:space="preserve"> (akční potenciál)</w:t>
      </w:r>
    </w:p>
    <w:p w:rsidR="00000000" w:rsidDel="00000000" w:rsidP="00000000" w:rsidRDefault="00000000" w:rsidRPr="00000000">
      <w:pPr>
        <w:pStyle w:val="Heading2"/>
        <w:contextualSpacing w:val="0"/>
        <w:rPr/>
      </w:pPr>
      <w:bookmarkStart w:colFirst="0" w:colLast="0" w:name="_rv2dejj4benb" w:id="28"/>
      <w:bookmarkEnd w:id="28"/>
      <w:r w:rsidDel="00000000" w:rsidR="00000000" w:rsidRPr="00000000">
        <w:rPr>
          <w:rtl w:val="0"/>
        </w:rPr>
        <w:t xml:space="preserve">Dráždivé membrány</w:t>
      </w:r>
    </w:p>
    <w:p w:rsidR="00000000" w:rsidDel="00000000" w:rsidP="00000000" w:rsidRDefault="00000000" w:rsidRPr="00000000">
      <w:pPr>
        <w:contextualSpacing w:val="0"/>
        <w:rPr>
          <w:color w:val="ff0000"/>
        </w:rPr>
      </w:pPr>
      <w:r w:rsidDel="00000000" w:rsidR="00000000" w:rsidRPr="00000000">
        <w:rPr>
          <w:rtl w:val="0"/>
        </w:rPr>
        <w:t xml:space="preserve">pokud není membrána vybavena příslušnými napěťově vrátkovanými kanály, nebo přijmde nedostatečně silný podnět, vzniká</w:t>
      </w:r>
      <w:r w:rsidDel="00000000" w:rsidR="00000000" w:rsidRPr="00000000">
        <w:rPr>
          <w:color w:val="ff0000"/>
          <w:rtl w:val="0"/>
        </w:rPr>
        <w:t xml:space="preserve"> elektrotonická odpověď</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podobné chování jako vzrušivá membrána při podprahových podnětech</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postsynaptická oblast, dendridy, těla neuronů, receptory</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není schopna generovat akční napětí (nemá příslušné kanály)</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elektrická odpověď je přímo úměrná intenzitě podnětu = gradovaná (stupňovitá) odpověď</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elektrotonické, pasivní šíření (šíření s dekrementem)</w:t>
      </w:r>
    </w:p>
    <w:p w:rsidR="00000000" w:rsidDel="00000000" w:rsidP="00000000" w:rsidRDefault="00000000" w:rsidRPr="00000000">
      <w:pPr>
        <w:contextualSpacing w:val="0"/>
        <w:rPr>
          <w:color w:val="434343"/>
        </w:rPr>
      </w:pPr>
      <w:r w:rsidDel="00000000" w:rsidR="00000000" w:rsidRPr="00000000">
        <w:rPr>
          <w:color w:val="434343"/>
        </w:rPr>
        <w:drawing>
          <wp:inline distB="114300" distT="114300" distL="114300" distR="114300">
            <wp:extent cx="4886093" cy="2622876"/>
            <wp:effectExtent b="0" l="0" r="0" t="0"/>
            <wp:docPr id="7"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886093" cy="262287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vpi51yojb5mm" w:id="29"/>
      <w:bookmarkEnd w:id="29"/>
      <w:r w:rsidDel="00000000" w:rsidR="00000000" w:rsidRPr="00000000">
        <w:rPr>
          <w:rtl w:val="0"/>
        </w:rPr>
        <w:t xml:space="preserve">Akční potenciál</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29125" cy="2924175"/>
            <wp:effectExtent b="0" l="0" r="0" t="0"/>
            <wp:docPr id="8"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429125" cy="2924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šířící se vlna elektrické negativity</w:t>
      </w:r>
    </w:p>
    <w:p w:rsidR="00000000" w:rsidDel="00000000" w:rsidP="00000000" w:rsidRDefault="00000000" w:rsidRPr="00000000">
      <w:pPr>
        <w:pStyle w:val="Heading2"/>
        <w:contextualSpacing w:val="0"/>
        <w:rPr/>
      </w:pPr>
      <w:bookmarkStart w:colFirst="0" w:colLast="0" w:name="_2ngxflvq54yx" w:id="30"/>
      <w:bookmarkEnd w:id="30"/>
      <w:r w:rsidDel="00000000" w:rsidR="00000000" w:rsidRPr="00000000">
        <w:rPr>
          <w:rtl w:val="0"/>
        </w:rPr>
        <w:t xml:space="preserve">Vlastnosti</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práh - hraniční hodnota membránového napětí, při které dochází k vyvolání akčního potenciálu</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prahový, nadprahový podnět - za stálých podmínek je vždy odpověd stejná = stejná amplituda a doba trvání nezávisle na intenzitě podnětu</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není-li prahu dosaženo → AN nevzniká</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šíří se bez úbytku</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refrakterita - neschopnost membrány generovat nové AN v průběhu přednozího a těsně po něm</w:t>
      </w:r>
      <w:r w:rsidDel="00000000" w:rsidR="00000000" w:rsidRPr="00000000">
        <w:drawing>
          <wp:anchor allowOverlap="1" behindDoc="0" distB="114300" distT="114300" distL="114300" distR="114300" hidden="0" layoutInCell="1" locked="0" relativeHeight="0" simplePos="0">
            <wp:simplePos x="0" y="0"/>
            <wp:positionH relativeFrom="margin">
              <wp:posOffset>2828925</wp:posOffset>
            </wp:positionH>
            <wp:positionV relativeFrom="paragraph">
              <wp:posOffset>376425</wp:posOffset>
            </wp:positionV>
            <wp:extent cx="2790825" cy="2400300"/>
            <wp:effectExtent b="0" l="0" r="0" t="0"/>
            <wp:wrapSquare wrapText="bothSides" distB="114300" distT="114300" distL="114300" distR="114300"/>
            <wp:docPr id="11"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2790825" cy="2400300"/>
                    </a:xfrm>
                    <a:prstGeom prst="rect"/>
                    <a:ln/>
                  </pic:spPr>
                </pic:pic>
              </a:graphicData>
            </a:graphic>
          </wp:anchor>
        </w:drawing>
      </w:r>
    </w:p>
    <w:p w:rsidR="00000000" w:rsidDel="00000000" w:rsidP="00000000" w:rsidRDefault="00000000" w:rsidRPr="00000000">
      <w:pPr>
        <w:numPr>
          <w:ilvl w:val="1"/>
          <w:numId w:val="13"/>
        </w:numPr>
        <w:ind w:left="1440" w:hanging="360"/>
        <w:contextualSpacing w:val="1"/>
        <w:rPr>
          <w:u w:val="none"/>
        </w:rPr>
      </w:pPr>
      <w:r w:rsidDel="00000000" w:rsidR="00000000" w:rsidRPr="00000000">
        <w:rPr>
          <w:rtl w:val="0"/>
        </w:rPr>
        <w:t xml:space="preserve">absolutní refrakterní fáze (ARP) - membrána není schopna generovat AN po podnětech jakékoliv intenzity</w:t>
      </w:r>
    </w:p>
    <w:p w:rsidR="00000000" w:rsidDel="00000000" w:rsidP="00000000" w:rsidRDefault="00000000" w:rsidRPr="00000000">
      <w:pPr>
        <w:numPr>
          <w:ilvl w:val="1"/>
          <w:numId w:val="13"/>
        </w:numPr>
        <w:ind w:left="1440" w:hanging="360"/>
        <w:contextualSpacing w:val="1"/>
        <w:rPr>
          <w:u w:val="none"/>
        </w:rPr>
      </w:pPr>
      <w:r w:rsidDel="00000000" w:rsidR="00000000" w:rsidRPr="00000000">
        <w:rPr>
          <w:rtl w:val="0"/>
        </w:rPr>
        <w:t xml:space="preserve">relativní refrakterní fáze (RRP) - následuje za absolutní; podnět vedoucí ke vzniku AN musí být větší než obvykle, aby bylo dosaženo prahu</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uk9rudl4kdrn" w:id="31"/>
      <w:bookmarkEnd w:id="31"/>
      <w:r w:rsidDel="00000000" w:rsidR="00000000" w:rsidRPr="00000000">
        <w:rPr>
          <w:rtl w:val="0"/>
        </w:rPr>
        <w:t xml:space="preserve">Popis</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v okamžiku průchodu vzruchu nervovým vláknem se mění klidová rovnováha na vzrušivé membráně</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propustnost membrány pro Na</w:t>
      </w:r>
      <w:r w:rsidDel="00000000" w:rsidR="00000000" w:rsidRPr="00000000">
        <w:rPr>
          <w:vertAlign w:val="superscript"/>
          <w:rtl w:val="0"/>
        </w:rPr>
        <w:t xml:space="preserve">+</w:t>
      </w:r>
      <w:r w:rsidDel="00000000" w:rsidR="00000000" w:rsidRPr="00000000">
        <w:rPr>
          <w:rtl w:val="0"/>
        </w:rPr>
        <w:t xml:space="preserve"> se náhle zvýší a tento kationt se přesunuje dovnitř nervu</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polarizace mizí (depolarizace), povrch se stává až o 40mV elektronegativním</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zvýší se permeabilita membrány pro K</w:t>
      </w:r>
      <w:r w:rsidDel="00000000" w:rsidR="00000000" w:rsidRPr="00000000">
        <w:rPr>
          <w:vertAlign w:val="superscript"/>
          <w:rtl w:val="0"/>
        </w:rPr>
        <w:t xml:space="preserve">+</w:t>
      </w:r>
      <w:r w:rsidDel="00000000" w:rsidR="00000000" w:rsidRPr="00000000">
        <w:rPr>
          <w:rtl w:val="0"/>
        </w:rPr>
        <w:t xml:space="preserve">, čímž se vyrovná akční kolísnutí membránového potenciálu (repolarizace)</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po každém vzruchu obnovuje neuronový metabolismus původní rozložení iontů na membráně</w:t>
      </w:r>
    </w:p>
    <w:p w:rsidR="00000000" w:rsidDel="00000000" w:rsidP="00000000" w:rsidRDefault="00000000" w:rsidRPr="00000000">
      <w:pPr>
        <w:numPr>
          <w:ilvl w:val="1"/>
          <w:numId w:val="16"/>
        </w:numPr>
        <w:ind w:left="1440" w:hanging="360"/>
        <w:contextualSpacing w:val="1"/>
        <w:rPr>
          <w:u w:val="none"/>
        </w:rPr>
      </w:pPr>
      <w:r w:rsidDel="00000000" w:rsidR="00000000" w:rsidRPr="00000000">
        <w:rPr>
          <w:rtl w:val="0"/>
        </w:rPr>
        <w:t xml:space="preserve">sodíkodraslíkovou pumpou je Na</w:t>
      </w:r>
      <w:r w:rsidDel="00000000" w:rsidR="00000000" w:rsidRPr="00000000">
        <w:rPr>
          <w:vertAlign w:val="superscript"/>
          <w:rtl w:val="0"/>
        </w:rPr>
        <w:t xml:space="preserve">+</w:t>
      </w:r>
      <w:r w:rsidDel="00000000" w:rsidR="00000000" w:rsidRPr="00000000">
        <w:rPr>
          <w:rtl w:val="0"/>
        </w:rPr>
        <w:t xml:space="preserve"> čerpán z nervového vlakna ven, kdežto K</w:t>
      </w:r>
      <w:r w:rsidDel="00000000" w:rsidR="00000000" w:rsidRPr="00000000">
        <w:rPr>
          <w:vertAlign w:val="superscript"/>
          <w:rtl w:val="0"/>
        </w:rPr>
        <w:t xml:space="preserve">+</w:t>
      </w:r>
      <w:r w:rsidDel="00000000" w:rsidR="00000000" w:rsidRPr="00000000">
        <w:rPr>
          <w:rtl w:val="0"/>
        </w:rPr>
        <w:t xml:space="preserve"> putoje na jeho místo dovnitř</w:t>
      </w:r>
    </w:p>
    <w:p w:rsidR="00000000" w:rsidDel="00000000" w:rsidP="00000000" w:rsidRDefault="00000000" w:rsidRPr="00000000">
      <w:pPr>
        <w:numPr>
          <w:ilvl w:val="1"/>
          <w:numId w:val="16"/>
        </w:numPr>
        <w:ind w:left="1440" w:hanging="360"/>
        <w:contextualSpacing w:val="1"/>
        <w:rPr>
          <w:u w:val="none"/>
        </w:rPr>
      </w:pPr>
      <w:r w:rsidDel="00000000" w:rsidR="00000000" w:rsidRPr="00000000">
        <w:rPr>
          <w:rtl w:val="0"/>
        </w:rPr>
        <w:t xml:space="preserve">energie pro tento aktivní transport iontů je získána z ATP a nahrazena oxidací glukózy</w:t>
      </w:r>
    </w:p>
    <w:sectPr>
      <w:headerReference r:id="rId26" w:type="first"/>
      <w:footerReference r:id="rId27" w:type="default"/>
      <w:footerReference r:id="rId28" w:type="first"/>
      <w:pgSz w:h="16834" w:w="11909"/>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b w:val="1"/>
          <w:color w:val="222222"/>
          <w:sz w:val="24"/>
          <w:szCs w:val="24"/>
          <w:highlight w:val="white"/>
          <w:rtl w:val="0"/>
        </w:rPr>
        <w:t xml:space="preserve">Esterifikace</w:t>
      </w:r>
      <w:r w:rsidDel="00000000" w:rsidR="00000000" w:rsidRPr="00000000">
        <w:rPr>
          <w:color w:val="222222"/>
          <w:sz w:val="24"/>
          <w:szCs w:val="24"/>
          <w:highlight w:val="white"/>
          <w:rtl w:val="0"/>
        </w:rPr>
        <w:t xml:space="preserve"> je chemická reakce, při které z organické nebo anorganické kyslíkaté kyseliny a alkoholu vzniká ester. V běžné praxi se </w:t>
      </w:r>
      <w:r w:rsidDel="00000000" w:rsidR="00000000" w:rsidRPr="00000000">
        <w:rPr>
          <w:b w:val="1"/>
          <w:color w:val="222222"/>
          <w:sz w:val="24"/>
          <w:szCs w:val="24"/>
          <w:highlight w:val="white"/>
          <w:rtl w:val="0"/>
        </w:rPr>
        <w:t xml:space="preserve">esterifikací</w:t>
      </w:r>
      <w:r w:rsidDel="00000000" w:rsidR="00000000" w:rsidRPr="00000000">
        <w:rPr>
          <w:color w:val="222222"/>
          <w:sz w:val="24"/>
          <w:szCs w:val="24"/>
          <w:highlight w:val="white"/>
          <w:rtl w:val="0"/>
        </w:rPr>
        <w:t xml:space="preserve"> rozumí hlavně reakce karboxylové kyseliny a alkoholu za vzniku esteru karboxylové kyseliny a vody.</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c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9f9f9"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34.png"/><Relationship Id="rId21" Type="http://schemas.openxmlformats.org/officeDocument/2006/relationships/image" Target="media/image26.png"/><Relationship Id="rId24" Type="http://schemas.openxmlformats.org/officeDocument/2006/relationships/image" Target="media/image2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5.png"/><Relationship Id="rId26" Type="http://schemas.openxmlformats.org/officeDocument/2006/relationships/header" Target="header1.xml"/><Relationship Id="rId25" Type="http://schemas.openxmlformats.org/officeDocument/2006/relationships/image" Target="media/image27.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1.png"/><Relationship Id="rId8" Type="http://schemas.openxmlformats.org/officeDocument/2006/relationships/hyperlink" Target="http://www1.lf1.cuni.cz/~zfisar/bp/1.5.old.htm" TargetMode="External"/><Relationship Id="rId11" Type="http://schemas.openxmlformats.org/officeDocument/2006/relationships/image" Target="media/image29.png"/><Relationship Id="rId10" Type="http://schemas.openxmlformats.org/officeDocument/2006/relationships/image" Target="media/image30.png"/><Relationship Id="rId13" Type="http://schemas.openxmlformats.org/officeDocument/2006/relationships/image" Target="media/image20.png"/><Relationship Id="rId12" Type="http://schemas.openxmlformats.org/officeDocument/2006/relationships/image" Target="media/image36.png"/><Relationship Id="rId15" Type="http://schemas.openxmlformats.org/officeDocument/2006/relationships/image" Target="media/image4.png"/><Relationship Id="rId14" Type="http://schemas.openxmlformats.org/officeDocument/2006/relationships/image" Target="media/image22.png"/><Relationship Id="rId17" Type="http://schemas.openxmlformats.org/officeDocument/2006/relationships/image" Target="media/image28.png"/><Relationship Id="rId16" Type="http://schemas.openxmlformats.org/officeDocument/2006/relationships/image" Target="media/image32.png"/><Relationship Id="rId19" Type="http://schemas.openxmlformats.org/officeDocument/2006/relationships/image" Target="media/image25.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