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hd w:fill="ffffff" w:val="clear"/>
        <w:ind w:left="720" w:firstLine="0"/>
        <w:contextualSpacing w:val="0"/>
        <w:jc w:val="center"/>
        <w:rPr/>
      </w:pPr>
      <w:bookmarkStart w:colFirst="0" w:colLast="0" w:name="_4pwesjjfdqm0" w:id="0"/>
      <w:bookmarkEnd w:id="0"/>
      <w:r w:rsidDel="00000000" w:rsidR="00000000" w:rsidRPr="00000000">
        <w:rPr>
          <w:rtl w:val="0"/>
        </w:rPr>
        <w:t xml:space="preserve">02. Synapse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3u6eqkkhpau8" w:id="1"/>
      <w:bookmarkEnd w:id="1"/>
      <w:r w:rsidDel="00000000" w:rsidR="00000000" w:rsidRPr="00000000">
        <w:rPr>
          <w:rtl w:val="0"/>
        </w:rPr>
        <w:t xml:space="preserve">Synapse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Pěkné vysvětlení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= specializovaný funkční kontakt mezi membránami dvou buněk, z nichž alespoň jedna je neuron; </w:t>
      </w:r>
      <w:r w:rsidDel="00000000" w:rsidR="00000000" w:rsidRPr="00000000">
        <w:rPr>
          <w:color w:val="ff0000"/>
          <w:rtl w:val="0"/>
        </w:rPr>
        <w:t xml:space="preserve">funkcí </w:t>
      </w:r>
      <w:r w:rsidDel="00000000" w:rsidR="00000000" w:rsidRPr="00000000">
        <w:rPr>
          <w:rtl w:val="0"/>
        </w:rPr>
        <w:t xml:space="preserve">synapse je přenos </w:t>
      </w:r>
      <w:r w:rsidDel="00000000" w:rsidR="00000000" w:rsidRPr="00000000">
        <w:rPr>
          <w:color w:val="ff0000"/>
          <w:rtl w:val="0"/>
        </w:rPr>
        <w:t xml:space="preserve">nervového vzruchu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z9pb4hm13h45" w:id="2"/>
      <w:bookmarkEnd w:id="2"/>
      <w:r w:rsidDel="00000000" w:rsidR="00000000" w:rsidRPr="00000000">
        <w:rPr>
          <w:rtl w:val="0"/>
        </w:rPr>
        <w:t xml:space="preserve">Chemické synapse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 jsou pomalým spojením, při procesu uvolňování mediátorů dochází ke zdržení minimálně o 0.5 ms.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zpravidla jednosměrné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mohou být jak excitační tak inhibiční, podle typu uvolňovaného mediátoru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Složení: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presynaptický a postsynaptický útvar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synaptická štěrbina (20 - 30 nm)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uxh3vxq4390y" w:id="3"/>
      <w:bookmarkEnd w:id="3"/>
      <w:r w:rsidDel="00000000" w:rsidR="00000000" w:rsidRPr="00000000">
        <w:rPr>
          <w:rtl w:val="0"/>
        </w:rPr>
        <w:t xml:space="preserve">Presynaptická část (žlutý útvar - nahoře)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 vakovité rozšíření axonu, které obsahuje </w:t>
      </w:r>
      <w:r w:rsidDel="00000000" w:rsidR="00000000" w:rsidRPr="00000000">
        <w:rPr>
          <w:color w:val="ff0000"/>
          <w:rtl w:val="0"/>
        </w:rPr>
        <w:t xml:space="preserve">synaptické váčky</w:t>
      </w:r>
      <w:r w:rsidDel="00000000" w:rsidR="00000000" w:rsidRPr="00000000">
        <w:rPr>
          <w:rtl w:val="0"/>
        </w:rPr>
        <w:t xml:space="preserve"> (vezikuly) a velké množství mitochondrií, které produkují ATP nutné při procesu uvolňování neurotransmiteru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váčky obsahují molekuly </w:t>
      </w:r>
      <w:r w:rsidDel="00000000" w:rsidR="00000000" w:rsidRPr="00000000">
        <w:rPr>
          <w:color w:val="ff0000"/>
          <w:rtl w:val="0"/>
        </w:rPr>
        <w:t xml:space="preserve">mediátoru</w:t>
      </w:r>
      <w:r w:rsidDel="00000000" w:rsidR="00000000" w:rsidRPr="00000000">
        <w:rPr>
          <w:rtl w:val="0"/>
        </w:rPr>
        <w:t xml:space="preserve"> a hromadí se u synaptické štěrbiny v </w:t>
      </w:r>
      <w:r w:rsidDel="00000000" w:rsidR="00000000" w:rsidRPr="00000000">
        <w:rPr>
          <w:color w:val="ff0000"/>
          <w:rtl w:val="0"/>
        </w:rPr>
        <w:t xml:space="preserve">tzv. aktivní zóně synapse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cbnyk5rzc10v" w:id="4"/>
      <w:bookmarkEnd w:id="4"/>
      <w:r w:rsidDel="00000000" w:rsidR="00000000" w:rsidRPr="00000000">
        <w:rPr>
          <w:rtl w:val="0"/>
        </w:rPr>
        <w:t xml:space="preserve">Struktura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mitochondrie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synaptická </w:t>
      </w:r>
      <w:r w:rsidDel="00000000" w:rsidR="00000000" w:rsidRPr="00000000">
        <w:rPr>
          <w:color w:val="ff0000"/>
          <w:rtl w:val="0"/>
        </w:rPr>
        <w:t xml:space="preserve">vezikula </w:t>
      </w:r>
      <w:r w:rsidDel="00000000" w:rsidR="00000000" w:rsidRPr="00000000">
        <w:rPr>
          <w:rtl w:val="0"/>
        </w:rPr>
        <w:t xml:space="preserve">s neurotransmiterem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kontraktilní bílkoviny </w:t>
      </w:r>
      <w:r w:rsidDel="00000000" w:rsidR="00000000" w:rsidRPr="00000000">
        <w:rPr>
          <w:color w:val="0000ff"/>
          <w:rtl w:val="0"/>
        </w:rPr>
        <w:t xml:space="preserve">stenin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ff"/>
          <w:rtl w:val="0"/>
        </w:rPr>
        <w:t xml:space="preserve">neurin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drbqpk21ybhb" w:id="5"/>
      <w:bookmarkEnd w:id="5"/>
      <w:r w:rsidDel="00000000" w:rsidR="00000000" w:rsidRPr="00000000">
        <w:rPr>
          <w:rtl w:val="0"/>
        </w:rPr>
        <w:t xml:space="preserve">Postsynaptická část (zelený útvar - dole)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 útvar obsahující receptory pro mediátor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n68o1o5sing1" w:id="6"/>
      <w:bookmarkEnd w:id="6"/>
      <w:r w:rsidDel="00000000" w:rsidR="00000000" w:rsidRPr="00000000">
        <w:rPr>
          <w:rtl w:val="0"/>
        </w:rPr>
        <w:t xml:space="preserve">Mediátor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 specifické látky, které na synapsích chemického typu zprostředkují převod nervové aktivity humorální cestou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působí cíleně prostřednictvím receptorů na subsynaptické membráně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 autonomním nerstvu se jedná o </w:t>
      </w:r>
      <w:r w:rsidDel="00000000" w:rsidR="00000000" w:rsidRPr="00000000">
        <w:rPr>
          <w:color w:val="ff0000"/>
          <w:rtl w:val="0"/>
        </w:rPr>
        <w:t xml:space="preserve">acetylcholin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contextualSpacing w:val="0"/>
        <w:rPr>
          <w:rFonts w:ascii="Calibri" w:cs="Calibri" w:eastAsia="Calibri" w:hAnsi="Calibri"/>
          <w:color w:val="262b33"/>
        </w:rPr>
      </w:pPr>
      <w:r w:rsidDel="00000000" w:rsidR="00000000" w:rsidRPr="00000000">
        <w:rPr>
          <w:rFonts w:ascii="Calibri" w:cs="Calibri" w:eastAsia="Calibri" w:hAnsi="Calibri"/>
          <w:color w:val="262b33"/>
          <w:rtl w:val="0"/>
        </w:rPr>
        <w:t xml:space="preserve">synapse – struktura presynaptické a postsynaptické části – mediátor – funkce synapse – vztahy mezi neurony – reverberační okruh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bcdfnxlqwvsn" w:id="7"/>
      <w:bookmarkEnd w:id="7"/>
      <w:r w:rsidDel="00000000" w:rsidR="00000000" w:rsidRPr="00000000">
        <w:rPr>
          <w:rtl w:val="0"/>
        </w:rPr>
        <w:t xml:space="preserve">Funkce synapse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86400" cy="7048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Jinými slovy: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nervový vzruch, který po axonu dospěje k synapsi, uvolní ionty Ca</w:t>
      </w:r>
      <w:r w:rsidDel="00000000" w:rsidR="00000000" w:rsidRPr="00000000">
        <w:rPr>
          <w:vertAlign w:val="superscript"/>
          <w:rtl w:val="0"/>
        </w:rPr>
        <w:t xml:space="preserve">2+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nastane interakce mezi molekulami steninu a neurinu, vedoucí k postupnému přiblížení a spojení váčků s presynaptickou membránou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vyleje se velké kvantum mediátoru z váčků do synaptické štěrbiny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mediátor pak reaguje s receptorem </w:t>
      </w:r>
      <w:r w:rsidDel="00000000" w:rsidR="00000000" w:rsidRPr="00000000">
        <w:rPr>
          <w:color w:val="ff0000"/>
          <w:rtl w:val="0"/>
        </w:rPr>
        <w:t xml:space="preserve">subsynaptické</w:t>
      </w:r>
      <w:r w:rsidDel="00000000" w:rsidR="00000000" w:rsidRPr="00000000">
        <w:rPr>
          <w:rtl w:val="0"/>
        </w:rPr>
        <w:t xml:space="preserve"> membrány a aktivuje ji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 případě </w:t>
      </w:r>
      <w:r w:rsidDel="00000000" w:rsidR="00000000" w:rsidRPr="00000000">
        <w:rPr>
          <w:color w:val="ff0000"/>
          <w:rtl w:val="0"/>
        </w:rPr>
        <w:t xml:space="preserve">acetylcholinu</w:t>
      </w:r>
      <w:r w:rsidDel="00000000" w:rsidR="00000000" w:rsidRPr="00000000">
        <w:rPr>
          <w:rtl w:val="0"/>
        </w:rPr>
        <w:t xml:space="preserve"> se otevírají iontové kanály (póry) přímo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vyloučení mediátoru a vybavení změny v postsynaptické části vyžaduje čas 0.3 - 1 ms =</w:t>
      </w:r>
      <w:r w:rsidDel="00000000" w:rsidR="00000000" w:rsidRPr="00000000">
        <w:rPr>
          <w:color w:val="ff0000"/>
          <w:rtl w:val="0"/>
        </w:rPr>
        <w:t xml:space="preserve"> synaptické zpoždění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působením uvolněného mediátoru a za součinnosti Ca</w:t>
      </w:r>
      <w:r w:rsidDel="00000000" w:rsidR="00000000" w:rsidRPr="00000000">
        <w:rPr>
          <w:vertAlign w:val="superscript"/>
          <w:rtl w:val="0"/>
        </w:rPr>
        <w:t xml:space="preserve">2+</w:t>
      </w:r>
      <w:r w:rsidDel="00000000" w:rsidR="00000000" w:rsidRPr="00000000">
        <w:rPr>
          <w:rtl w:val="0"/>
        </w:rPr>
        <w:t xml:space="preserve"> se subsynaptická membrána stává buď vysoce propustnou (otevření iontových kanálů) pro hydratované ionty Na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, což vede k </w:t>
      </w:r>
      <w:r w:rsidDel="00000000" w:rsidR="00000000" w:rsidRPr="00000000">
        <w:rPr>
          <w:color w:val="ff0000"/>
          <w:rtl w:val="0"/>
        </w:rPr>
        <w:t xml:space="preserve">depolarizaci</w:t>
      </w:r>
      <w:r w:rsidDel="00000000" w:rsidR="00000000" w:rsidRPr="00000000">
        <w:rPr>
          <w:rtl w:val="0"/>
        </w:rPr>
        <w:t xml:space="preserve"> a tedy k </w:t>
      </w:r>
      <w:r w:rsidDel="00000000" w:rsidR="00000000" w:rsidRPr="00000000">
        <w:rPr>
          <w:color w:val="ff0000"/>
          <w:rtl w:val="0"/>
        </w:rPr>
        <w:t xml:space="preserve">excitaci</w:t>
      </w:r>
      <w:r w:rsidDel="00000000" w:rsidR="00000000" w:rsidRPr="00000000">
        <w:rPr>
          <w:rtl w:val="0"/>
        </w:rPr>
        <w:t xml:space="preserve">, nebo se ještě zvýší její propustnost pro méně hydratované ionty K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a Cl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rtl w:val="0"/>
        </w:rPr>
        <w:t xml:space="preserve">, což má za následek </w:t>
      </w:r>
      <w:r w:rsidDel="00000000" w:rsidR="00000000" w:rsidRPr="00000000">
        <w:rPr>
          <w:color w:val="0000ff"/>
          <w:rtl w:val="0"/>
        </w:rPr>
        <w:t xml:space="preserve">hyperpolarizaci</w:t>
      </w:r>
      <w:r w:rsidDel="00000000" w:rsidR="00000000" w:rsidRPr="00000000">
        <w:rPr>
          <w:rtl w:val="0"/>
        </w:rPr>
        <w:t xml:space="preserve">, tj. </w:t>
      </w:r>
      <w:r w:rsidDel="00000000" w:rsidR="00000000" w:rsidRPr="00000000">
        <w:rPr>
          <w:color w:val="0000ff"/>
          <w:rtl w:val="0"/>
        </w:rPr>
        <w:t xml:space="preserve">inhibici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7o7fmi7jh1up" w:id="8"/>
      <w:bookmarkEnd w:id="8"/>
      <w:r w:rsidDel="00000000" w:rsidR="00000000" w:rsidRPr="00000000">
        <w:rPr>
          <w:rtl w:val="0"/>
        </w:rPr>
        <w:t xml:space="preserve">Vztahy mezi neurony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Základní vztahy lze rozdělit podle: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anatomického uspořádání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divergence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konvergence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funkčních vlastností synapsí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sumace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facilitace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posttetanická potenciace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okluse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inhibice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m5nkm1j2d6q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5wrn9xzaiate" w:id="10"/>
      <w:bookmarkEnd w:id="10"/>
      <w:r w:rsidDel="00000000" w:rsidR="00000000" w:rsidRPr="00000000">
        <w:rPr>
          <w:rtl w:val="0"/>
        </w:rPr>
        <w:t xml:space="preserve">Rozdělení podle anatomického uspořádání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divergence </w:t>
      </w:r>
      <w:r w:rsidDel="00000000" w:rsidR="00000000" w:rsidRPr="00000000">
        <w:rPr>
          <w:rtl w:val="0"/>
        </w:rPr>
        <w:t xml:space="preserve">- vzruch přiváděný jedním axonem může vzbudit vzruchovou aktivitu na více neuronech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vzruchová aktivita se postupně zesiluje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motoneurony - 350 milionů svalových vláken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konvergence </w:t>
      </w:r>
      <w:r w:rsidDel="00000000" w:rsidR="00000000" w:rsidRPr="00000000">
        <w:rPr>
          <w:rtl w:val="0"/>
        </w:rPr>
        <w:t xml:space="preserve">- více vlivů působí na jeden neuron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typická pro přenos informací v retikulární formaci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94310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04887" y="-520588"/>
                          <a:ext cx="5731200" cy="1943100"/>
                          <a:chOff x="804887" y="-520588"/>
                          <a:chExt cx="5860226" cy="3295600"/>
                        </a:xfrm>
                      </wpg:grpSpPr>
                      <pic:pic>
                        <pic:nvPicPr>
                          <pic:cNvPr id="7" name="Shape 7"/>
                          <pic:cNvPicPr preferRelativeResize="0"/>
                        </pic:nvPicPr>
                        <pic:blipFill/>
                        <pic:spPr>
                          <a:xfrm rot="-5400000">
                            <a:off x="804887" y="-520588"/>
                            <a:ext cx="2009776" cy="32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8" name="Shape 8"/>
                          <pic:cNvPicPr preferRelativeResize="0"/>
                        </pic:nvPicPr>
                        <pic:blipFill/>
                        <pic:spPr>
                          <a:xfrm rot="-5400000">
                            <a:off x="4650587" y="-215813"/>
                            <a:ext cx="2014526" cy="2686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943100"/>
                <wp:effectExtent b="0" l="0" r="0" t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943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5foki3fhwd3q" w:id="11"/>
      <w:bookmarkEnd w:id="11"/>
      <w:r w:rsidDel="00000000" w:rsidR="00000000" w:rsidRPr="00000000">
        <w:rPr>
          <w:rtl w:val="0"/>
        </w:rPr>
        <w:t xml:space="preserve">Rozdělení podle funkčních vlastností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sumace </w:t>
      </w:r>
      <w:r w:rsidDel="00000000" w:rsidR="00000000" w:rsidRPr="00000000">
        <w:rPr>
          <w:rtl w:val="0"/>
        </w:rPr>
        <w:t xml:space="preserve">- k synaptickému přenosu vzruchové aktivity z jednoho neuronu na druhý dochází zpravidla až sčítáním místních podprahových změn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prostorová </w:t>
      </w:r>
      <w:r w:rsidDel="00000000" w:rsidR="00000000" w:rsidRPr="00000000">
        <w:rPr>
          <w:rtl w:val="0"/>
        </w:rPr>
        <w:t xml:space="preserve">- sčítá se účinek několika vzruchů přicházejících po různých aferentních vláknech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hlavní a nejdůležitější vlastností centrálního synaptického převodu vzruchu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časová </w:t>
      </w:r>
      <w:r w:rsidDel="00000000" w:rsidR="00000000" w:rsidRPr="00000000">
        <w:rPr>
          <w:rtl w:val="0"/>
        </w:rPr>
        <w:t xml:space="preserve">- k vybavení vzruchu na synapsi je třeba příchodu několika vzruchů v rychlém časovém sledu na téže aferentní dráze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028950" cy="21717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33500" y="427125"/>
                          <a:ext cx="3028950" cy="2171700"/>
                          <a:chOff x="1333500" y="427125"/>
                          <a:chExt cx="2581276" cy="30099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 rot="-5400000">
                            <a:off x="1762125" y="427125"/>
                            <a:ext cx="2152651" cy="300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1333500" y="1409700"/>
                            <a:ext cx="1562101" cy="32235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4"/>
                                  <w:vertAlign w:val="baseline"/>
                                </w:rPr>
                                <w:t xml:space="preserve">prostorová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513531" y="2371725"/>
                            <a:ext cx="1839273" cy="32235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4"/>
                                  <w:vertAlign w:val="baseline"/>
                                </w:rPr>
                                <w:t xml:space="preserve">časová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28950" cy="2171700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8950" cy="2171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facilitace </w:t>
      </w:r>
      <w:r w:rsidDel="00000000" w:rsidR="00000000" w:rsidRPr="00000000">
        <w:rPr>
          <w:rtl w:val="0"/>
        </w:rPr>
        <w:t xml:space="preserve">- zvláštní případ prostorové sumace, kdy vzruchy přiváděné určitými presynaptickými vlákny působí pouze podprahově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výše sumovaného postsynaptického potenciálu vždy závisí na okamžitém npoměru mezi budivými a tlumivými vlivy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krátkodobá </w:t>
      </w:r>
      <w:r w:rsidDel="00000000" w:rsidR="00000000" w:rsidRPr="00000000">
        <w:rPr>
          <w:rtl w:val="0"/>
        </w:rPr>
        <w:t xml:space="preserve">- po jednom vzruchu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dlouhodobá </w:t>
      </w:r>
      <w:r w:rsidDel="00000000" w:rsidR="00000000" w:rsidRPr="00000000">
        <w:rPr>
          <w:rtl w:val="0"/>
        </w:rPr>
        <w:t xml:space="preserve">- při sériích vzruchů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posttetanická potenciace (facilitací)</w:t>
      </w:r>
      <w:r w:rsidDel="00000000" w:rsidR="00000000" w:rsidRPr="00000000">
        <w:rPr>
          <w:rtl w:val="0"/>
        </w:rPr>
        <w:t xml:space="preserve"> - při nízké frekvenci přicházející vzruchové aktivity jsou všechny odpovědi na subsynaptické membráně stejné, při zvyšující se frekvenci se však potencují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jední se o pokles prahu pro opakované, nebo dlouhodobé aferentní dráždění neuronů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6289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95325" y="1265325"/>
                          <a:ext cx="5731200" cy="2628900"/>
                          <a:chOff x="695325" y="1265325"/>
                          <a:chExt cx="6048374" cy="2762249"/>
                        </a:xfrm>
                      </wpg:grpSpPr>
                      <pic:pic>
                        <pic:nvPicPr>
                          <pic:cNvPr id="6" name="Shape 6"/>
                          <pic:cNvPicPr preferRelativeResize="0"/>
                        </pic:nvPicPr>
                        <pic:blipFill/>
                        <pic:spPr>
                          <a:xfrm>
                            <a:off x="695325" y="1265325"/>
                            <a:ext cx="6048374" cy="2762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628900"/>
                <wp:effectExtent b="0" l="0" r="0" t="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628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okluse </w:t>
      </w:r>
      <w:r w:rsidDel="00000000" w:rsidR="00000000" w:rsidRPr="00000000">
        <w:rPr>
          <w:rtl w:val="0"/>
        </w:rPr>
        <w:t xml:space="preserve">- může nastat při kombinaci obou forem sumace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efekt na postsynaptickém vláknu je při </w:t>
      </w:r>
      <w:r w:rsidDel="00000000" w:rsidR="00000000" w:rsidRPr="00000000">
        <w:rPr>
          <w:b w:val="1"/>
          <w:rtl w:val="0"/>
        </w:rPr>
        <w:t xml:space="preserve">současném dráždění</w:t>
      </w:r>
      <w:r w:rsidDel="00000000" w:rsidR="00000000" w:rsidRPr="00000000">
        <w:rPr>
          <w:rtl w:val="0"/>
        </w:rPr>
        <w:t xml:space="preserve"> menší, než by byl součet efektů, přiváděný jednotlivými presynaptickými vlákny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800600" cy="19812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76325" y="1884450"/>
                          <a:ext cx="4800600" cy="1981200"/>
                          <a:chOff x="1076325" y="1884450"/>
                          <a:chExt cx="4781550" cy="1962149"/>
                        </a:xfrm>
                      </wpg:grpSpPr>
                      <pic:pic>
                        <pic:nvPicPr>
                          <pic:cNvPr id="5" name="Shape 5"/>
                          <pic:cNvPicPr preferRelativeResize="0"/>
                        </pic:nvPicPr>
                        <pic:blipFill/>
                        <pic:spPr>
                          <a:xfrm>
                            <a:off x="1076325" y="1884450"/>
                            <a:ext cx="4781550" cy="1962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00600" cy="1981200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0600" cy="1981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inhibice </w:t>
      </w:r>
      <w:r w:rsidDel="00000000" w:rsidR="00000000" w:rsidRPr="00000000">
        <w:rPr>
          <w:rtl w:val="0"/>
        </w:rPr>
        <w:t xml:space="preserve">- vzruchy přiváděné do synapsí nemusí vyvolávat vzruchovou aktivitu, ale mohou působit útlum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jde o aktivní děj doprovázeny hyperpolarizací subsynaptické membrány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s22atdt9dz1y" w:id="12"/>
      <w:bookmarkEnd w:id="12"/>
      <w:r w:rsidDel="00000000" w:rsidR="00000000" w:rsidRPr="00000000">
        <w:rPr>
          <w:rtl w:val="0"/>
        </w:rPr>
        <w:t xml:space="preserve">Reverberační okruh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krátkodobé dočasné zapojení neuronových sítí, po kterých vzruch krouží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způsobí uchování informace (paměť)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prodlužuje působení podnětu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c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4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://slideplayer.cz/slide/11407370/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