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hd w:fill="ffffff" w:val="clear"/>
        <w:ind w:left="720" w:firstLine="0"/>
        <w:contextualSpacing w:val="0"/>
        <w:jc w:val="center"/>
        <w:rPr/>
      </w:pPr>
      <w:bookmarkStart w:colFirst="0" w:colLast="0" w:name="_oq55xq491vk5" w:id="0"/>
      <w:bookmarkEnd w:id="0"/>
      <w:r w:rsidDel="00000000" w:rsidR="00000000" w:rsidRPr="00000000">
        <w:rPr>
          <w:rtl w:val="0"/>
        </w:rPr>
        <w:t xml:space="preserve">04. Nervosvalový přenos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98qo89q7tzm6" w:id="1"/>
      <w:bookmarkEnd w:id="1"/>
      <w:r w:rsidDel="00000000" w:rsidR="00000000" w:rsidRPr="00000000">
        <w:rPr>
          <w:rtl w:val="0"/>
        </w:rPr>
        <w:t xml:space="preserve">Nervosvalový přenos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funkční spojení axonu motoneuronů a vlákna kosterního svalu pomocí chemické synapse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TODO odpoledne doplnit obrázek ze strany 718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go6aiaayaoro" w:id="2"/>
      <w:bookmarkEnd w:id="2"/>
      <w:r w:rsidDel="00000000" w:rsidR="00000000" w:rsidRPr="00000000">
        <w:rPr>
          <w:rtl w:val="0"/>
        </w:rPr>
        <w:t xml:space="preserve">Motorická jednotka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soubor svalových vláken, který patří k jednomu hybnému (motorickému) neuronu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tlaaec3dl5ng" w:id="3"/>
      <w:bookmarkEnd w:id="3"/>
      <w:r w:rsidDel="00000000" w:rsidR="00000000" w:rsidRPr="00000000">
        <w:rPr>
          <w:rtl w:val="0"/>
        </w:rPr>
        <w:t xml:space="preserve">Motorická destička (nervosvalová ploténka)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má stavbu a vlastnosti jednoduché synapse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zvláštností je velké profilování postsynaptické membrány  tím zvětšení styčného povrchu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mediátorem přenosu vzruchu je </w:t>
      </w:r>
      <w:r w:rsidDel="00000000" w:rsidR="00000000" w:rsidRPr="00000000">
        <w:rPr>
          <w:color w:val="ff0000"/>
          <w:rtl w:val="0"/>
        </w:rPr>
        <w:t xml:space="preserve">acetylcholin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848epaikb5ke" w:id="4"/>
      <w:bookmarkEnd w:id="4"/>
      <w:r w:rsidDel="00000000" w:rsidR="00000000" w:rsidRPr="00000000">
        <w:rPr>
          <w:rtl w:val="0"/>
        </w:rPr>
        <w:t xml:space="preserve">Úloha acetylcholinu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nervový vzruch přicházející po motorickém presynaptickém vlákně zvětší propustnost presynaptické membrány a uvolní </w:t>
      </w:r>
      <w:r w:rsidDel="00000000" w:rsidR="00000000" w:rsidRPr="00000000">
        <w:rPr>
          <w:color w:val="ff0000"/>
          <w:rtl w:val="0"/>
        </w:rPr>
        <w:t xml:space="preserve">acetylcholin </w:t>
      </w:r>
      <w:r w:rsidDel="00000000" w:rsidR="00000000" w:rsidRPr="00000000">
        <w:rPr>
          <w:rtl w:val="0"/>
        </w:rPr>
        <w:t xml:space="preserve">v dostatečném počtu kvant do </w:t>
      </w:r>
      <w:r w:rsidDel="00000000" w:rsidR="00000000" w:rsidRPr="00000000">
        <w:rPr>
          <w:color w:val="ff0000"/>
          <w:rtl w:val="0"/>
        </w:rPr>
        <w:t xml:space="preserve">synaptické štěrbiny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jeho vazbou na recepční místa pro acetylcholin na vnější straně postsynaptické membrány, se </w:t>
      </w:r>
      <w:r w:rsidDel="00000000" w:rsidR="00000000" w:rsidRPr="00000000">
        <w:rPr>
          <w:color w:val="ff0000"/>
          <w:rtl w:val="0"/>
        </w:rPr>
        <w:t xml:space="preserve">zvýší propustnost</w:t>
      </w:r>
      <w:r w:rsidDel="00000000" w:rsidR="00000000" w:rsidRPr="00000000">
        <w:rPr>
          <w:rtl w:val="0"/>
        </w:rPr>
        <w:t xml:space="preserve"> této membrány pro</w:t>
      </w:r>
      <w:r w:rsidDel="00000000" w:rsidR="00000000" w:rsidRPr="00000000">
        <w:rPr>
          <w:color w:val="ff0000"/>
          <w:rtl w:val="0"/>
        </w:rPr>
        <w:t xml:space="preserve"> Na</w:t>
      </w:r>
      <w:r w:rsidDel="00000000" w:rsidR="00000000" w:rsidRPr="00000000">
        <w:rPr>
          <w:color w:val="ff0000"/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ff0000"/>
          <w:rtl w:val="0"/>
        </w:rPr>
        <w:t xml:space="preserve"> K</w:t>
      </w:r>
      <w:r w:rsidDel="00000000" w:rsidR="00000000" w:rsidRPr="00000000">
        <w:rPr>
          <w:color w:val="ff0000"/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, změní jeji polarizace a vznikne typický postsynaptický potenciál = </w:t>
      </w:r>
      <w:r w:rsidDel="00000000" w:rsidR="00000000" w:rsidRPr="00000000">
        <w:rPr>
          <w:color w:val="ff0000"/>
          <w:rtl w:val="0"/>
        </w:rPr>
        <w:t xml:space="preserve">ploténkový (synaptický) potenciál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 dosažení prahové hodnoty, vybaví na svalovém vlákně akční potenciál, který se šíří jako vzruchová aktivita od ploténky k okrajům svalových vláken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následuje kontrakce svalu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acetylcholin, který prošel synaptickou štěrbinou a vyvolal elektrickou změnu je rychle odstraněn - jednak enzymem choliesterázy, jednak difúzí do okolí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při nedostatečném odstraňování mediátoru dochází k blokádě přenosu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TODO odpoledne dodat obrázek akčního potenciálu ze strany 718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hwgqkddvzqwm" w:id="5"/>
      <w:bookmarkEnd w:id="5"/>
      <w:r w:rsidDel="00000000" w:rsidR="00000000" w:rsidRPr="00000000">
        <w:rPr>
          <w:rtl w:val="0"/>
        </w:rPr>
        <w:t xml:space="preserve">Organofosfáty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látky, které blokují acetylcholinesterázu, čímž zvyšují ploténkové potenciály, což vede k inhibitaci acetylcholinesterázi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7o1d9wz6al6o" w:id="6"/>
      <w:bookmarkEnd w:id="6"/>
      <w:r w:rsidDel="00000000" w:rsidR="00000000" w:rsidRPr="00000000">
        <w:rPr>
          <w:rtl w:val="0"/>
        </w:rPr>
        <w:t xml:space="preserve">Poruchy činnosti nervosvalového spojení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porucha uvolňování ACh acetylcholinu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porucha AChR - receptor yACh jsou poškozeny / je jich málo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u69gomq171m" w:id="7"/>
      <w:bookmarkEnd w:id="7"/>
      <w:r w:rsidDel="00000000" w:rsidR="00000000" w:rsidRPr="00000000">
        <w:rPr>
          <w:rtl w:val="0"/>
        </w:rPr>
        <w:t xml:space="preserve">Ovlivnění nervosvalového přenosu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vznik akčního potenciálu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blokátory Na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kanálů: </w:t>
      </w:r>
      <w:r w:rsidDel="00000000" w:rsidR="00000000" w:rsidRPr="00000000">
        <w:rPr>
          <w:color w:val="ff0000"/>
          <w:rtl w:val="0"/>
        </w:rPr>
        <w:t xml:space="preserve">tetrodotoxin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blokátory K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kanálů: </w:t>
      </w:r>
      <w:r w:rsidDel="00000000" w:rsidR="00000000" w:rsidRPr="00000000">
        <w:rPr>
          <w:color w:val="ff0000"/>
          <w:rtl w:val="0"/>
        </w:rPr>
        <w:t xml:space="preserve">3,4-diaminopyridin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uvolňování ACh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botulotoxin</w:t>
      </w:r>
      <w:r w:rsidDel="00000000" w:rsidR="00000000" w:rsidRPr="00000000">
        <w:rPr>
          <w:rtl w:val="0"/>
        </w:rPr>
        <w:t xml:space="preserve">, Mg</w:t>
      </w:r>
      <w:r w:rsidDel="00000000" w:rsidR="00000000" w:rsidRPr="00000000">
        <w:rPr>
          <w:vertAlign w:val="superscript"/>
          <w:rtl w:val="0"/>
        </w:rPr>
        <w:t xml:space="preserve">2+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ovlivnění AChR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depolarizující myorelaxancia: suxamethonium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kompetitivní myorelaxancia: </w:t>
      </w:r>
      <w:r w:rsidDel="00000000" w:rsidR="00000000" w:rsidRPr="00000000">
        <w:rPr>
          <w:color w:val="ff0000"/>
          <w:rtl w:val="0"/>
        </w:rPr>
        <w:t xml:space="preserve">kurare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degradace ACh</w:t>
      </w:r>
      <w:r w:rsidDel="00000000" w:rsidR="00000000" w:rsidRPr="00000000">
        <w:rPr>
          <w:rtl w:val="0"/>
        </w:rPr>
        <w:t xml:space="preserve"> - blokátory AChE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krátkodobé: fysostigmin, neostigmin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dlouhodobé: </w:t>
      </w:r>
      <w:r w:rsidDel="00000000" w:rsidR="00000000" w:rsidRPr="00000000">
        <w:rPr>
          <w:color w:val="ff0000"/>
          <w:rtl w:val="0"/>
        </w:rPr>
        <w:t xml:space="preserve">organofosfáty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1nd9qasnz7n4" w:id="8"/>
      <w:bookmarkEnd w:id="8"/>
      <w:r w:rsidDel="00000000" w:rsidR="00000000" w:rsidRPr="00000000">
        <w:rPr>
          <w:rtl w:val="0"/>
        </w:rPr>
        <w:t xml:space="preserve">Tetrodotoxin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= velice účinný jed, inhibičně působící na napěťově řízené sodíkové kanály, čímž </w:t>
      </w:r>
      <w:r w:rsidDel="00000000" w:rsidR="00000000" w:rsidRPr="00000000">
        <w:rPr>
          <w:color w:val="ff0000"/>
          <w:rtl w:val="0"/>
        </w:rPr>
        <w:t xml:space="preserve">znemožňuje vznik akčního potenciálu na membráních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 rozpustný ve vodě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viz ryba Fugu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wze0j35a4qe2" w:id="9"/>
      <w:bookmarkEnd w:id="9"/>
      <w:r w:rsidDel="00000000" w:rsidR="00000000" w:rsidRPr="00000000">
        <w:rPr>
          <w:rtl w:val="0"/>
        </w:rPr>
        <w:t xml:space="preserve">Botulotoxin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otrava termolabilním botulotoxinem produkovaným grampozitivní bakterií Clostridium botulinum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podstatou otravy je</w:t>
      </w:r>
      <w:r w:rsidDel="00000000" w:rsidR="00000000" w:rsidRPr="00000000">
        <w:rPr>
          <w:color w:val="ff0000"/>
          <w:rtl w:val="0"/>
        </w:rPr>
        <w:t xml:space="preserve"> snížené množství uvolněného acetylcholinu z neuronu na nervosvalové ploténce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klobásový jed (botulus = klobása)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cx3wxf24dxwq" w:id="10"/>
      <w:bookmarkEnd w:id="10"/>
      <w:r w:rsidDel="00000000" w:rsidR="00000000" w:rsidRPr="00000000">
        <w:rPr>
          <w:rtl w:val="0"/>
        </w:rPr>
        <w:t xml:space="preserve">Kurare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látka která blokuje nervosvalový přenos a tak ochromí činnost kosterní svaloviny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používá se jako myorelaxancia při operacích k odstranění svalového napětí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látka ze stromů jižní Ameriky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contextualSpacing w:val="0"/>
        <w:rPr>
          <w:rFonts w:ascii="Calibri" w:cs="Calibri" w:eastAsia="Calibri" w:hAnsi="Calibri"/>
          <w:color w:val="262b33"/>
        </w:rPr>
      </w:pPr>
      <w:r w:rsidDel="00000000" w:rsidR="00000000" w:rsidRPr="00000000">
        <w:rPr>
          <w:rFonts w:ascii="Calibri" w:cs="Calibri" w:eastAsia="Calibri" w:hAnsi="Calibri"/>
          <w:color w:val="262b33"/>
          <w:rtl w:val="0"/>
        </w:rPr>
        <w:t xml:space="preserve">poruchy činnosti  nervosvalového spojení  - tetrodotoxin – botulotoxin – organofosfáty.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