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D896" w14:textId="3B2A98F7" w:rsidR="004352A7" w:rsidRDefault="004352A7" w:rsidP="00864FF2">
      <w:pPr>
        <w:spacing w:line="240" w:lineRule="auto"/>
        <w:jc w:val="center"/>
        <w:rPr>
          <w:rFonts w:eastAsia="Calibri"/>
          <w:b/>
          <w:bCs/>
          <w:color w:val="000000" w:themeColor="text1"/>
          <w:sz w:val="36"/>
          <w:szCs w:val="36"/>
          <w:lang w:eastAsia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2A6E7C" wp14:editId="0BF50740">
            <wp:simplePos x="0" y="0"/>
            <wp:positionH relativeFrom="margin">
              <wp:align>center</wp:align>
            </wp:positionH>
            <wp:positionV relativeFrom="margin">
              <wp:posOffset>-15138</wp:posOffset>
            </wp:positionV>
            <wp:extent cx="930910" cy="705485"/>
            <wp:effectExtent l="76200" t="57150" r="59690" b="94615"/>
            <wp:wrapSquare wrapText="bothSides"/>
            <wp:docPr id="5" name="Imag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705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44450" dist="27940" dir="5400000" algn="ctr">
                        <a:srgbClr val="000000">
                          <a:alpha val="32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balanced" dir="t">
                        <a:rot lat="0" lon="0" rev="8700000"/>
                      </a:lightRig>
                    </a:scene3d>
                    <a:sp3d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078BF9" w14:textId="77777777" w:rsidR="004352A7" w:rsidRDefault="004352A7" w:rsidP="00864FF2">
      <w:pPr>
        <w:spacing w:line="240" w:lineRule="auto"/>
        <w:jc w:val="center"/>
        <w:rPr>
          <w:rFonts w:eastAsia="Calibri"/>
          <w:b/>
          <w:bCs/>
          <w:color w:val="000000" w:themeColor="text1"/>
          <w:sz w:val="36"/>
          <w:szCs w:val="36"/>
          <w:lang w:eastAsia="en-US"/>
        </w:rPr>
      </w:pPr>
    </w:p>
    <w:p w14:paraId="7B67BE61" w14:textId="23BA959D" w:rsidR="004352A7" w:rsidRDefault="004352A7" w:rsidP="00864FF2">
      <w:pPr>
        <w:spacing w:line="240" w:lineRule="auto"/>
        <w:jc w:val="center"/>
        <w:rPr>
          <w:rFonts w:eastAsia="Calibri"/>
          <w:b/>
          <w:bCs/>
          <w:color w:val="000000" w:themeColor="text1"/>
          <w:sz w:val="36"/>
          <w:szCs w:val="36"/>
          <w:lang w:eastAsia="en-US"/>
        </w:rPr>
      </w:pPr>
    </w:p>
    <w:p w14:paraId="508486FA" w14:textId="19916F4E" w:rsidR="00F255F6" w:rsidRPr="00864FF2" w:rsidRDefault="00F255F6" w:rsidP="00864FF2">
      <w:pPr>
        <w:spacing w:line="240" w:lineRule="auto"/>
        <w:jc w:val="center"/>
        <w:rPr>
          <w:rFonts w:eastAsia="Calibri"/>
          <w:b/>
          <w:bCs/>
          <w:color w:val="000000" w:themeColor="text1"/>
          <w:sz w:val="36"/>
          <w:szCs w:val="36"/>
          <w:lang w:eastAsia="en-US"/>
        </w:rPr>
      </w:pPr>
      <w:r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D</w:t>
      </w:r>
      <w:r w:rsidR="005820B4"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ÉCISION N°00</w:t>
      </w:r>
      <w:r w:rsidR="004D7F97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2</w:t>
      </w:r>
      <w:r w:rsidR="0045608F"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-</w:t>
      </w:r>
      <w:r w:rsidR="004352A7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CA</w:t>
      </w:r>
      <w:r w:rsidR="0045608F"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/UPFHOB-MALI/</w:t>
      </w:r>
      <w:r w:rsidR="004D7F97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03</w:t>
      </w:r>
      <w:r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0</w:t>
      </w:r>
      <w:r w:rsidR="004B39FE"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1</w:t>
      </w:r>
      <w:r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2</w:t>
      </w:r>
      <w:r w:rsidR="004B39FE" w:rsidRPr="00864FF2">
        <w:rPr>
          <w:rFonts w:eastAsia="Calibri"/>
          <w:b/>
          <w:bCs/>
          <w:color w:val="000000" w:themeColor="text1"/>
          <w:sz w:val="36"/>
          <w:szCs w:val="36"/>
          <w:lang w:eastAsia="en-US"/>
        </w:rPr>
        <w:t>5</w:t>
      </w:r>
    </w:p>
    <w:p w14:paraId="30D9A6B1" w14:textId="76ABE2D9" w:rsidR="00F322BA" w:rsidRPr="00864FF2" w:rsidRDefault="004B39FE" w:rsidP="00BD272E">
      <w:pPr>
        <w:spacing w:line="240" w:lineRule="auto"/>
        <w:jc w:val="center"/>
        <w:rPr>
          <w:rFonts w:eastAsia="Calibri"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lang w:eastAsia="en-US"/>
        </w:rPr>
        <w:t xml:space="preserve">Portant </w:t>
      </w:r>
      <w:r w:rsidR="004D7F97">
        <w:rPr>
          <w:rFonts w:eastAsia="Calibri"/>
          <w:b/>
          <w:bCs/>
          <w:color w:val="000000" w:themeColor="text1"/>
          <w:lang w:eastAsia="en-US"/>
        </w:rPr>
        <w:t>r</w:t>
      </w:r>
      <w:r w:rsidR="004D7F97" w:rsidRPr="004D7F97">
        <w:rPr>
          <w:rFonts w:eastAsia="Calibri"/>
          <w:b/>
          <w:bCs/>
          <w:color w:val="000000" w:themeColor="text1"/>
          <w:lang w:eastAsia="en-US"/>
        </w:rPr>
        <w:t>éduction de 30 % sur les frais de formation pour le personnel de l’U</w:t>
      </w:r>
      <w:r w:rsidR="004D7F97">
        <w:rPr>
          <w:rFonts w:eastAsia="Calibri"/>
          <w:b/>
          <w:bCs/>
          <w:color w:val="000000" w:themeColor="text1"/>
          <w:lang w:eastAsia="en-US"/>
        </w:rPr>
        <w:t>P</w:t>
      </w:r>
      <w:r w:rsidR="004D7F97" w:rsidRPr="004D7F97">
        <w:rPr>
          <w:rFonts w:eastAsia="Calibri"/>
          <w:b/>
          <w:bCs/>
          <w:color w:val="000000" w:themeColor="text1"/>
          <w:lang w:eastAsia="en-US"/>
        </w:rPr>
        <w:t>FHOB-MALI</w:t>
      </w:r>
    </w:p>
    <w:p w14:paraId="42571E33" w14:textId="684CB76F" w:rsidR="005820B4" w:rsidRPr="00864FF2" w:rsidRDefault="005820B4" w:rsidP="00864FF2">
      <w:pPr>
        <w:spacing w:line="276" w:lineRule="auto"/>
        <w:jc w:val="center"/>
        <w:rPr>
          <w:rFonts w:eastAsia="Calibri"/>
          <w:b/>
          <w:bCs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 xml:space="preserve">Le </w:t>
      </w:r>
      <w:r w:rsidR="004352A7">
        <w:rPr>
          <w:rFonts w:eastAsia="Calibri"/>
          <w:b/>
          <w:bCs/>
          <w:color w:val="000000" w:themeColor="text1"/>
          <w:szCs w:val="24"/>
          <w:lang w:eastAsia="en-US"/>
        </w:rPr>
        <w:t>Conseil d’Administration</w:t>
      </w: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>,</w:t>
      </w:r>
    </w:p>
    <w:p w14:paraId="6710C481" w14:textId="77777777" w:rsidR="005820B4" w:rsidRPr="00864FF2" w:rsidRDefault="005820B4" w:rsidP="00864FF2">
      <w:pPr>
        <w:tabs>
          <w:tab w:val="left" w:pos="7845"/>
        </w:tabs>
        <w:spacing w:line="276" w:lineRule="auto"/>
        <w:jc w:val="left"/>
        <w:rPr>
          <w:rFonts w:eastAsia="Calibri"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>Vu</w:t>
      </w:r>
      <w:r w:rsidRPr="00864FF2">
        <w:rPr>
          <w:rFonts w:eastAsia="Calibri"/>
          <w:color w:val="000000" w:themeColor="text1"/>
          <w:szCs w:val="24"/>
          <w:lang w:eastAsia="en-US"/>
        </w:rPr>
        <w:t xml:space="preserve"> la Loi n°2012-013 du 24 février 2012 relative aux établissements privés d’enseignement en République du Mali,</w:t>
      </w:r>
    </w:p>
    <w:p w14:paraId="19C85AC0" w14:textId="359A9308" w:rsidR="00A31A93" w:rsidRPr="00864FF2" w:rsidRDefault="00A31A93" w:rsidP="00A31A93">
      <w:pPr>
        <w:spacing w:line="276" w:lineRule="auto"/>
        <w:rPr>
          <w:rFonts w:eastAsia="Calibri"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color w:val="000000" w:themeColor="text1"/>
          <w:szCs w:val="24"/>
          <w:lang w:eastAsia="en-US"/>
        </w:rPr>
        <w:t>Vu</w:t>
      </w:r>
      <w:r w:rsidRPr="00864FF2">
        <w:rPr>
          <w:rFonts w:eastAsia="Calibri"/>
          <w:color w:val="000000" w:themeColor="text1"/>
          <w:szCs w:val="24"/>
          <w:lang w:eastAsia="en-US"/>
        </w:rPr>
        <w:t xml:space="preserve"> la Décision n° 2018-0000613/MERSRS-SG du 13 avril 2018 autorisant la création de l’Université Privée Félix Houphouët Boigny-Mali</w:t>
      </w:r>
    </w:p>
    <w:p w14:paraId="364E3AD0" w14:textId="1B11F034" w:rsidR="00A31A93" w:rsidRPr="00864FF2" w:rsidRDefault="00A31A93" w:rsidP="00A31A93">
      <w:pPr>
        <w:spacing w:line="276" w:lineRule="auto"/>
        <w:rPr>
          <w:rFonts w:eastAsia="Calibri"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color w:val="000000" w:themeColor="text1"/>
          <w:szCs w:val="24"/>
          <w:lang w:eastAsia="en-US"/>
        </w:rPr>
        <w:t>Vu</w:t>
      </w:r>
      <w:r w:rsidRPr="00864FF2">
        <w:rPr>
          <w:rFonts w:eastAsia="Calibri"/>
          <w:color w:val="000000" w:themeColor="text1"/>
          <w:szCs w:val="24"/>
          <w:lang w:eastAsia="en-US"/>
        </w:rPr>
        <w:t xml:space="preserve"> l’Arrêté N°6093/MESRS-SG du 31 décembre 2021 autorisant l’ouverture de l’Université Privée Félix Houphouët Boigny-Mali </w:t>
      </w:r>
    </w:p>
    <w:p w14:paraId="7F72A5D7" w14:textId="77777777" w:rsidR="003966F3" w:rsidRPr="00864FF2" w:rsidRDefault="003966F3" w:rsidP="00864FF2">
      <w:pPr>
        <w:tabs>
          <w:tab w:val="left" w:pos="7845"/>
        </w:tabs>
        <w:spacing w:line="276" w:lineRule="auto"/>
        <w:jc w:val="left"/>
        <w:rPr>
          <w:rFonts w:eastAsia="Calibri"/>
          <w:bCs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>Vu</w:t>
      </w:r>
      <w:r w:rsidRPr="00864FF2">
        <w:rPr>
          <w:rFonts w:eastAsia="Calibri"/>
          <w:bCs/>
          <w:color w:val="000000" w:themeColor="text1"/>
          <w:szCs w:val="24"/>
          <w:lang w:eastAsia="en-US"/>
        </w:rPr>
        <w:t xml:space="preserve"> la mission de l'UPFHOB-MALI d'offrir un enseignement supérieur de qualité et accessible,</w:t>
      </w:r>
    </w:p>
    <w:p w14:paraId="6C51252F" w14:textId="0E787115" w:rsidR="003966F3" w:rsidRPr="00864FF2" w:rsidRDefault="003966F3" w:rsidP="00864FF2">
      <w:pPr>
        <w:tabs>
          <w:tab w:val="left" w:pos="7845"/>
        </w:tabs>
        <w:spacing w:line="276" w:lineRule="auto"/>
        <w:jc w:val="left"/>
        <w:rPr>
          <w:rFonts w:eastAsia="Calibri"/>
          <w:bCs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>Vu</w:t>
      </w:r>
      <w:r w:rsidRPr="00864FF2">
        <w:rPr>
          <w:rFonts w:eastAsia="Calibri"/>
          <w:bCs/>
          <w:color w:val="000000" w:themeColor="text1"/>
          <w:szCs w:val="24"/>
          <w:lang w:eastAsia="en-US"/>
        </w:rPr>
        <w:t xml:space="preserve"> la </w:t>
      </w:r>
      <w:r w:rsidR="004D7F97">
        <w:rPr>
          <w:rFonts w:eastAsia="Calibri"/>
          <w:bCs/>
          <w:color w:val="000000" w:themeColor="text1"/>
          <w:szCs w:val="24"/>
          <w:lang w:eastAsia="en-US"/>
        </w:rPr>
        <w:t>volonté de renforcer les capacités des ressources humaines</w:t>
      </w:r>
      <w:r w:rsidRPr="00864FF2">
        <w:rPr>
          <w:rFonts w:eastAsia="Calibri"/>
          <w:bCs/>
          <w:color w:val="000000" w:themeColor="text1"/>
          <w:szCs w:val="24"/>
          <w:lang w:eastAsia="en-US"/>
        </w:rPr>
        <w:t>,</w:t>
      </w:r>
    </w:p>
    <w:p w14:paraId="5B7DD825" w14:textId="3B4379C0" w:rsidR="003966F3" w:rsidRDefault="003966F3" w:rsidP="00864FF2">
      <w:pPr>
        <w:tabs>
          <w:tab w:val="left" w:pos="7845"/>
        </w:tabs>
        <w:spacing w:line="240" w:lineRule="auto"/>
        <w:jc w:val="center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  <w:r w:rsidRPr="00864FF2">
        <w:rPr>
          <w:rFonts w:eastAsia="Calibri"/>
          <w:b/>
          <w:bCs/>
          <w:color w:val="000000" w:themeColor="text1"/>
          <w:szCs w:val="24"/>
          <w:lang w:eastAsia="en-US"/>
        </w:rPr>
        <w:t xml:space="preserve"> </w:t>
      </w:r>
      <w:r w:rsidR="005820B4" w:rsidRPr="00864FF2">
        <w:rPr>
          <w:rFonts w:eastAsia="Calibri"/>
          <w:b/>
          <w:bCs/>
          <w:color w:val="000000" w:themeColor="text1"/>
          <w:szCs w:val="24"/>
          <w:lang w:eastAsia="en-US"/>
        </w:rPr>
        <w:t>DÉCIDE</w:t>
      </w:r>
    </w:p>
    <w:p w14:paraId="125B493B" w14:textId="75C3C580" w:rsidR="004D7F97" w:rsidRPr="004D7F97" w:rsidRDefault="004D7F97" w:rsidP="004D7F97">
      <w:p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Dans le cadre de notre politique de valorisation des ressources humaines et d’encouragement au développement des compétences de notre personnel, l’Université P</w:t>
      </w:r>
      <w:r>
        <w:rPr>
          <w:szCs w:val="24"/>
          <w:lang w:eastAsia="en-US"/>
        </w:rPr>
        <w:t>rivée Felix Houphouët-Boigny-</w:t>
      </w:r>
      <w:r w:rsidRPr="004D7F97">
        <w:rPr>
          <w:szCs w:val="24"/>
          <w:lang w:eastAsia="en-US"/>
        </w:rPr>
        <w:t>Mali (U</w:t>
      </w:r>
      <w:r w:rsidR="00BA1798">
        <w:rPr>
          <w:szCs w:val="24"/>
          <w:lang w:eastAsia="en-US"/>
        </w:rPr>
        <w:t>P</w:t>
      </w:r>
      <w:r w:rsidRPr="004D7F97">
        <w:rPr>
          <w:szCs w:val="24"/>
          <w:lang w:eastAsia="en-US"/>
        </w:rPr>
        <w:t xml:space="preserve">FHOB-MALI) a le plaisir d’annoncer une réduction exceptionnelle de </w:t>
      </w:r>
      <w:r w:rsidRPr="004D7F97">
        <w:rPr>
          <w:b/>
          <w:bCs/>
          <w:szCs w:val="24"/>
          <w:lang w:eastAsia="en-US"/>
        </w:rPr>
        <w:t>30 % sur les frais de formation</w:t>
      </w:r>
      <w:r w:rsidRPr="004D7F97">
        <w:rPr>
          <w:szCs w:val="24"/>
          <w:lang w:eastAsia="en-US"/>
        </w:rPr>
        <w:t xml:space="preserve"> pour tous les membres du personnel souhaitant poursuivre leurs étu</w:t>
      </w:r>
      <w:r>
        <w:rPr>
          <w:szCs w:val="24"/>
          <w:lang w:eastAsia="en-US"/>
        </w:rPr>
        <w:t>des au sein de l’université elle-même</w:t>
      </w:r>
      <w:r w:rsidRPr="004D7F97">
        <w:rPr>
          <w:szCs w:val="24"/>
          <w:lang w:eastAsia="en-US"/>
        </w:rPr>
        <w:t>.</w:t>
      </w:r>
    </w:p>
    <w:p w14:paraId="53150C63" w14:textId="16FBA29C" w:rsidR="004D7F97" w:rsidRPr="004D7F97" w:rsidRDefault="004D7F97" w:rsidP="004D7F97">
      <w:pPr>
        <w:spacing w:before="100" w:after="100" w:line="240" w:lineRule="auto"/>
        <w:jc w:val="left"/>
        <w:rPr>
          <w:b/>
          <w:bCs/>
          <w:szCs w:val="24"/>
          <w:lang w:val="en-US" w:eastAsia="en-US"/>
        </w:rPr>
      </w:pPr>
      <w:r>
        <w:rPr>
          <w:b/>
          <w:bCs/>
          <w:szCs w:val="24"/>
          <w:lang w:val="en-US" w:eastAsia="en-US"/>
        </w:rPr>
        <w:t xml:space="preserve">Conditions </w:t>
      </w:r>
      <w:proofErr w:type="spellStart"/>
      <w:r>
        <w:rPr>
          <w:b/>
          <w:bCs/>
          <w:szCs w:val="24"/>
          <w:lang w:val="en-US" w:eastAsia="en-US"/>
        </w:rPr>
        <w:t>d'éligibilité</w:t>
      </w:r>
      <w:proofErr w:type="spellEnd"/>
      <w:r w:rsidRPr="004D7F97">
        <w:rPr>
          <w:b/>
          <w:bCs/>
          <w:szCs w:val="24"/>
          <w:lang w:val="en-US" w:eastAsia="en-US"/>
        </w:rPr>
        <w:t>:</w:t>
      </w:r>
    </w:p>
    <w:p w14:paraId="69891564" w14:textId="2419BA8B" w:rsidR="004D7F97" w:rsidRPr="004D7F97" w:rsidRDefault="004D7F97" w:rsidP="004D7F97">
      <w:pPr>
        <w:numPr>
          <w:ilvl w:val="0"/>
          <w:numId w:val="6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Être un e</w:t>
      </w:r>
      <w:r>
        <w:rPr>
          <w:szCs w:val="24"/>
          <w:lang w:eastAsia="en-US"/>
        </w:rPr>
        <w:t xml:space="preserve">mployé permanent </w:t>
      </w:r>
      <w:r w:rsidRPr="004D7F97">
        <w:rPr>
          <w:szCs w:val="24"/>
          <w:lang w:eastAsia="en-US"/>
        </w:rPr>
        <w:t>de l’U</w:t>
      </w:r>
      <w:r>
        <w:rPr>
          <w:szCs w:val="24"/>
          <w:lang w:eastAsia="en-US"/>
        </w:rPr>
        <w:t>P</w:t>
      </w:r>
      <w:r w:rsidRPr="004D7F97">
        <w:rPr>
          <w:szCs w:val="24"/>
          <w:lang w:eastAsia="en-US"/>
        </w:rPr>
        <w:t>FHOB-MALI.</w:t>
      </w:r>
    </w:p>
    <w:p w14:paraId="4B069EF4" w14:textId="77777777" w:rsidR="004D7F97" w:rsidRPr="004D7F97" w:rsidRDefault="004D7F97" w:rsidP="004D7F97">
      <w:pPr>
        <w:numPr>
          <w:ilvl w:val="0"/>
          <w:numId w:val="6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Être en règle avec ses obligations professionnelles.</w:t>
      </w:r>
    </w:p>
    <w:p w14:paraId="580CD99F" w14:textId="19703F98" w:rsidR="004D7F97" w:rsidRPr="004D7F97" w:rsidRDefault="004D7F97" w:rsidP="004D7F97">
      <w:pPr>
        <w:numPr>
          <w:ilvl w:val="0"/>
          <w:numId w:val="6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Soumettre une demande écrite d’inscription adressée à la Directio</w:t>
      </w:r>
      <w:r>
        <w:rPr>
          <w:szCs w:val="24"/>
          <w:lang w:eastAsia="en-US"/>
        </w:rPr>
        <w:t xml:space="preserve">n Générale </w:t>
      </w:r>
      <w:r w:rsidRPr="004D7F97">
        <w:rPr>
          <w:szCs w:val="24"/>
          <w:lang w:eastAsia="en-US"/>
        </w:rPr>
        <w:t>avant la date limite des inscriptions.</w:t>
      </w:r>
    </w:p>
    <w:p w14:paraId="00058095" w14:textId="44D428E0" w:rsidR="004D7F97" w:rsidRPr="004D7F97" w:rsidRDefault="004D7F97" w:rsidP="004D7F97">
      <w:pPr>
        <w:spacing w:before="100" w:after="100" w:line="240" w:lineRule="auto"/>
        <w:jc w:val="left"/>
        <w:rPr>
          <w:b/>
          <w:bCs/>
          <w:szCs w:val="24"/>
          <w:lang w:val="en-US" w:eastAsia="en-US"/>
        </w:rPr>
      </w:pPr>
      <w:r>
        <w:rPr>
          <w:b/>
          <w:bCs/>
          <w:szCs w:val="24"/>
          <w:lang w:val="en-US" w:eastAsia="en-US"/>
        </w:rPr>
        <w:t>Modalités d ’application</w:t>
      </w:r>
      <w:r w:rsidRPr="004D7F97">
        <w:rPr>
          <w:b/>
          <w:bCs/>
          <w:szCs w:val="24"/>
          <w:lang w:val="en-US" w:eastAsia="en-US"/>
        </w:rPr>
        <w:t>:</w:t>
      </w:r>
    </w:p>
    <w:p w14:paraId="6E22831B" w14:textId="77777777" w:rsidR="004D7F97" w:rsidRPr="004D7F97" w:rsidRDefault="004D7F97" w:rsidP="004D7F97">
      <w:pPr>
        <w:numPr>
          <w:ilvl w:val="0"/>
          <w:numId w:val="7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La réduction sera directement appliquée aux frais de scolarité après validation de la demande.</w:t>
      </w:r>
    </w:p>
    <w:p w14:paraId="3D0C9EBE" w14:textId="727CBE33" w:rsidR="004D7F97" w:rsidRPr="004D7F97" w:rsidRDefault="004D7F97" w:rsidP="004D7F97">
      <w:pPr>
        <w:numPr>
          <w:ilvl w:val="0"/>
          <w:numId w:val="7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La réduction concerne uniquement les formations dispensées par l’U</w:t>
      </w:r>
      <w:r w:rsidR="00BA1798">
        <w:rPr>
          <w:szCs w:val="24"/>
          <w:lang w:eastAsia="en-US"/>
        </w:rPr>
        <w:t>P</w:t>
      </w:r>
      <w:r w:rsidRPr="004D7F97">
        <w:rPr>
          <w:szCs w:val="24"/>
          <w:lang w:eastAsia="en-US"/>
        </w:rPr>
        <w:t>FHOB-MALI et n’est pas cumulable avec d’autres remises ou avantages.</w:t>
      </w:r>
    </w:p>
    <w:p w14:paraId="2832B112" w14:textId="77777777" w:rsidR="004D7F97" w:rsidRPr="004D7F97" w:rsidRDefault="004D7F97" w:rsidP="004D7F97">
      <w:pPr>
        <w:numPr>
          <w:ilvl w:val="0"/>
          <w:numId w:val="7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En cas de cessation du contrat de travail, la réduction accordée pourra être réévaluée ou annulée.</w:t>
      </w:r>
    </w:p>
    <w:p w14:paraId="3BBFD568" w14:textId="77777777" w:rsidR="004D7F97" w:rsidRPr="004D7F97" w:rsidRDefault="004D7F97" w:rsidP="004D7F97">
      <w:pPr>
        <w:spacing w:before="100" w:after="100" w:line="240" w:lineRule="auto"/>
        <w:jc w:val="left"/>
        <w:rPr>
          <w:b/>
          <w:bCs/>
          <w:szCs w:val="24"/>
          <w:lang w:val="en-US" w:eastAsia="en-US"/>
        </w:rPr>
      </w:pPr>
      <w:proofErr w:type="spellStart"/>
      <w:r w:rsidRPr="004D7F97">
        <w:rPr>
          <w:b/>
          <w:bCs/>
          <w:szCs w:val="24"/>
          <w:lang w:val="en-US" w:eastAsia="en-US"/>
        </w:rPr>
        <w:t>Objectifs</w:t>
      </w:r>
      <w:proofErr w:type="spellEnd"/>
      <w:r w:rsidRPr="004D7F97">
        <w:rPr>
          <w:b/>
          <w:bCs/>
          <w:szCs w:val="24"/>
          <w:lang w:val="en-US" w:eastAsia="en-US"/>
        </w:rPr>
        <w:t xml:space="preserve"> de </w:t>
      </w:r>
      <w:proofErr w:type="spellStart"/>
      <w:r w:rsidRPr="004D7F97">
        <w:rPr>
          <w:b/>
          <w:bCs/>
          <w:szCs w:val="24"/>
          <w:lang w:val="en-US" w:eastAsia="en-US"/>
        </w:rPr>
        <w:t>cette</w:t>
      </w:r>
      <w:proofErr w:type="spellEnd"/>
      <w:r w:rsidRPr="004D7F97">
        <w:rPr>
          <w:b/>
          <w:bCs/>
          <w:szCs w:val="24"/>
          <w:lang w:val="en-US" w:eastAsia="en-US"/>
        </w:rPr>
        <w:t xml:space="preserve"> </w:t>
      </w:r>
      <w:proofErr w:type="gramStart"/>
      <w:r w:rsidRPr="004D7F97">
        <w:rPr>
          <w:b/>
          <w:bCs/>
          <w:szCs w:val="24"/>
          <w:lang w:val="en-US" w:eastAsia="en-US"/>
        </w:rPr>
        <w:t>initiative :</w:t>
      </w:r>
      <w:proofErr w:type="gramEnd"/>
    </w:p>
    <w:p w14:paraId="496AD6C4" w14:textId="77777777" w:rsidR="004D7F97" w:rsidRPr="004D7F97" w:rsidRDefault="004D7F97" w:rsidP="004D7F97">
      <w:pPr>
        <w:numPr>
          <w:ilvl w:val="0"/>
          <w:numId w:val="8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Encourager le développement professionnel et personnel de nos collaborateurs.</w:t>
      </w:r>
    </w:p>
    <w:p w14:paraId="22BDEAD5" w14:textId="77777777" w:rsidR="004D7F97" w:rsidRPr="004D7F97" w:rsidRDefault="004D7F97" w:rsidP="004D7F97">
      <w:pPr>
        <w:numPr>
          <w:ilvl w:val="0"/>
          <w:numId w:val="8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Renforcer les compétences internes pour améliorer la qualité de nos services.</w:t>
      </w:r>
    </w:p>
    <w:p w14:paraId="6AE6A7BF" w14:textId="77777777" w:rsidR="004D7F97" w:rsidRPr="004D7F97" w:rsidRDefault="004D7F97" w:rsidP="004D7F97">
      <w:pPr>
        <w:numPr>
          <w:ilvl w:val="0"/>
          <w:numId w:val="8"/>
        </w:numPr>
        <w:spacing w:before="100" w:after="100" w:line="240" w:lineRule="auto"/>
        <w:jc w:val="left"/>
        <w:rPr>
          <w:szCs w:val="24"/>
          <w:lang w:eastAsia="en-US"/>
        </w:rPr>
      </w:pPr>
      <w:r w:rsidRPr="004D7F97">
        <w:rPr>
          <w:szCs w:val="24"/>
          <w:lang w:eastAsia="en-US"/>
        </w:rPr>
        <w:t>Promouvoir un environnement académique inclusif et motivant.</w:t>
      </w:r>
    </w:p>
    <w:p w14:paraId="37D0508A" w14:textId="77777777" w:rsidR="00B919A7" w:rsidRDefault="00B919A7" w:rsidP="009A7904">
      <w:pPr>
        <w:spacing w:line="276" w:lineRule="auto"/>
        <w:jc w:val="left"/>
        <w:rPr>
          <w:rFonts w:ascii="Arial" w:eastAsia="Calibri" w:hAnsi="Arial" w:cs="Arial"/>
          <w:b/>
          <w:bCs/>
          <w:color w:val="000000" w:themeColor="text1"/>
          <w:szCs w:val="24"/>
          <w:lang w:eastAsia="en-US"/>
        </w:rPr>
      </w:pPr>
    </w:p>
    <w:p w14:paraId="0CF83127" w14:textId="60F70E73" w:rsidR="00F255F6" w:rsidRPr="00864FF2" w:rsidRDefault="00F255F6" w:rsidP="00864FF2">
      <w:pPr>
        <w:tabs>
          <w:tab w:val="left" w:pos="7845"/>
        </w:tabs>
        <w:spacing w:line="276" w:lineRule="auto"/>
        <w:jc w:val="right"/>
        <w:rPr>
          <w:rFonts w:ascii="Arial" w:eastAsia="Calibri" w:hAnsi="Arial" w:cs="Arial"/>
          <w:bCs/>
          <w:color w:val="000000" w:themeColor="text1"/>
          <w:lang w:eastAsia="en-US"/>
        </w:rPr>
      </w:pPr>
      <w:r w:rsidRPr="00864FF2">
        <w:rPr>
          <w:rFonts w:ascii="Arial" w:eastAsia="Calibri" w:hAnsi="Arial" w:cs="Arial"/>
          <w:bCs/>
          <w:color w:val="000000" w:themeColor="text1"/>
          <w:lang w:eastAsia="en-US"/>
        </w:rPr>
        <w:t xml:space="preserve">Bamako, le </w:t>
      </w:r>
      <w:r w:rsidR="004D7F97">
        <w:rPr>
          <w:rFonts w:ascii="Arial" w:eastAsia="Calibri" w:hAnsi="Arial" w:cs="Arial"/>
          <w:bCs/>
          <w:color w:val="000000" w:themeColor="text1"/>
          <w:lang w:eastAsia="en-US"/>
        </w:rPr>
        <w:t xml:space="preserve">03 </w:t>
      </w:r>
      <w:r w:rsidR="00B919A7">
        <w:rPr>
          <w:rFonts w:ascii="Arial" w:eastAsia="Calibri" w:hAnsi="Arial" w:cs="Arial"/>
          <w:bCs/>
          <w:color w:val="000000" w:themeColor="text1"/>
          <w:lang w:eastAsia="en-US"/>
        </w:rPr>
        <w:t>janvier</w:t>
      </w:r>
      <w:r w:rsidRPr="00864FF2">
        <w:rPr>
          <w:rFonts w:ascii="Arial" w:eastAsia="Calibri" w:hAnsi="Arial" w:cs="Arial"/>
          <w:bCs/>
          <w:color w:val="000000" w:themeColor="text1"/>
          <w:lang w:eastAsia="en-US"/>
        </w:rPr>
        <w:t xml:space="preserve"> 202</w:t>
      </w:r>
      <w:r w:rsidR="00B919A7">
        <w:rPr>
          <w:rFonts w:ascii="Arial" w:eastAsia="Calibri" w:hAnsi="Arial" w:cs="Arial"/>
          <w:bCs/>
          <w:color w:val="000000" w:themeColor="text1"/>
          <w:lang w:eastAsia="en-US"/>
        </w:rPr>
        <w:t>5</w:t>
      </w:r>
    </w:p>
    <w:p w14:paraId="623BD712" w14:textId="4AD28BB2" w:rsidR="00F255F6" w:rsidRDefault="00BA1798" w:rsidP="00BA1798">
      <w:pPr>
        <w:tabs>
          <w:tab w:val="left" w:pos="7845"/>
        </w:tabs>
        <w:spacing w:line="276" w:lineRule="auto"/>
        <w:jc w:val="center"/>
        <w:rPr>
          <w:rFonts w:ascii="Arial" w:eastAsia="Calibri" w:hAnsi="Arial" w:cs="Arial"/>
          <w:b/>
          <w:bCs/>
          <w:color w:val="000000" w:themeColor="text1"/>
          <w:lang w:eastAsia="en-US"/>
        </w:rPr>
      </w:pP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                                                                                               </w:t>
      </w:r>
      <w:r w:rsidR="00F255F6" w:rsidRPr="00864FF2"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Le </w:t>
      </w:r>
      <w:r>
        <w:rPr>
          <w:rFonts w:ascii="Arial" w:eastAsia="Calibri" w:hAnsi="Arial" w:cs="Arial"/>
          <w:b/>
          <w:bCs/>
          <w:color w:val="000000" w:themeColor="text1"/>
          <w:lang w:eastAsia="en-US"/>
        </w:rPr>
        <w:t>Président</w:t>
      </w:r>
      <w:r w:rsidR="004D7F97">
        <w:rPr>
          <w:rFonts w:ascii="Arial" w:eastAsia="Calibri" w:hAnsi="Arial" w:cs="Arial"/>
          <w:b/>
          <w:bCs/>
          <w:color w:val="000000" w:themeColor="text1"/>
          <w:lang w:eastAsia="en-US"/>
        </w:rPr>
        <w:t>,</w:t>
      </w:r>
    </w:p>
    <w:p w14:paraId="4F65757C" w14:textId="77777777" w:rsidR="004D7F97" w:rsidRDefault="004D7F97" w:rsidP="003A2FC4">
      <w:pPr>
        <w:spacing w:line="276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45C44445" w14:textId="77777777" w:rsidR="004D7F97" w:rsidRDefault="004D7F97" w:rsidP="003A2FC4">
      <w:pPr>
        <w:spacing w:line="276" w:lineRule="auto"/>
        <w:rPr>
          <w:rFonts w:ascii="Arial" w:eastAsia="Calibri" w:hAnsi="Arial" w:cs="Arial"/>
          <w:b/>
          <w:bCs/>
          <w:color w:val="000000" w:themeColor="text1"/>
          <w:lang w:eastAsia="en-US"/>
        </w:rPr>
      </w:pPr>
    </w:p>
    <w:p w14:paraId="33FD15C9" w14:textId="77777777" w:rsidR="004D7F97" w:rsidRDefault="004D7F97" w:rsidP="003A2FC4">
      <w:pPr>
        <w:spacing w:line="276" w:lineRule="auto"/>
        <w:rPr>
          <w:b/>
          <w:bCs/>
          <w:szCs w:val="24"/>
          <w:lang w:eastAsia="en-US"/>
        </w:rPr>
      </w:pPr>
    </w:p>
    <w:p w14:paraId="012D3363" w14:textId="3C4FF5EF" w:rsidR="00D64EBF" w:rsidRDefault="00F255F6" w:rsidP="00864FF2">
      <w:pPr>
        <w:jc w:val="right"/>
      </w:pPr>
      <w:r>
        <w:rPr>
          <w:b/>
          <w:bCs/>
          <w:szCs w:val="24"/>
          <w:lang w:eastAsia="en-US"/>
        </w:rPr>
        <w:t xml:space="preserve">                             </w:t>
      </w:r>
      <w:r w:rsidR="00BA1798">
        <w:rPr>
          <w:b/>
          <w:bCs/>
          <w:szCs w:val="24"/>
          <w:lang w:eastAsia="en-US"/>
        </w:rPr>
        <w:t xml:space="preserve">   </w:t>
      </w:r>
      <w:r>
        <w:rPr>
          <w:b/>
          <w:bCs/>
          <w:szCs w:val="24"/>
          <w:lang w:eastAsia="en-US"/>
        </w:rPr>
        <w:t xml:space="preserve">          </w:t>
      </w:r>
      <w:r w:rsidR="00BA1798">
        <w:rPr>
          <w:rFonts w:ascii="Arial" w:eastAsia="Calibri" w:hAnsi="Arial" w:cs="Arial"/>
          <w:b/>
          <w:bCs/>
          <w:color w:val="000000" w:themeColor="text1"/>
          <w:lang w:eastAsia="en-US"/>
        </w:rPr>
        <w:t>P</w:t>
      </w:r>
      <w:r w:rsidR="00B919A7">
        <w:rPr>
          <w:rFonts w:ascii="Arial" w:eastAsia="Calibri" w:hAnsi="Arial" w:cs="Arial"/>
          <w:b/>
          <w:bCs/>
          <w:color w:val="000000" w:themeColor="text1"/>
          <w:lang w:eastAsia="en-US"/>
        </w:rPr>
        <w:t>r</w:t>
      </w:r>
      <w:r w:rsidR="00BA1798">
        <w:rPr>
          <w:rFonts w:ascii="Arial" w:eastAsia="Calibri" w:hAnsi="Arial" w:cs="Arial"/>
          <w:b/>
          <w:bCs/>
          <w:color w:val="000000" w:themeColor="text1"/>
          <w:lang w:eastAsia="en-US"/>
        </w:rPr>
        <w:t>, Dr</w:t>
      </w:r>
      <w:r w:rsidR="00B919A7">
        <w:rPr>
          <w:rFonts w:ascii="Arial" w:eastAsia="Calibri" w:hAnsi="Arial" w:cs="Arial"/>
          <w:b/>
          <w:bCs/>
          <w:color w:val="000000" w:themeColor="text1"/>
          <w:lang w:eastAsia="en-US"/>
        </w:rPr>
        <w:t xml:space="preserve"> </w:t>
      </w:r>
      <w:r w:rsidR="00BA1798">
        <w:rPr>
          <w:rFonts w:ascii="Arial" w:eastAsia="Calibri" w:hAnsi="Arial" w:cs="Arial"/>
          <w:b/>
          <w:bCs/>
          <w:color w:val="000000" w:themeColor="text1"/>
          <w:lang w:eastAsia="en-US"/>
        </w:rPr>
        <w:t>FONGORO Saharé</w:t>
      </w:r>
    </w:p>
    <w:sectPr w:rsidR="00D64EBF" w:rsidSect="004352A7">
      <w:pgSz w:w="11906" w:h="16838"/>
      <w:pgMar w:top="567" w:right="1417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8516B"/>
    <w:multiLevelType w:val="multilevel"/>
    <w:tmpl w:val="8A60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6413F"/>
    <w:multiLevelType w:val="multilevel"/>
    <w:tmpl w:val="860A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B64A2D"/>
    <w:multiLevelType w:val="multilevel"/>
    <w:tmpl w:val="E63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F588E"/>
    <w:multiLevelType w:val="multilevel"/>
    <w:tmpl w:val="0840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054005"/>
    <w:multiLevelType w:val="multilevel"/>
    <w:tmpl w:val="A690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744B92"/>
    <w:multiLevelType w:val="multilevel"/>
    <w:tmpl w:val="E352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B5549D"/>
    <w:multiLevelType w:val="multilevel"/>
    <w:tmpl w:val="B47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67F1B"/>
    <w:multiLevelType w:val="multilevel"/>
    <w:tmpl w:val="0DE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844695">
    <w:abstractNumId w:val="7"/>
  </w:num>
  <w:num w:numId="2" w16cid:durableId="1177110759">
    <w:abstractNumId w:val="2"/>
  </w:num>
  <w:num w:numId="3" w16cid:durableId="620843082">
    <w:abstractNumId w:val="0"/>
  </w:num>
  <w:num w:numId="4" w16cid:durableId="1430735432">
    <w:abstractNumId w:val="4"/>
  </w:num>
  <w:num w:numId="5" w16cid:durableId="1018773633">
    <w:abstractNumId w:val="5"/>
  </w:num>
  <w:num w:numId="6" w16cid:durableId="420032270">
    <w:abstractNumId w:val="3"/>
  </w:num>
  <w:num w:numId="7" w16cid:durableId="1170827385">
    <w:abstractNumId w:val="6"/>
  </w:num>
  <w:num w:numId="8" w16cid:durableId="355424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FC4"/>
    <w:rsid w:val="00134C9A"/>
    <w:rsid w:val="001F0C37"/>
    <w:rsid w:val="002D54B6"/>
    <w:rsid w:val="00381692"/>
    <w:rsid w:val="00394C0C"/>
    <w:rsid w:val="003966F3"/>
    <w:rsid w:val="003A2FC4"/>
    <w:rsid w:val="003C13E9"/>
    <w:rsid w:val="004352A7"/>
    <w:rsid w:val="0045608F"/>
    <w:rsid w:val="004B39FE"/>
    <w:rsid w:val="004D7F97"/>
    <w:rsid w:val="005361C9"/>
    <w:rsid w:val="00582046"/>
    <w:rsid w:val="005820B4"/>
    <w:rsid w:val="00730657"/>
    <w:rsid w:val="007B637C"/>
    <w:rsid w:val="007C5CDA"/>
    <w:rsid w:val="00864FF2"/>
    <w:rsid w:val="009069B2"/>
    <w:rsid w:val="009407C9"/>
    <w:rsid w:val="009475FB"/>
    <w:rsid w:val="009A7904"/>
    <w:rsid w:val="00A13517"/>
    <w:rsid w:val="00A31A93"/>
    <w:rsid w:val="00AF3F98"/>
    <w:rsid w:val="00B919A7"/>
    <w:rsid w:val="00BA1798"/>
    <w:rsid w:val="00BD272E"/>
    <w:rsid w:val="00CA7296"/>
    <w:rsid w:val="00CB2D79"/>
    <w:rsid w:val="00D64EBF"/>
    <w:rsid w:val="00DD08CC"/>
    <w:rsid w:val="00E23F49"/>
    <w:rsid w:val="00E730FF"/>
    <w:rsid w:val="00EA3069"/>
    <w:rsid w:val="00F255F6"/>
    <w:rsid w:val="00F322BA"/>
    <w:rsid w:val="00FC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C87F1"/>
  <w15:chartTrackingRefBased/>
  <w15:docId w15:val="{010190B6-E57B-42EC-B03D-35119E9F6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C4"/>
    <w:pPr>
      <w:spacing w:after="0" w:line="20" w:lineRule="atLeast"/>
      <w:jc w:val="both"/>
    </w:pPr>
    <w:rPr>
      <w:rFonts w:ascii="Times New Roman" w:eastAsia="Times New Roman" w:hAnsi="Times New Roman" w:cs="Times New Roman"/>
      <w:sz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vision">
    <w:name w:val="Revision"/>
    <w:hidden/>
    <w:uiPriority w:val="99"/>
    <w:semiHidden/>
    <w:rsid w:val="009407C9"/>
    <w:pPr>
      <w:spacing w:after="0" w:line="240" w:lineRule="auto"/>
    </w:pPr>
    <w:rPr>
      <w:rFonts w:ascii="Times New Roman" w:eastAsia="Times New Roman" w:hAnsi="Times New Roman" w:cs="Times New Roman"/>
      <w:sz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255F6"/>
    <w:pPr>
      <w:spacing w:before="100" w:beforeAutospacing="1" w:after="100" w:afterAutospacing="1" w:line="240" w:lineRule="auto"/>
      <w:jc w:val="left"/>
    </w:pPr>
    <w:rPr>
      <w:szCs w:val="24"/>
      <w:lang w:val="en-US" w:eastAsia="en-US"/>
    </w:rPr>
  </w:style>
  <w:style w:type="character" w:styleId="lev">
    <w:name w:val="Strong"/>
    <w:basedOn w:val="Policepardfaut"/>
    <w:uiPriority w:val="22"/>
    <w:qFormat/>
    <w:rsid w:val="00F255F6"/>
    <w:rPr>
      <w:b/>
      <w:bCs/>
    </w:rPr>
  </w:style>
  <w:style w:type="character" w:styleId="Accentuation">
    <w:name w:val="Emphasis"/>
    <w:basedOn w:val="Policepardfaut"/>
    <w:uiPriority w:val="20"/>
    <w:qFormat/>
    <w:rsid w:val="00F255F6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B39F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39FE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3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 SYLVESTRE SIDIBE</dc:creator>
  <cp:keywords/>
  <dc:description/>
  <cp:lastModifiedBy>Dr Mamadou SANOGO</cp:lastModifiedBy>
  <cp:revision>2</cp:revision>
  <dcterms:created xsi:type="dcterms:W3CDTF">2025-01-06T16:13:00Z</dcterms:created>
  <dcterms:modified xsi:type="dcterms:W3CDTF">2025-01-06T16:13:00Z</dcterms:modified>
</cp:coreProperties>
</file>