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7F725A" w14:textId="6DED8992" w:rsidR="003A2FC4" w:rsidRPr="005C0981" w:rsidRDefault="00AA06FE" w:rsidP="003A2FC4">
      <w:pPr>
        <w:shd w:val="clear" w:color="auto" w:fill="FFFFFF"/>
        <w:spacing w:line="240" w:lineRule="auto"/>
        <w:ind w:right="9"/>
        <w:jc w:val="center"/>
        <w:rPr>
          <w:b/>
          <w:color w:val="000000" w:themeColor="text1"/>
          <w:sz w:val="44"/>
        </w:rPr>
      </w:pPr>
      <w:bookmarkStart w:id="0" w:name="_Hlk182401480"/>
      <w:r>
        <w:rPr>
          <w:noProof/>
        </w:rPr>
        <w:drawing>
          <wp:anchor distT="0" distB="0" distL="114300" distR="114300" simplePos="0" relativeHeight="251663360" behindDoc="0" locked="0" layoutInCell="1" allowOverlap="1" wp14:anchorId="207AA8F0" wp14:editId="0273C81D">
            <wp:simplePos x="0" y="0"/>
            <wp:positionH relativeFrom="margin">
              <wp:align>center</wp:align>
            </wp:positionH>
            <wp:positionV relativeFrom="margin">
              <wp:posOffset>-413385</wp:posOffset>
            </wp:positionV>
            <wp:extent cx="1439545" cy="1027430"/>
            <wp:effectExtent l="76200" t="57150" r="46355" b="96520"/>
            <wp:wrapSquare wrapText="bothSides"/>
            <wp:docPr id="5" name="Image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9545" cy="102743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44450" dist="27940" dir="5400000" algn="ctr">
                        <a:srgbClr val="000000">
                          <a:alpha val="32000"/>
                        </a:srgbClr>
                      </a:outerShdw>
                    </a:effectLst>
                    <a:scene3d>
                      <a:camera prst="orthographicFront">
                        <a:rot lat="0" lon="0" rev="0"/>
                      </a:camera>
                      <a:lightRig rig="balanced" dir="t">
                        <a:rot lat="0" lon="0" rev="8700000"/>
                      </a:lightRig>
                    </a:scene3d>
                    <a:sp3d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52C69B" w14:textId="03C1D5A8" w:rsidR="003A2FC4" w:rsidRPr="005C0981" w:rsidRDefault="003A2FC4" w:rsidP="003A2FC4">
      <w:pPr>
        <w:shd w:val="clear" w:color="auto" w:fill="FFFFFF"/>
        <w:spacing w:line="240" w:lineRule="auto"/>
        <w:ind w:right="9"/>
        <w:jc w:val="center"/>
        <w:rPr>
          <w:b/>
          <w:color w:val="000000" w:themeColor="text1"/>
          <w:sz w:val="44"/>
        </w:rPr>
      </w:pPr>
    </w:p>
    <w:p w14:paraId="5E99EEF7" w14:textId="00FE56F1" w:rsidR="003A2FC4" w:rsidRPr="005C0981" w:rsidRDefault="003A2FC4" w:rsidP="003A2FC4">
      <w:pPr>
        <w:shd w:val="clear" w:color="auto" w:fill="FFFFFF"/>
        <w:spacing w:line="240" w:lineRule="auto"/>
        <w:ind w:right="9"/>
        <w:jc w:val="center"/>
        <w:rPr>
          <w:b/>
          <w:color w:val="000000" w:themeColor="text1"/>
          <w:sz w:val="20"/>
          <w:szCs w:val="8"/>
        </w:rPr>
      </w:pPr>
    </w:p>
    <w:p w14:paraId="508486FA" w14:textId="4F7B0DA9" w:rsidR="00F255F6" w:rsidRPr="009F4D58" w:rsidRDefault="00F255F6" w:rsidP="009F4D58">
      <w:pPr>
        <w:spacing w:line="240" w:lineRule="auto"/>
        <w:jc w:val="center"/>
        <w:rPr>
          <w:rFonts w:ascii="Arial" w:eastAsia="Calibri" w:hAnsi="Arial" w:cs="Arial"/>
          <w:b/>
          <w:bCs/>
          <w:color w:val="000000" w:themeColor="text1"/>
          <w:sz w:val="36"/>
          <w:szCs w:val="36"/>
          <w:lang w:eastAsia="en-US"/>
        </w:rPr>
      </w:pPr>
      <w:r w:rsidRPr="009F4D58">
        <w:rPr>
          <w:rFonts w:ascii="Arial" w:eastAsia="Calibri" w:hAnsi="Arial" w:cs="Arial"/>
          <w:b/>
          <w:bCs/>
          <w:color w:val="000000" w:themeColor="text1"/>
          <w:sz w:val="32"/>
          <w:szCs w:val="32"/>
          <w:lang w:eastAsia="en-US"/>
        </w:rPr>
        <w:t>D</w:t>
      </w:r>
      <w:r w:rsidR="005820B4" w:rsidRPr="009F4D58">
        <w:rPr>
          <w:rFonts w:ascii="Arial" w:eastAsia="Calibri" w:hAnsi="Arial" w:cs="Arial"/>
          <w:b/>
          <w:bCs/>
          <w:color w:val="000000" w:themeColor="text1"/>
          <w:sz w:val="32"/>
          <w:szCs w:val="32"/>
          <w:lang w:eastAsia="en-US"/>
        </w:rPr>
        <w:t>ÉCISION N°00</w:t>
      </w:r>
      <w:r w:rsidR="00BD272E" w:rsidRPr="009F4D58">
        <w:rPr>
          <w:rFonts w:ascii="Arial" w:eastAsia="Calibri" w:hAnsi="Arial" w:cs="Arial"/>
          <w:b/>
          <w:bCs/>
          <w:color w:val="000000" w:themeColor="text1"/>
          <w:sz w:val="32"/>
          <w:szCs w:val="32"/>
          <w:lang w:eastAsia="en-US"/>
        </w:rPr>
        <w:t>6</w:t>
      </w:r>
      <w:r w:rsidR="0045608F" w:rsidRPr="009F4D58">
        <w:rPr>
          <w:rFonts w:ascii="Arial" w:eastAsia="Calibri" w:hAnsi="Arial" w:cs="Arial"/>
          <w:b/>
          <w:bCs/>
          <w:color w:val="000000" w:themeColor="text1"/>
          <w:sz w:val="32"/>
          <w:szCs w:val="32"/>
          <w:lang w:eastAsia="en-US"/>
        </w:rPr>
        <w:t>-DG/UPFHOB-MALI/1</w:t>
      </w:r>
      <w:r w:rsidR="00BD272E" w:rsidRPr="009F4D58">
        <w:rPr>
          <w:rFonts w:ascii="Arial" w:eastAsia="Calibri" w:hAnsi="Arial" w:cs="Arial"/>
          <w:b/>
          <w:bCs/>
          <w:color w:val="000000" w:themeColor="text1"/>
          <w:sz w:val="32"/>
          <w:szCs w:val="32"/>
          <w:lang w:eastAsia="en-US"/>
        </w:rPr>
        <w:t>9</w:t>
      </w:r>
      <w:r w:rsidRPr="009F4D58">
        <w:rPr>
          <w:rFonts w:ascii="Arial" w:eastAsia="Calibri" w:hAnsi="Arial" w:cs="Arial"/>
          <w:b/>
          <w:bCs/>
          <w:color w:val="000000" w:themeColor="text1"/>
          <w:sz w:val="32"/>
          <w:szCs w:val="32"/>
          <w:lang w:eastAsia="en-US"/>
        </w:rPr>
        <w:t>0922</w:t>
      </w:r>
    </w:p>
    <w:p w14:paraId="30D9A6B1" w14:textId="6884AE69" w:rsidR="00F322BA" w:rsidRDefault="00BD272E" w:rsidP="00AA06FE">
      <w:pPr>
        <w:spacing w:line="240" w:lineRule="auto"/>
        <w:jc w:val="center"/>
        <w:rPr>
          <w:rFonts w:ascii="Arial" w:eastAsia="Calibri" w:hAnsi="Arial" w:cs="Arial"/>
          <w:color w:val="000000" w:themeColor="text1"/>
          <w:sz w:val="22"/>
          <w:lang w:eastAsia="en-US"/>
        </w:rPr>
      </w:pPr>
      <w:r w:rsidRPr="009F4D58">
        <w:rPr>
          <w:rFonts w:ascii="Arial" w:eastAsia="Calibri" w:hAnsi="Arial" w:cs="Arial"/>
          <w:b/>
          <w:bCs/>
          <w:color w:val="000000" w:themeColor="text1"/>
          <w:sz w:val="20"/>
          <w:szCs w:val="20"/>
          <w:lang w:eastAsia="en-US"/>
        </w:rPr>
        <w:t>PORTANT MODALITES DE RECRUTEMENT DES ETUDIANTS</w:t>
      </w:r>
      <w:r w:rsidRPr="009F4D58">
        <w:rPr>
          <w:rFonts w:ascii="Arial" w:eastAsia="Calibri" w:hAnsi="Arial" w:cs="Arial"/>
          <w:color w:val="000000" w:themeColor="text1"/>
          <w:sz w:val="22"/>
          <w:lang w:eastAsia="en-US"/>
        </w:rPr>
        <w:t xml:space="preserve"> </w:t>
      </w:r>
    </w:p>
    <w:p w14:paraId="0C094770" w14:textId="77777777" w:rsidR="00792976" w:rsidRPr="009F4D58" w:rsidRDefault="00792976" w:rsidP="00AA06FE">
      <w:pPr>
        <w:spacing w:line="240" w:lineRule="auto"/>
        <w:jc w:val="center"/>
        <w:rPr>
          <w:rFonts w:ascii="Arial" w:eastAsia="Calibri" w:hAnsi="Arial" w:cs="Arial"/>
          <w:color w:val="000000" w:themeColor="text1"/>
          <w:sz w:val="22"/>
          <w:lang w:eastAsia="en-US"/>
        </w:rPr>
      </w:pPr>
    </w:p>
    <w:p w14:paraId="42571E33" w14:textId="5471ACCD" w:rsidR="005820B4" w:rsidRDefault="005820B4" w:rsidP="009F4D58">
      <w:pPr>
        <w:spacing w:line="276" w:lineRule="auto"/>
        <w:jc w:val="center"/>
        <w:rPr>
          <w:rFonts w:ascii="Arial" w:eastAsia="Calibri" w:hAnsi="Arial" w:cs="Arial"/>
          <w:b/>
          <w:bCs/>
          <w:color w:val="000000" w:themeColor="text1"/>
          <w:sz w:val="22"/>
          <w:lang w:eastAsia="en-US"/>
        </w:rPr>
      </w:pPr>
      <w:r w:rsidRPr="009F4D58">
        <w:rPr>
          <w:rFonts w:ascii="Arial" w:eastAsia="Calibri" w:hAnsi="Arial" w:cs="Arial"/>
          <w:b/>
          <w:bCs/>
          <w:color w:val="000000" w:themeColor="text1"/>
          <w:sz w:val="22"/>
          <w:lang w:eastAsia="en-US"/>
        </w:rPr>
        <w:t>Le Directeur General,</w:t>
      </w:r>
    </w:p>
    <w:p w14:paraId="19A8B628" w14:textId="77777777" w:rsidR="00792976" w:rsidRPr="009F4D58" w:rsidRDefault="00792976" w:rsidP="009F4D58">
      <w:pPr>
        <w:spacing w:line="276" w:lineRule="auto"/>
        <w:jc w:val="center"/>
        <w:rPr>
          <w:rFonts w:ascii="Arial" w:eastAsia="Calibri" w:hAnsi="Arial" w:cs="Arial"/>
          <w:b/>
          <w:bCs/>
          <w:color w:val="000000" w:themeColor="text1"/>
          <w:sz w:val="22"/>
          <w:lang w:eastAsia="en-US"/>
        </w:rPr>
      </w:pPr>
    </w:p>
    <w:p w14:paraId="6710C481" w14:textId="77777777" w:rsidR="005820B4" w:rsidRPr="009F4D58" w:rsidRDefault="005820B4" w:rsidP="009F4D58">
      <w:pPr>
        <w:tabs>
          <w:tab w:val="left" w:pos="7845"/>
        </w:tabs>
        <w:spacing w:line="276" w:lineRule="auto"/>
        <w:jc w:val="left"/>
        <w:rPr>
          <w:rFonts w:ascii="Arial" w:eastAsia="Calibri" w:hAnsi="Arial" w:cs="Arial"/>
          <w:color w:val="000000" w:themeColor="text1"/>
          <w:sz w:val="22"/>
          <w:lang w:eastAsia="en-US"/>
        </w:rPr>
      </w:pPr>
      <w:r w:rsidRPr="009F4D58">
        <w:rPr>
          <w:rFonts w:ascii="Arial" w:eastAsia="Calibri" w:hAnsi="Arial" w:cs="Arial"/>
          <w:b/>
          <w:bCs/>
          <w:color w:val="000000" w:themeColor="text1"/>
          <w:sz w:val="22"/>
          <w:lang w:eastAsia="en-US"/>
        </w:rPr>
        <w:t>Vu</w:t>
      </w:r>
      <w:r w:rsidRPr="009F4D58">
        <w:rPr>
          <w:rFonts w:ascii="Arial" w:eastAsia="Calibri" w:hAnsi="Arial" w:cs="Arial"/>
          <w:color w:val="000000" w:themeColor="text1"/>
          <w:sz w:val="22"/>
          <w:lang w:eastAsia="en-US"/>
        </w:rPr>
        <w:t xml:space="preserve"> la Loi n°2012-013 du 24 février 2012 relative aux établissements privés d’enseignement en République du Mali,</w:t>
      </w:r>
    </w:p>
    <w:p w14:paraId="19C85AC0" w14:textId="359A9308" w:rsidR="00A31A93" w:rsidRPr="009F4D58" w:rsidRDefault="00A31A93" w:rsidP="00A31A93">
      <w:pPr>
        <w:spacing w:line="276" w:lineRule="auto"/>
        <w:rPr>
          <w:rFonts w:ascii="Arial" w:eastAsia="Calibri" w:hAnsi="Arial" w:cs="Arial"/>
          <w:color w:val="000000" w:themeColor="text1"/>
          <w:sz w:val="22"/>
          <w:lang w:eastAsia="en-US"/>
        </w:rPr>
      </w:pPr>
      <w:r w:rsidRPr="009F4D58">
        <w:rPr>
          <w:rFonts w:ascii="Arial" w:eastAsia="Calibri" w:hAnsi="Arial" w:cs="Arial"/>
          <w:b/>
          <w:color w:val="000000" w:themeColor="text1"/>
          <w:sz w:val="22"/>
          <w:lang w:eastAsia="en-US"/>
        </w:rPr>
        <w:t>Vu</w:t>
      </w:r>
      <w:r w:rsidRPr="009F4D58">
        <w:rPr>
          <w:rFonts w:ascii="Arial" w:eastAsia="Calibri" w:hAnsi="Arial" w:cs="Arial"/>
          <w:color w:val="000000" w:themeColor="text1"/>
          <w:sz w:val="22"/>
          <w:lang w:eastAsia="en-US"/>
        </w:rPr>
        <w:t xml:space="preserve"> la Décision n° 2018-0000613/MERSRS-SG du 13 avril 2018 autorisant la création de l’Université Privée Félix Houphouët Boigny-Mali</w:t>
      </w:r>
    </w:p>
    <w:p w14:paraId="364E3AD0" w14:textId="1B11F034" w:rsidR="00A31A93" w:rsidRPr="009F4D58" w:rsidRDefault="00A31A93" w:rsidP="00A31A93">
      <w:pPr>
        <w:spacing w:line="276" w:lineRule="auto"/>
        <w:rPr>
          <w:rFonts w:ascii="Arial" w:eastAsia="Calibri" w:hAnsi="Arial" w:cs="Arial"/>
          <w:color w:val="000000" w:themeColor="text1"/>
          <w:sz w:val="22"/>
          <w:lang w:eastAsia="en-US"/>
        </w:rPr>
      </w:pPr>
      <w:r w:rsidRPr="009F4D58">
        <w:rPr>
          <w:rFonts w:ascii="Arial" w:eastAsia="Calibri" w:hAnsi="Arial" w:cs="Arial"/>
          <w:b/>
          <w:color w:val="000000" w:themeColor="text1"/>
          <w:sz w:val="22"/>
          <w:lang w:eastAsia="en-US"/>
        </w:rPr>
        <w:t>Vu</w:t>
      </w:r>
      <w:r w:rsidRPr="009F4D58">
        <w:rPr>
          <w:rFonts w:ascii="Arial" w:eastAsia="Calibri" w:hAnsi="Arial" w:cs="Arial"/>
          <w:color w:val="000000" w:themeColor="text1"/>
          <w:sz w:val="22"/>
          <w:lang w:eastAsia="en-US"/>
        </w:rPr>
        <w:t xml:space="preserve"> l’Arrêté N°6093/MESRS-SG du 31 décembre 2021 autorisant l’ouverture de l’Université Privée Félix Houphouët Boigny-Mali </w:t>
      </w:r>
    </w:p>
    <w:p w14:paraId="7F72A5D7" w14:textId="77777777" w:rsidR="003966F3" w:rsidRPr="009F4D58" w:rsidRDefault="003966F3" w:rsidP="009F4D58">
      <w:pPr>
        <w:tabs>
          <w:tab w:val="left" w:pos="7845"/>
        </w:tabs>
        <w:spacing w:line="276" w:lineRule="auto"/>
        <w:jc w:val="left"/>
        <w:rPr>
          <w:rFonts w:ascii="Arial" w:eastAsia="Calibri" w:hAnsi="Arial" w:cs="Arial"/>
          <w:bCs/>
          <w:color w:val="000000" w:themeColor="text1"/>
          <w:sz w:val="22"/>
          <w:lang w:eastAsia="en-US"/>
        </w:rPr>
      </w:pPr>
      <w:r w:rsidRPr="009F4D58">
        <w:rPr>
          <w:rFonts w:ascii="Arial" w:eastAsia="Calibri" w:hAnsi="Arial" w:cs="Arial"/>
          <w:b/>
          <w:bCs/>
          <w:color w:val="000000" w:themeColor="text1"/>
          <w:sz w:val="22"/>
          <w:lang w:eastAsia="en-US"/>
        </w:rPr>
        <w:t>Vu</w:t>
      </w:r>
      <w:r w:rsidRPr="009F4D58">
        <w:rPr>
          <w:rFonts w:ascii="Arial" w:eastAsia="Calibri" w:hAnsi="Arial" w:cs="Arial"/>
          <w:bCs/>
          <w:color w:val="000000" w:themeColor="text1"/>
          <w:sz w:val="22"/>
          <w:lang w:eastAsia="en-US"/>
        </w:rPr>
        <w:t xml:space="preserve"> la mission de l'UPFHOB-MALI d'offrir un enseignement supérieur de qualité et accessible,</w:t>
      </w:r>
    </w:p>
    <w:p w14:paraId="6C51252F" w14:textId="77777777" w:rsidR="003966F3" w:rsidRPr="009F4D58" w:rsidRDefault="003966F3" w:rsidP="009F4D58">
      <w:pPr>
        <w:tabs>
          <w:tab w:val="left" w:pos="7845"/>
        </w:tabs>
        <w:spacing w:line="276" w:lineRule="auto"/>
        <w:jc w:val="left"/>
        <w:rPr>
          <w:rFonts w:ascii="Arial" w:eastAsia="Calibri" w:hAnsi="Arial" w:cs="Arial"/>
          <w:bCs/>
          <w:color w:val="000000" w:themeColor="text1"/>
          <w:sz w:val="22"/>
          <w:lang w:eastAsia="en-US"/>
        </w:rPr>
      </w:pPr>
      <w:r w:rsidRPr="009F4D58">
        <w:rPr>
          <w:rFonts w:ascii="Arial" w:eastAsia="Calibri" w:hAnsi="Arial" w:cs="Arial"/>
          <w:b/>
          <w:bCs/>
          <w:color w:val="000000" w:themeColor="text1"/>
          <w:sz w:val="22"/>
          <w:lang w:eastAsia="en-US"/>
        </w:rPr>
        <w:t>Vu</w:t>
      </w:r>
      <w:r w:rsidRPr="009F4D58">
        <w:rPr>
          <w:rFonts w:ascii="Arial" w:eastAsia="Calibri" w:hAnsi="Arial" w:cs="Arial"/>
          <w:bCs/>
          <w:color w:val="000000" w:themeColor="text1"/>
          <w:sz w:val="22"/>
          <w:lang w:eastAsia="en-US"/>
        </w:rPr>
        <w:t xml:space="preserve"> la nécessité de définir des procédures claires et équitables pour le recrutement des étudiants,</w:t>
      </w:r>
    </w:p>
    <w:p w14:paraId="5B7DD825" w14:textId="4523D5B9" w:rsidR="003966F3" w:rsidRDefault="003966F3" w:rsidP="009F4D58">
      <w:pPr>
        <w:tabs>
          <w:tab w:val="left" w:pos="7845"/>
        </w:tabs>
        <w:spacing w:line="276" w:lineRule="auto"/>
        <w:jc w:val="center"/>
        <w:rPr>
          <w:rFonts w:ascii="Arial" w:eastAsia="Calibri" w:hAnsi="Arial" w:cs="Arial"/>
          <w:b/>
          <w:bCs/>
          <w:color w:val="000000" w:themeColor="text1"/>
          <w:szCs w:val="24"/>
          <w:lang w:eastAsia="en-US"/>
        </w:rPr>
      </w:pPr>
      <w:r w:rsidRPr="003966F3">
        <w:rPr>
          <w:rFonts w:ascii="Arial" w:eastAsia="Calibri" w:hAnsi="Arial" w:cs="Arial"/>
          <w:b/>
          <w:bCs/>
          <w:color w:val="000000" w:themeColor="text1"/>
          <w:szCs w:val="24"/>
          <w:lang w:eastAsia="en-US"/>
        </w:rPr>
        <w:t xml:space="preserve"> </w:t>
      </w:r>
      <w:r w:rsidR="005820B4" w:rsidRPr="009F4D58">
        <w:rPr>
          <w:rFonts w:ascii="Arial" w:eastAsia="Calibri" w:hAnsi="Arial" w:cs="Arial"/>
          <w:b/>
          <w:bCs/>
          <w:color w:val="000000" w:themeColor="text1"/>
          <w:szCs w:val="24"/>
          <w:lang w:eastAsia="en-US"/>
        </w:rPr>
        <w:t>DÉCIDE</w:t>
      </w:r>
    </w:p>
    <w:p w14:paraId="2CCA804B" w14:textId="356F25DE" w:rsidR="003966F3" w:rsidRPr="009F4D58" w:rsidRDefault="003966F3" w:rsidP="009F4D58">
      <w:pPr>
        <w:spacing w:line="276" w:lineRule="auto"/>
        <w:rPr>
          <w:rFonts w:ascii="Arial" w:eastAsia="Calibri" w:hAnsi="Arial" w:cs="Arial"/>
          <w:b/>
          <w:bCs/>
          <w:color w:val="000000" w:themeColor="text1"/>
          <w:sz w:val="22"/>
          <w:lang w:eastAsia="en-US"/>
        </w:rPr>
      </w:pPr>
      <w:r w:rsidRPr="009F4D58">
        <w:rPr>
          <w:rFonts w:ascii="Arial" w:eastAsia="Calibri" w:hAnsi="Arial" w:cs="Arial"/>
          <w:b/>
          <w:bCs/>
          <w:color w:val="000000" w:themeColor="text1"/>
          <w:sz w:val="22"/>
          <w:lang w:eastAsia="en-US"/>
        </w:rPr>
        <w:t xml:space="preserve">Article 1 : Modalités de </w:t>
      </w:r>
      <w:r w:rsidR="00990A93">
        <w:rPr>
          <w:rFonts w:ascii="Arial" w:eastAsia="Calibri" w:hAnsi="Arial" w:cs="Arial"/>
          <w:b/>
          <w:bCs/>
          <w:color w:val="000000" w:themeColor="text1"/>
          <w:sz w:val="22"/>
          <w:lang w:eastAsia="en-US"/>
        </w:rPr>
        <w:t>c</w:t>
      </w:r>
      <w:r w:rsidRPr="009F4D58">
        <w:rPr>
          <w:rFonts w:ascii="Arial" w:eastAsia="Calibri" w:hAnsi="Arial" w:cs="Arial"/>
          <w:b/>
          <w:bCs/>
          <w:color w:val="000000" w:themeColor="text1"/>
          <w:sz w:val="22"/>
          <w:lang w:eastAsia="en-US"/>
        </w:rPr>
        <w:t>andidature</w:t>
      </w:r>
    </w:p>
    <w:p w14:paraId="6FA88D44" w14:textId="31E35C98" w:rsidR="003966F3" w:rsidRPr="009F4D58" w:rsidRDefault="003966F3" w:rsidP="009F4D58">
      <w:pPr>
        <w:spacing w:line="276" w:lineRule="auto"/>
        <w:rPr>
          <w:rFonts w:ascii="Arial" w:eastAsia="Calibri" w:hAnsi="Arial" w:cs="Arial"/>
          <w:color w:val="000000" w:themeColor="text1"/>
          <w:sz w:val="22"/>
          <w:lang w:eastAsia="en-US"/>
        </w:rPr>
      </w:pPr>
      <w:r w:rsidRPr="009F4D58">
        <w:rPr>
          <w:rFonts w:ascii="Arial" w:eastAsia="Calibri" w:hAnsi="Arial" w:cs="Arial"/>
          <w:color w:val="000000" w:themeColor="text1"/>
          <w:sz w:val="22"/>
          <w:lang w:eastAsia="en-US"/>
        </w:rPr>
        <w:t>1.1. Les candidats intéressés par nos programmes devront soumettre une demande d'admission en ligne via notre site web officiel ou en personne au bureau des admissions de l'université.</w:t>
      </w:r>
    </w:p>
    <w:p w14:paraId="32203B8C" w14:textId="0ACB0369" w:rsidR="003966F3" w:rsidRPr="009F4D58" w:rsidRDefault="003966F3" w:rsidP="009F4D58">
      <w:pPr>
        <w:spacing w:line="276" w:lineRule="auto"/>
        <w:rPr>
          <w:rFonts w:ascii="Arial" w:eastAsia="Calibri" w:hAnsi="Arial" w:cs="Arial"/>
          <w:color w:val="000000" w:themeColor="text1"/>
          <w:sz w:val="22"/>
          <w:lang w:eastAsia="en-US"/>
        </w:rPr>
      </w:pPr>
      <w:r w:rsidRPr="009F4D58">
        <w:rPr>
          <w:rFonts w:ascii="Arial" w:eastAsia="Calibri" w:hAnsi="Arial" w:cs="Arial"/>
          <w:color w:val="000000" w:themeColor="text1"/>
          <w:sz w:val="22"/>
          <w:lang w:eastAsia="en-US"/>
        </w:rPr>
        <w:t>1.2. Les demandes d'admission devront être accompagnées de tous les documents requis, tels que les relevés de notes, les lettres de recommandation, les résultats d'examens standardisés.</w:t>
      </w:r>
    </w:p>
    <w:p w14:paraId="19993457" w14:textId="6CADD0D6" w:rsidR="003966F3" w:rsidRPr="009F4D58" w:rsidRDefault="003966F3" w:rsidP="009F4D58">
      <w:pPr>
        <w:spacing w:line="276" w:lineRule="auto"/>
        <w:rPr>
          <w:rFonts w:ascii="Arial" w:eastAsia="Calibri" w:hAnsi="Arial" w:cs="Arial"/>
          <w:b/>
          <w:bCs/>
          <w:color w:val="000000" w:themeColor="text1"/>
          <w:sz w:val="22"/>
          <w:lang w:eastAsia="en-US"/>
        </w:rPr>
      </w:pPr>
      <w:r w:rsidRPr="009F4D58">
        <w:rPr>
          <w:rFonts w:ascii="Arial" w:eastAsia="Calibri" w:hAnsi="Arial" w:cs="Arial"/>
          <w:b/>
          <w:bCs/>
          <w:color w:val="000000" w:themeColor="text1"/>
          <w:sz w:val="22"/>
          <w:lang w:eastAsia="en-US"/>
        </w:rPr>
        <w:t xml:space="preserve">Article 2 : Critères de </w:t>
      </w:r>
      <w:r w:rsidR="00990A93">
        <w:rPr>
          <w:rFonts w:ascii="Arial" w:eastAsia="Calibri" w:hAnsi="Arial" w:cs="Arial"/>
          <w:b/>
          <w:bCs/>
          <w:color w:val="000000" w:themeColor="text1"/>
          <w:sz w:val="22"/>
          <w:lang w:eastAsia="en-US"/>
        </w:rPr>
        <w:t>s</w:t>
      </w:r>
      <w:r w:rsidRPr="009F4D58">
        <w:rPr>
          <w:rFonts w:ascii="Arial" w:eastAsia="Calibri" w:hAnsi="Arial" w:cs="Arial"/>
          <w:b/>
          <w:bCs/>
          <w:color w:val="000000" w:themeColor="text1"/>
          <w:sz w:val="22"/>
          <w:lang w:eastAsia="en-US"/>
        </w:rPr>
        <w:t>élection</w:t>
      </w:r>
    </w:p>
    <w:p w14:paraId="2579B637" w14:textId="77777777" w:rsidR="003966F3" w:rsidRPr="009F4D58" w:rsidRDefault="003966F3" w:rsidP="009F4D58">
      <w:pPr>
        <w:spacing w:line="276" w:lineRule="auto"/>
        <w:rPr>
          <w:rFonts w:ascii="Arial" w:eastAsia="Calibri" w:hAnsi="Arial" w:cs="Arial"/>
          <w:color w:val="000000" w:themeColor="text1"/>
          <w:sz w:val="22"/>
          <w:lang w:eastAsia="en-US"/>
        </w:rPr>
      </w:pPr>
      <w:r w:rsidRPr="009F4D58">
        <w:rPr>
          <w:rFonts w:ascii="Arial" w:eastAsia="Calibri" w:hAnsi="Arial" w:cs="Arial"/>
          <w:color w:val="000000" w:themeColor="text1"/>
          <w:sz w:val="22"/>
          <w:lang w:eastAsia="en-US"/>
        </w:rPr>
        <w:t>2.1. Les candidats seront évalués sur la base de leur dossier académique, de leurs résultats aux examens, de leurs expériences professionnelles ou extra-scolaires pertinentes, ainsi que de leur motivation et de leur adéquation avec les objectifs du programme.</w:t>
      </w:r>
    </w:p>
    <w:p w14:paraId="1F7C2C88" w14:textId="294E8785" w:rsidR="003966F3" w:rsidRPr="009F4D58" w:rsidRDefault="003966F3" w:rsidP="009F4D58">
      <w:pPr>
        <w:spacing w:line="276" w:lineRule="auto"/>
        <w:rPr>
          <w:rFonts w:ascii="Arial" w:eastAsia="Calibri" w:hAnsi="Arial" w:cs="Arial"/>
          <w:color w:val="000000" w:themeColor="text1"/>
          <w:sz w:val="22"/>
          <w:lang w:eastAsia="en-US"/>
        </w:rPr>
      </w:pPr>
      <w:r w:rsidRPr="009F4D58">
        <w:rPr>
          <w:rFonts w:ascii="Arial" w:eastAsia="Calibri" w:hAnsi="Arial" w:cs="Arial"/>
          <w:color w:val="000000" w:themeColor="text1"/>
          <w:sz w:val="22"/>
          <w:lang w:eastAsia="en-US"/>
        </w:rPr>
        <w:t>2.2. Des entretiens individuels pourront être organisés pour évaluer la motivation, les compétences et les objectifs professionnels des candidats, en fonction des exigences spécifiques de chaque programme.</w:t>
      </w:r>
    </w:p>
    <w:p w14:paraId="79C52230" w14:textId="7F2A9498" w:rsidR="003966F3" w:rsidRPr="009F4D58" w:rsidRDefault="003966F3" w:rsidP="009F4D58">
      <w:pPr>
        <w:spacing w:line="276" w:lineRule="auto"/>
        <w:rPr>
          <w:rFonts w:ascii="Arial" w:eastAsia="Calibri" w:hAnsi="Arial" w:cs="Arial"/>
          <w:b/>
          <w:bCs/>
          <w:color w:val="000000" w:themeColor="text1"/>
          <w:sz w:val="22"/>
          <w:lang w:eastAsia="en-US"/>
        </w:rPr>
      </w:pPr>
      <w:r w:rsidRPr="009F4D58">
        <w:rPr>
          <w:rFonts w:ascii="Arial" w:eastAsia="Calibri" w:hAnsi="Arial" w:cs="Arial"/>
          <w:b/>
          <w:bCs/>
          <w:color w:val="000000" w:themeColor="text1"/>
          <w:sz w:val="22"/>
          <w:lang w:eastAsia="en-US"/>
        </w:rPr>
        <w:t>Article 3 : Décision d'</w:t>
      </w:r>
      <w:r w:rsidR="00990A93">
        <w:rPr>
          <w:rFonts w:ascii="Arial" w:eastAsia="Calibri" w:hAnsi="Arial" w:cs="Arial"/>
          <w:b/>
          <w:bCs/>
          <w:color w:val="000000" w:themeColor="text1"/>
          <w:sz w:val="22"/>
          <w:lang w:eastAsia="en-US"/>
        </w:rPr>
        <w:t>a</w:t>
      </w:r>
      <w:r w:rsidRPr="009F4D58">
        <w:rPr>
          <w:rFonts w:ascii="Arial" w:eastAsia="Calibri" w:hAnsi="Arial" w:cs="Arial"/>
          <w:b/>
          <w:bCs/>
          <w:color w:val="000000" w:themeColor="text1"/>
          <w:sz w:val="22"/>
          <w:lang w:eastAsia="en-US"/>
        </w:rPr>
        <w:t>dmission</w:t>
      </w:r>
    </w:p>
    <w:p w14:paraId="1ABD81E7" w14:textId="68D1E717" w:rsidR="003966F3" w:rsidRPr="009F4D58" w:rsidRDefault="003966F3" w:rsidP="009F4D58">
      <w:pPr>
        <w:spacing w:line="276" w:lineRule="auto"/>
        <w:rPr>
          <w:rFonts w:ascii="Arial" w:eastAsia="Calibri" w:hAnsi="Arial" w:cs="Arial"/>
          <w:color w:val="000000" w:themeColor="text1"/>
          <w:sz w:val="22"/>
          <w:lang w:eastAsia="en-US"/>
        </w:rPr>
      </w:pPr>
      <w:r w:rsidRPr="009F4D58">
        <w:rPr>
          <w:rFonts w:ascii="Arial" w:eastAsia="Calibri" w:hAnsi="Arial" w:cs="Arial"/>
          <w:color w:val="000000" w:themeColor="text1"/>
          <w:sz w:val="22"/>
          <w:lang w:eastAsia="en-US"/>
        </w:rPr>
        <w:t>3.1. Une commission d'admission désignée par la direction de l'université examinera toutes les candidatures et prendra une décision quant à l'admission des candidats.</w:t>
      </w:r>
    </w:p>
    <w:p w14:paraId="04613DD3" w14:textId="0E82D724" w:rsidR="003966F3" w:rsidRPr="009F4D58" w:rsidRDefault="003966F3" w:rsidP="009F4D58">
      <w:pPr>
        <w:spacing w:line="276" w:lineRule="auto"/>
        <w:rPr>
          <w:rFonts w:ascii="Arial" w:eastAsia="Calibri" w:hAnsi="Arial" w:cs="Arial"/>
          <w:color w:val="000000" w:themeColor="text1"/>
          <w:sz w:val="22"/>
          <w:lang w:eastAsia="en-US"/>
        </w:rPr>
      </w:pPr>
      <w:r w:rsidRPr="009F4D58">
        <w:rPr>
          <w:rFonts w:ascii="Arial" w:eastAsia="Calibri" w:hAnsi="Arial" w:cs="Arial"/>
          <w:color w:val="000000" w:themeColor="text1"/>
          <w:sz w:val="22"/>
          <w:lang w:eastAsia="en-US"/>
        </w:rPr>
        <w:t>3.2. Les décisions d'admission seront communiquées aux candidats par écrit, précisant les conditions d'admission et les étapes à suivre pour finaliser leur inscription.</w:t>
      </w:r>
    </w:p>
    <w:p w14:paraId="218D8984" w14:textId="77777777" w:rsidR="003966F3" w:rsidRPr="009F4D58" w:rsidRDefault="003966F3" w:rsidP="009F4D58">
      <w:pPr>
        <w:spacing w:line="276" w:lineRule="auto"/>
        <w:rPr>
          <w:rFonts w:ascii="Arial" w:eastAsia="Calibri" w:hAnsi="Arial" w:cs="Arial"/>
          <w:b/>
          <w:bCs/>
          <w:color w:val="000000" w:themeColor="text1"/>
          <w:sz w:val="22"/>
          <w:lang w:eastAsia="en-US"/>
        </w:rPr>
      </w:pPr>
      <w:r w:rsidRPr="009F4D58">
        <w:rPr>
          <w:rFonts w:ascii="Arial" w:eastAsia="Calibri" w:hAnsi="Arial" w:cs="Arial"/>
          <w:b/>
          <w:bCs/>
          <w:color w:val="000000" w:themeColor="text1"/>
          <w:sz w:val="22"/>
          <w:lang w:eastAsia="en-US"/>
        </w:rPr>
        <w:t>Article 4 : Recours</w:t>
      </w:r>
    </w:p>
    <w:p w14:paraId="4DE159D4" w14:textId="78F1C736" w:rsidR="003966F3" w:rsidRPr="009F4D58" w:rsidRDefault="003966F3" w:rsidP="009F4D58">
      <w:pPr>
        <w:spacing w:line="276" w:lineRule="auto"/>
        <w:rPr>
          <w:rFonts w:ascii="Arial" w:eastAsia="Calibri" w:hAnsi="Arial" w:cs="Arial"/>
          <w:color w:val="000000" w:themeColor="text1"/>
          <w:sz w:val="22"/>
          <w:lang w:eastAsia="en-US"/>
        </w:rPr>
      </w:pPr>
      <w:r w:rsidRPr="009F4D58">
        <w:rPr>
          <w:rFonts w:ascii="Arial" w:eastAsia="Calibri" w:hAnsi="Arial" w:cs="Arial"/>
          <w:color w:val="000000" w:themeColor="text1"/>
          <w:sz w:val="22"/>
          <w:lang w:eastAsia="en-US"/>
        </w:rPr>
        <w:t>4.1. Les candidats ayant reçu une décision défavorable auront la possibilité de déposer un recours auprès de la direction de l'université, en fournissant des arguments justifiant leur demande.</w:t>
      </w:r>
    </w:p>
    <w:p w14:paraId="594001CA" w14:textId="021BEACD" w:rsidR="003966F3" w:rsidRPr="009F4D58" w:rsidRDefault="003966F3" w:rsidP="009F4D58">
      <w:pPr>
        <w:spacing w:line="276" w:lineRule="auto"/>
        <w:rPr>
          <w:rFonts w:ascii="Arial" w:eastAsia="Calibri" w:hAnsi="Arial" w:cs="Arial"/>
          <w:color w:val="000000" w:themeColor="text1"/>
          <w:sz w:val="22"/>
          <w:lang w:eastAsia="en-US"/>
        </w:rPr>
      </w:pPr>
      <w:r w:rsidRPr="009F4D58">
        <w:rPr>
          <w:rFonts w:ascii="Arial" w:eastAsia="Calibri" w:hAnsi="Arial" w:cs="Arial"/>
          <w:color w:val="000000" w:themeColor="text1"/>
          <w:sz w:val="22"/>
          <w:lang w:eastAsia="en-US"/>
        </w:rPr>
        <w:t>4.2. La direction de l'université examinera les recours et prendra une décision finale, qui sera communiquée aux candidats par écrit.</w:t>
      </w:r>
    </w:p>
    <w:p w14:paraId="05D9F4A9" w14:textId="77777777" w:rsidR="003966F3" w:rsidRDefault="003966F3" w:rsidP="009A7904">
      <w:pPr>
        <w:spacing w:line="276" w:lineRule="auto"/>
        <w:jc w:val="left"/>
        <w:rPr>
          <w:rFonts w:ascii="Arial" w:eastAsia="Calibri" w:hAnsi="Arial" w:cs="Arial"/>
          <w:b/>
          <w:bCs/>
          <w:color w:val="000000" w:themeColor="text1"/>
          <w:szCs w:val="24"/>
          <w:lang w:eastAsia="en-US"/>
        </w:rPr>
      </w:pPr>
    </w:p>
    <w:p w14:paraId="0CF83127" w14:textId="4AB9ADA4" w:rsidR="00F255F6" w:rsidRPr="009F4D58" w:rsidRDefault="00F255F6" w:rsidP="009F4D58">
      <w:pPr>
        <w:tabs>
          <w:tab w:val="left" w:pos="7845"/>
        </w:tabs>
        <w:spacing w:line="276" w:lineRule="auto"/>
        <w:jc w:val="right"/>
        <w:rPr>
          <w:rFonts w:ascii="Arial" w:eastAsia="Calibri" w:hAnsi="Arial" w:cs="Arial"/>
          <w:bCs/>
          <w:color w:val="000000" w:themeColor="text1"/>
          <w:lang w:eastAsia="en-US"/>
        </w:rPr>
      </w:pPr>
      <w:r w:rsidRPr="009F4D58">
        <w:rPr>
          <w:rFonts w:ascii="Arial" w:eastAsia="Calibri" w:hAnsi="Arial" w:cs="Arial"/>
          <w:bCs/>
          <w:color w:val="000000" w:themeColor="text1"/>
          <w:lang w:eastAsia="en-US"/>
        </w:rPr>
        <w:t xml:space="preserve">Bamako, le </w:t>
      </w:r>
      <w:r w:rsidR="00BD272E">
        <w:rPr>
          <w:rFonts w:ascii="Arial" w:eastAsia="Calibri" w:hAnsi="Arial" w:cs="Arial"/>
          <w:bCs/>
          <w:color w:val="000000" w:themeColor="text1"/>
          <w:lang w:eastAsia="en-US"/>
        </w:rPr>
        <w:t>19</w:t>
      </w:r>
      <w:r>
        <w:rPr>
          <w:rFonts w:ascii="Arial" w:eastAsia="Calibri" w:hAnsi="Arial" w:cs="Arial"/>
          <w:bCs/>
          <w:color w:val="000000" w:themeColor="text1"/>
          <w:lang w:eastAsia="en-US"/>
        </w:rPr>
        <w:t xml:space="preserve"> </w:t>
      </w:r>
      <w:r w:rsidRPr="009F4D58">
        <w:rPr>
          <w:rFonts w:ascii="Arial" w:eastAsia="Calibri" w:hAnsi="Arial" w:cs="Arial"/>
          <w:bCs/>
          <w:color w:val="000000" w:themeColor="text1"/>
          <w:lang w:eastAsia="en-US"/>
        </w:rPr>
        <w:t>septembre 2022</w:t>
      </w:r>
    </w:p>
    <w:p w14:paraId="288255CC" w14:textId="77F11A12" w:rsidR="00F255F6" w:rsidRDefault="00F255F6" w:rsidP="009F4D58">
      <w:pPr>
        <w:tabs>
          <w:tab w:val="left" w:pos="7845"/>
        </w:tabs>
        <w:spacing w:line="276" w:lineRule="auto"/>
        <w:jc w:val="right"/>
        <w:rPr>
          <w:rFonts w:ascii="Arial" w:eastAsia="Calibri" w:hAnsi="Arial" w:cs="Arial"/>
          <w:b/>
          <w:bCs/>
          <w:color w:val="000000" w:themeColor="text1"/>
          <w:lang w:eastAsia="en-US"/>
        </w:rPr>
      </w:pPr>
      <w:r w:rsidRPr="009F4D58">
        <w:rPr>
          <w:rFonts w:ascii="Arial" w:eastAsia="Calibri" w:hAnsi="Arial" w:cs="Arial"/>
          <w:b/>
          <w:bCs/>
          <w:color w:val="000000" w:themeColor="text1"/>
          <w:lang w:eastAsia="en-US"/>
        </w:rPr>
        <w:t>Le Directeur Général,</w:t>
      </w:r>
    </w:p>
    <w:p w14:paraId="2A83B88C" w14:textId="77777777" w:rsidR="00F255F6" w:rsidRDefault="00F255F6" w:rsidP="009F4D58">
      <w:pPr>
        <w:tabs>
          <w:tab w:val="left" w:pos="7845"/>
        </w:tabs>
        <w:spacing w:line="276" w:lineRule="auto"/>
        <w:jc w:val="right"/>
        <w:rPr>
          <w:rFonts w:ascii="Arial" w:eastAsia="Calibri" w:hAnsi="Arial" w:cs="Arial"/>
          <w:b/>
          <w:bCs/>
          <w:color w:val="000000" w:themeColor="text1"/>
          <w:lang w:eastAsia="en-US"/>
        </w:rPr>
      </w:pPr>
    </w:p>
    <w:p w14:paraId="7DFC458B" w14:textId="77777777" w:rsidR="00FC1508" w:rsidRPr="009F4D58" w:rsidRDefault="00FC1508" w:rsidP="009F4D58">
      <w:pPr>
        <w:tabs>
          <w:tab w:val="left" w:pos="7845"/>
        </w:tabs>
        <w:spacing w:line="276" w:lineRule="auto"/>
        <w:rPr>
          <w:rFonts w:ascii="Arial" w:eastAsia="Calibri" w:hAnsi="Arial" w:cs="Arial"/>
          <w:b/>
          <w:bCs/>
          <w:color w:val="000000" w:themeColor="text1"/>
          <w:lang w:eastAsia="en-US"/>
        </w:rPr>
      </w:pPr>
    </w:p>
    <w:p w14:paraId="003B5D13" w14:textId="77777777" w:rsidR="00F255F6" w:rsidRDefault="00F255F6" w:rsidP="003A2FC4">
      <w:pPr>
        <w:spacing w:line="276" w:lineRule="auto"/>
        <w:rPr>
          <w:b/>
          <w:bCs/>
          <w:szCs w:val="24"/>
          <w:lang w:eastAsia="en-US"/>
        </w:rPr>
      </w:pPr>
    </w:p>
    <w:p w14:paraId="080FF443" w14:textId="4EC70E04" w:rsidR="00F255F6" w:rsidRDefault="00F255F6" w:rsidP="009F4D58">
      <w:pPr>
        <w:tabs>
          <w:tab w:val="left" w:pos="7845"/>
        </w:tabs>
        <w:spacing w:line="276" w:lineRule="auto"/>
        <w:jc w:val="right"/>
        <w:rPr>
          <w:b/>
          <w:bCs/>
          <w:szCs w:val="24"/>
          <w:lang w:eastAsia="en-US"/>
        </w:rPr>
      </w:pPr>
      <w:r>
        <w:rPr>
          <w:b/>
          <w:bCs/>
          <w:szCs w:val="24"/>
          <w:lang w:eastAsia="en-US"/>
        </w:rPr>
        <w:t xml:space="preserve">                                  </w:t>
      </w:r>
      <w:r>
        <w:rPr>
          <w:rFonts w:ascii="Arial" w:eastAsia="Calibri" w:hAnsi="Arial" w:cs="Arial"/>
          <w:b/>
          <w:bCs/>
          <w:color w:val="000000" w:themeColor="text1"/>
          <w:lang w:eastAsia="en-US"/>
        </w:rPr>
        <w:t>M.SANGARE Adama</w:t>
      </w:r>
    </w:p>
    <w:bookmarkEnd w:id="0"/>
    <w:p w14:paraId="012D3363" w14:textId="77777777" w:rsidR="00D64EBF" w:rsidRDefault="00D64EBF"/>
    <w:sectPr w:rsidR="00D64EBF" w:rsidSect="009F4D58">
      <w:pgSz w:w="11906" w:h="16838"/>
      <w:pgMar w:top="1417" w:right="849" w:bottom="426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C8516B"/>
    <w:multiLevelType w:val="multilevel"/>
    <w:tmpl w:val="8A600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0B64A2D"/>
    <w:multiLevelType w:val="multilevel"/>
    <w:tmpl w:val="E634D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054005"/>
    <w:multiLevelType w:val="multilevel"/>
    <w:tmpl w:val="A6906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F867F1B"/>
    <w:multiLevelType w:val="multilevel"/>
    <w:tmpl w:val="0DEC5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5440122">
    <w:abstractNumId w:val="3"/>
  </w:num>
  <w:num w:numId="2" w16cid:durableId="707412275">
    <w:abstractNumId w:val="1"/>
  </w:num>
  <w:num w:numId="3" w16cid:durableId="475687741">
    <w:abstractNumId w:val="0"/>
  </w:num>
  <w:num w:numId="4" w16cid:durableId="14236014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2FC4"/>
    <w:rsid w:val="001A09D2"/>
    <w:rsid w:val="00381692"/>
    <w:rsid w:val="00394C0C"/>
    <w:rsid w:val="003966F3"/>
    <w:rsid w:val="003A2FC4"/>
    <w:rsid w:val="003C13E9"/>
    <w:rsid w:val="0045608F"/>
    <w:rsid w:val="005820B4"/>
    <w:rsid w:val="00730657"/>
    <w:rsid w:val="00792976"/>
    <w:rsid w:val="007B637C"/>
    <w:rsid w:val="007C5CDA"/>
    <w:rsid w:val="009069B2"/>
    <w:rsid w:val="009407C9"/>
    <w:rsid w:val="009475FB"/>
    <w:rsid w:val="00990A93"/>
    <w:rsid w:val="009A7904"/>
    <w:rsid w:val="009F4D58"/>
    <w:rsid w:val="00A13517"/>
    <w:rsid w:val="00A31A93"/>
    <w:rsid w:val="00AA06FE"/>
    <w:rsid w:val="00AF3F98"/>
    <w:rsid w:val="00B853B7"/>
    <w:rsid w:val="00BD272E"/>
    <w:rsid w:val="00C2173E"/>
    <w:rsid w:val="00CA7296"/>
    <w:rsid w:val="00CB2D79"/>
    <w:rsid w:val="00D64EBF"/>
    <w:rsid w:val="00DD08CC"/>
    <w:rsid w:val="00E23F49"/>
    <w:rsid w:val="00E773EF"/>
    <w:rsid w:val="00EA3069"/>
    <w:rsid w:val="00F255F6"/>
    <w:rsid w:val="00F322BA"/>
    <w:rsid w:val="00FC1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BC87F1"/>
  <w15:chartTrackingRefBased/>
  <w15:docId w15:val="{919C0006-7081-4C4B-8ABA-3E513E4B9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2FC4"/>
    <w:pPr>
      <w:spacing w:after="0" w:line="20" w:lineRule="atLeast"/>
      <w:jc w:val="both"/>
    </w:pPr>
    <w:rPr>
      <w:rFonts w:ascii="Times New Roman" w:eastAsia="Times New Roman" w:hAnsi="Times New Roman" w:cs="Times New Roman"/>
      <w:sz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Rvision">
    <w:name w:val="Revision"/>
    <w:hidden/>
    <w:uiPriority w:val="99"/>
    <w:semiHidden/>
    <w:rsid w:val="009407C9"/>
    <w:pPr>
      <w:spacing w:after="0" w:line="240" w:lineRule="auto"/>
    </w:pPr>
    <w:rPr>
      <w:rFonts w:ascii="Times New Roman" w:eastAsia="Times New Roman" w:hAnsi="Times New Roman" w:cs="Times New Roman"/>
      <w:sz w:val="24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F255F6"/>
    <w:pPr>
      <w:spacing w:before="100" w:beforeAutospacing="1" w:after="100" w:afterAutospacing="1" w:line="240" w:lineRule="auto"/>
      <w:jc w:val="left"/>
    </w:pPr>
    <w:rPr>
      <w:szCs w:val="24"/>
      <w:lang w:val="en-US" w:eastAsia="en-US"/>
    </w:rPr>
  </w:style>
  <w:style w:type="character" w:styleId="lev">
    <w:name w:val="Strong"/>
    <w:basedOn w:val="Policepardfaut"/>
    <w:uiPriority w:val="22"/>
    <w:qFormat/>
    <w:rsid w:val="00F255F6"/>
    <w:rPr>
      <w:b/>
      <w:bCs/>
    </w:rPr>
  </w:style>
  <w:style w:type="character" w:styleId="Accentuation">
    <w:name w:val="Emphasis"/>
    <w:basedOn w:val="Policepardfaut"/>
    <w:uiPriority w:val="20"/>
    <w:qFormat/>
    <w:rsid w:val="00F255F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0936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9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9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7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1</Pages>
  <Words>370</Words>
  <Characters>2040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F SYLVESTRE SIDIBE</dc:creator>
  <cp:keywords/>
  <dc:description/>
  <cp:lastModifiedBy>Dr Mamadou SANOGO</cp:lastModifiedBy>
  <cp:revision>8</cp:revision>
  <dcterms:created xsi:type="dcterms:W3CDTF">2024-11-12T12:37:00Z</dcterms:created>
  <dcterms:modified xsi:type="dcterms:W3CDTF">2024-11-15T11:04:00Z</dcterms:modified>
</cp:coreProperties>
</file>