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rPr/>
      </w:pPr>
      <w:r>
        <w:rPr/>
        <w:t>Prüfbericht Dachstuhl Haus Nr. 12</w:t>
      </w:r>
    </w:p>
    <w:p>
      <w:pPr>
        <w:pStyle w:val="Heading1"/>
        <w:bidi w:val="0"/>
        <w:ind w:hanging="0" w:left="0"/>
        <w:rPr/>
      </w:pPr>
      <w:r>
        <w:rPr/>
        <w:t>Zusammenfassung</w:t>
      </w:r>
    </w:p>
    <w:p>
      <w:pPr>
        <w:pStyle w:val="BodyText"/>
        <w:bidi w:val="0"/>
        <w:spacing w:before="0" w:after="142"/>
        <w:rPr/>
      </w:pPr>
      <w:r>
        <w:rPr/>
        <w:t>Der Dachstuhl ist tragfähig. An der Nordseite sind Sparren und Mauerbank zu feucht; die Sanierung kostet rund 6.700 Euro netto.</w:t>
      </w:r>
    </w:p>
    <w:p>
      <w:pPr>
        <w:pStyle w:val="Heading1"/>
        <w:bidi w:val="0"/>
        <w:ind w:hanging="0" w:left="0"/>
        <w:rPr/>
      </w:pPr>
      <w:bookmarkStart w:id="0" w:name="Befund"/>
      <w:r>
        <w:rPr/>
        <w:t>Befund</w:t>
      </w:r>
      <w:bookmarkEnd w:id="0"/>
    </w:p>
    <w:p>
      <w:pPr>
        <w:pStyle w:val="BodyText"/>
        <w:bidi w:val="0"/>
        <w:spacing w:before="0" w:after="142"/>
        <w:rPr/>
      </w:pPr>
      <w:r>
        <w:rPr/>
        <w:t>Begehung am 9. Oktober 2026 mit dem Eigentümer. Die Holzfeuchte wurde an vier Punkten gemessen</w:t>
      </w:r>
      <w:r>
        <w:rPr>
          <w:rStyle w:val="FootnoteReference"/>
        </w:rPr>
        <w:footnoteReference w:id="2"/>
      </w:r>
      <w:r>
        <w:rPr/>
        <w:t xml:space="preserve">; die Werte stehen im Abschnitt </w:t>
      </w:r>
      <w:r>
        <w:rPr/>
        <w:fldChar w:fldCharType="begin"/>
      </w:r>
      <w:r>
        <w:rPr/>
        <w:instrText xml:space="preserve"> REF Messwerte \h </w:instrText>
      </w:r>
      <w:r>
        <w:rPr/>
        <w:fldChar w:fldCharType="separate"/>
      </w:r>
      <w:r>
        <w:rPr/>
        <w:t>Messwerte</w:t>
      </w:r>
      <w:r>
        <w:rPr/>
        <w:fldChar w:fldCharType="end"/>
      </w:r>
      <w:r>
        <w:rPr/>
        <w:t xml:space="preserve"> und in </w:t>
      </w:r>
      <w:r>
        <w:rPr/>
        <w:fldChar w:fldCharType="begin"/>
      </w:r>
      <w:r>
        <w:rPr/>
        <w:instrText xml:space="preserve"> REF Ref_Tabelle0_label_and_number \h </w:instrText>
      </w:r>
      <w:r>
        <w:rPr/>
        <w:fldChar w:fldCharType="separate"/>
      </w:r>
      <w:r>
        <w:rPr/>
        <w:t>Tabelle 1</w:t>
      </w:r>
      <w:r>
        <w:rPr/>
        <w:fldChar w:fldCharType="end"/>
      </w:r>
      <w:r>
        <w:rPr/>
        <w:t>.</w:t>
      </w:r>
    </w:p>
    <w:p>
      <w:pPr>
        <w:pStyle w:val="Heading2"/>
        <w:bidi w:val="0"/>
        <w:ind w:hanging="0" w:left="0"/>
        <w:rPr/>
      </w:pPr>
      <w:r>
        <w:rPr/>
        <w:t>Feuchteschäden</w:t>
      </w:r>
    </w:p>
    <w:p>
      <w:pPr>
        <w:pStyle w:val="BodyText"/>
        <w:bidi w:val="0"/>
        <w:spacing w:before="0" w:after="142"/>
        <w:rPr/>
      </w:pPr>
      <w:r>
        <w:rPr/>
        <w:t xml:space="preserve">Feuchteflecken am Sparren Nord und an der Mauerbank, siehe </w:t>
      </w:r>
      <w:r>
        <w:rPr/>
        <w:fldChar w:fldCharType="begin"/>
      </w:r>
      <w:r>
        <w:rPr/>
        <w:instrText xml:space="preserve"> REF Ref_Abbildung0_label_and_number \h </w:instrText>
      </w:r>
      <w:r>
        <w:rPr/>
        <w:fldChar w:fldCharType="separate"/>
      </w:r>
      <w:r>
        <w:rPr/>
        <w:t>Abbildung 1</w:t>
      </w:r>
      <w:r>
        <w:rPr/>
        <w:fldChar w:fldCharType="end"/>
      </w:r>
      <w:r>
        <w:rPr/>
        <w:t>.</w:t>
      </w:r>
    </w:p>
    <w:p>
      <w:pPr>
        <w:pStyle w:val="BodyText"/>
        <w:bidi w:val="0"/>
        <w:spacing w:before="0" w:after="142"/>
        <w:rPr/>
      </w:pPr>
      <w:r>
        <w:rPr/>
        <mc:AlternateContent>
          <mc:Choice Requires="wps">
            <w:drawing>
              <wp:inline distT="0" distB="0" distL="0" distR="0">
                <wp:extent cx="4319905" cy="2700020"/>
                <wp:effectExtent l="0" t="0" r="0" b="0"/>
                <wp:docPr id="1" name="Foto" title="Foto des Dachstuhls von innen mit dunklen Feuchteflecken am Sparren Nord" descr="Foto des Dachstuhls von innen mit dunklen Feuchteflecken am Sparren Nor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oto" descr="Foto des Dachstuhls von innen mit dunklen Feuchteflecken am Sparren Nord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320000" cy="270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t" style="width:340.1pt;height:212.55pt;mso-wrap-style:none;v-text-anchor:middle" type="_x0000_t75">
                <v:imagedata r:id="rId3" o:detectmouseclick="t"/>
                <v:stroke color="#3465a4" joinstyle="round" endcap="flat"/>
              </v:shape>
            </w:pict>
          </mc:Fallback>
        </mc:AlternateContent>
      </w:r>
    </w:p>
    <w:p>
      <w:pPr>
        <w:pStyle w:val="Illustration"/>
        <w:bidi w:val="0"/>
        <w:rPr/>
      </w:pPr>
      <w:bookmarkStart w:id="1" w:name="Ref_Abbildung0_label_and_number"/>
      <w:r>
        <w:rPr/>
        <w:t xml:space="preserve">Abbildung </w:t>
      </w:r>
      <w:r>
        <w:rPr/>
        <w:fldChar w:fldCharType="begin"/>
      </w:r>
      <w:r>
        <w:rPr/>
        <w:instrText xml:space="preserve"> SEQ Abbildung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1"/>
      <w:r>
        <w:rPr/>
        <w:t xml:space="preserve">: </w:t>
      </w:r>
      <w:r>
        <w:rPr/>
        <w:t>Dachstuhl, Blick nach Norden</w:t>
      </w:r>
    </w:p>
    <w:p>
      <w:pPr>
        <w:pStyle w:val="ListContents"/>
        <w:numPr>
          <w:ilvl w:val="0"/>
          <w:numId w:val="2"/>
        </w:numPr>
        <w:bidi w:val="0"/>
        <w:rPr/>
      </w:pPr>
      <w:r>
        <w:rPr/>
        <w:t>Sparren Nord</w:t>
      </w:r>
    </w:p>
    <w:p>
      <w:pPr>
        <w:pStyle w:val="ListContents"/>
        <w:numPr>
          <w:ilvl w:val="1"/>
          <w:numId w:val="2"/>
        </w:numPr>
        <w:bidi w:val="0"/>
        <w:rPr/>
      </w:pPr>
      <w:r>
        <w:rPr/>
        <w:t>Flecken auf 1,2 m Länge</w:t>
      </w:r>
    </w:p>
    <w:p>
      <w:pPr>
        <w:pStyle w:val="ListContents"/>
        <w:numPr>
          <w:ilvl w:val="1"/>
          <w:numId w:val="2"/>
        </w:numPr>
        <w:bidi w:val="0"/>
        <w:rPr/>
      </w:pPr>
      <w:r>
        <w:rPr/>
        <w:t>Oberfläche weich</w:t>
      </w:r>
    </w:p>
    <w:p>
      <w:pPr>
        <w:pStyle w:val="ListContents"/>
        <w:numPr>
          <w:ilvl w:val="0"/>
          <w:numId w:val="2"/>
        </w:numPr>
        <w:bidi w:val="0"/>
        <w:rPr/>
      </w:pPr>
      <w:r>
        <w:rPr/>
        <w:t>Mauerbank Nord</w:t>
      </w:r>
    </w:p>
    <w:p>
      <w:pPr>
        <w:pStyle w:val="ListContents"/>
        <w:numPr>
          <w:ilvl w:val="0"/>
          <w:numId w:val="2"/>
        </w:numPr>
        <w:bidi w:val="0"/>
        <w:rPr/>
      </w:pPr>
      <w:r>
        <w:rPr/>
        <w:t>Pfette, nur im Randbereich</w:t>
      </w:r>
    </w:p>
    <w:p>
      <w:pPr>
        <w:pStyle w:val="Heading2"/>
        <w:bidi w:val="0"/>
        <w:ind w:hanging="0" w:left="0"/>
        <w:rPr/>
      </w:pPr>
      <w:r>
        <w:rPr/>
        <w:t>Holzschädlinge</w:t>
      </w:r>
    </w:p>
    <w:p>
      <w:pPr>
        <w:pStyle w:val="BodyText"/>
        <w:bidi w:val="0"/>
        <w:spacing w:before="0" w:after="142"/>
        <w:rPr/>
      </w:pPr>
      <w:r>
        <w:rPr/>
        <w:t>Kein Befall durch Hausbock oder Anobien festgestellt.</w:t>
      </w:r>
    </w:p>
    <w:p>
      <w:pPr>
        <w:pStyle w:val="Heading1"/>
        <w:bidi w:val="0"/>
        <w:ind w:hanging="0" w:left="0"/>
        <w:rPr/>
      </w:pPr>
      <w:bookmarkStart w:id="2" w:name="Messwerte"/>
      <w:r>
        <w:rPr/>
        <w:t>Messwerte</w:t>
      </w:r>
      <w:bookmarkEnd w:id="2"/>
    </w:p>
    <w:p>
      <w:pPr>
        <w:pStyle w:val="BodyText"/>
        <w:bidi w:val="0"/>
        <w:spacing w:before="0" w:after="142"/>
        <w:rPr/>
      </w:pPr>
      <w:r>
        <w:rPr/>
        <w:t>Gemessen in 2 cm Tiefe bei 8 °C Lufttemperatur</w:t>
      </w:r>
      <w:r>
        <w:rPr>
          <w:rStyle w:val="FootnoteReference"/>
        </w:rPr>
        <w:footnoteReference w:id="3"/>
      </w:r>
      <w:r>
        <w:rPr/>
        <w:t>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7"/>
        <w:gridCol w:w="2268"/>
        <w:gridCol w:w="2268"/>
        <w:gridCol w:w="2269"/>
      </w:tblGrid>
      <w:tr>
        <w:trPr>
          <w:tblHeader w:val="true"/>
        </w:trPr>
        <w:tc>
          <w:tcPr>
            <w:tcW w:w="2267" w:type="dxa"/>
            <w:tcBorders/>
          </w:tcPr>
          <w:p>
            <w:pPr>
              <w:pStyle w:val="TableHeading"/>
              <w:bidi w:val="0"/>
              <w:rPr/>
            </w:pPr>
            <w:r>
              <w:rPr/>
              <w:t>Messpunkt</w:t>
            </w:r>
          </w:p>
        </w:tc>
        <w:tc>
          <w:tcPr>
            <w:tcW w:w="2268" w:type="dxa"/>
            <w:tcBorders/>
          </w:tcPr>
          <w:p>
            <w:pPr>
              <w:pStyle w:val="TableHeading"/>
              <w:bidi w:val="0"/>
              <w:rPr/>
            </w:pPr>
            <w:r>
              <w:rPr/>
              <w:t>Bauteil</w:t>
            </w:r>
          </w:p>
        </w:tc>
        <w:tc>
          <w:tcPr>
            <w:tcW w:w="2268" w:type="dxa"/>
            <w:tcBorders/>
          </w:tcPr>
          <w:p>
            <w:pPr>
              <w:pStyle w:val="TableHeading"/>
              <w:bidi w:val="0"/>
              <w:rPr/>
            </w:pPr>
            <w:r>
              <w:rPr/>
              <w:t>Holzfeuchte %</w:t>
            </w:r>
          </w:p>
        </w:tc>
        <w:tc>
          <w:tcPr>
            <w:tcW w:w="2269" w:type="dxa"/>
            <w:tcBorders/>
          </w:tcPr>
          <w:p>
            <w:pPr>
              <w:pStyle w:val="TableHeading"/>
              <w:bidi w:val="0"/>
              <w:rPr/>
            </w:pPr>
            <w:r>
              <w:rPr/>
              <w:t>Bewertung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M1</w:t>
            </w:r>
          </w:p>
        </w:tc>
        <w:tc>
          <w:tcPr>
            <w:tcW w:w="2268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Sparren Nord</w:t>
            </w:r>
          </w:p>
        </w:tc>
        <w:tc>
          <w:tcPr>
            <w:tcW w:w="2268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24</w:t>
            </w:r>
          </w:p>
        </w:tc>
        <w:tc>
          <w:tcPr>
            <w:tcW w:w="2269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zu feucht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M2</w:t>
            </w:r>
          </w:p>
        </w:tc>
        <w:tc>
          <w:tcPr>
            <w:tcW w:w="2268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Sparren Süd</w:t>
            </w:r>
          </w:p>
        </w:tc>
        <w:tc>
          <w:tcPr>
            <w:tcW w:w="2268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14</w:t>
            </w:r>
          </w:p>
        </w:tc>
        <w:tc>
          <w:tcPr>
            <w:tcW w:w="2269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in Ordnung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M3</w:t>
            </w:r>
          </w:p>
        </w:tc>
        <w:tc>
          <w:tcPr>
            <w:tcW w:w="2268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Pfette</w:t>
            </w:r>
          </w:p>
        </w:tc>
        <w:tc>
          <w:tcPr>
            <w:tcW w:w="2268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19</w:t>
            </w:r>
          </w:p>
        </w:tc>
        <w:tc>
          <w:tcPr>
            <w:tcW w:w="2269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Grenzwert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M4</w:t>
            </w:r>
          </w:p>
        </w:tc>
        <w:tc>
          <w:tcPr>
            <w:tcW w:w="2268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Mauerbank</w:t>
            </w:r>
          </w:p>
        </w:tc>
        <w:tc>
          <w:tcPr>
            <w:tcW w:w="2268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27</w:t>
            </w:r>
          </w:p>
        </w:tc>
        <w:tc>
          <w:tcPr>
            <w:tcW w:w="2269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zu feucht</w:t>
            </w:r>
          </w:p>
        </w:tc>
      </w:tr>
    </w:tbl>
    <w:p>
      <w:pPr>
        <w:pStyle w:val="Table"/>
        <w:bidi w:val="0"/>
        <w:rPr/>
      </w:pPr>
      <w:bookmarkStart w:id="3" w:name="Ref_Tabelle0_label_and_number"/>
      <w:r>
        <w:rPr/>
        <w:t xml:space="preserve">Tabelle </w:t>
      </w:r>
      <w:r>
        <w:rPr/>
        <w:fldChar w:fldCharType="begin"/>
      </w:r>
      <w:r>
        <w:rPr/>
        <w:instrText xml:space="preserve"> SEQ Tabelle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3"/>
      <w:r>
        <w:rPr/>
        <w:t xml:space="preserve">: </w:t>
      </w:r>
      <w:r>
        <w:rPr/>
        <w:t>Holzfeuchte je Messpunkt</w:t>
      </w:r>
    </w:p>
    <w:p>
      <w:pPr>
        <w:pStyle w:val="BodyText"/>
        <w:bidi w:val="0"/>
        <w:spacing w:before="0" w:after="142"/>
        <w:rPr/>
      </w:pPr>
      <w:r>
        <w:rPr/>
        <mc:AlternateContent>
          <mc:Choice Requires="wps">
            <w:drawing>
              <wp:inline distT="0" distB="0" distL="0" distR="0">
                <wp:extent cx="4319905" cy="2700020"/>
                <wp:effectExtent l="0" t="0" r="0" b="0"/>
                <wp:docPr id="3" name="Diagramm" title="Balkendiagramm der Holzfeuchte: M1 24 %, M2 14 %, M3 19 %, M4 27 %" descr="Balkendiagramm der Holzfeuchte: M1 24 %, M2 14 %, M3 19 %, M4 27 %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Diagramm" descr="Balkendiagramm der Holzfeuchte: M1 24 %, M2 14 %, M3 19 %, M4 27 %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320000" cy="270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t" style="width:340.1pt;height:212.55pt;mso-wrap-style:none;v-text-anchor:middle" type="_x0000_t75">
                <v:imagedata r:id="rId5" o:detectmouseclick="t"/>
                <v:stroke color="#3465a4" joinstyle="round" endcap="flat"/>
              </v:shape>
            </w:pict>
          </mc:Fallback>
        </mc:AlternateContent>
      </w:r>
    </w:p>
    <w:p>
      <w:pPr>
        <w:pStyle w:val="Illustration"/>
        <w:bidi w:val="0"/>
        <w:rPr/>
      </w:pPr>
      <w:r>
        <w:rPr/>
        <w:t xml:space="preserve">Abbildung </w:t>
      </w:r>
      <w:r>
        <w:rPr/>
        <w:fldChar w:fldCharType="begin"/>
      </w:r>
      <w:r>
        <w:rPr/>
        <w:instrText xml:space="preserve"> SEQ Abbildung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Holzfeuchte je Messpunkt</w:t>
      </w:r>
    </w:p>
    <w:p>
      <w:pPr>
        <w:pStyle w:val="Heading1"/>
        <w:bidi w:val="0"/>
        <w:ind w:hanging="0" w:left="0"/>
        <w:rPr/>
      </w:pPr>
      <w:r>
        <w:rPr/>
        <w:t>Kosten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w="3024" w:type="dxa"/>
            <w:tcBorders/>
          </w:tcPr>
          <w:p>
            <w:pPr>
              <w:pStyle w:val="TableHeading"/>
              <w:bidi w:val="0"/>
              <w:rPr/>
            </w:pPr>
            <w:r>
              <w:rPr/>
              <w:t>Gewerk</w:t>
            </w:r>
          </w:p>
        </w:tc>
        <w:tc>
          <w:tcPr>
            <w:tcW w:w="3024" w:type="dxa"/>
            <w:tcBorders/>
          </w:tcPr>
          <w:p>
            <w:pPr>
              <w:pStyle w:val="TableHeading"/>
              <w:bidi w:val="0"/>
              <w:rPr/>
            </w:pPr>
            <w:r>
              <w:rPr/>
              <w:t>Leistung</w:t>
            </w:r>
          </w:p>
        </w:tc>
        <w:tc>
          <w:tcPr>
            <w:tcW w:w="3024" w:type="dxa"/>
            <w:tcBorders/>
          </w:tcPr>
          <w:p>
            <w:pPr>
              <w:pStyle w:val="TableHeading"/>
              <w:bidi w:val="0"/>
              <w:rPr/>
            </w:pPr>
            <w:r>
              <w:rPr/>
              <w:t>Betrag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Zimmerei</w:t>
            </w:r>
          </w:p>
        </w:tc>
        <w:tc>
          <w:tcPr>
            <w:tcW w:w="3024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Sparren ersetzen</w:t>
            </w:r>
          </w:p>
        </w:tc>
        <w:tc>
          <w:tcPr>
            <w:tcW w:w="3024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4.800,00</w:t>
            </w:r>
          </w:p>
        </w:tc>
      </w:tr>
      <w:tr>
        <w:trPr/>
        <w:tc>
          <w:tcPr>
            <w:tcW w:w="3024" w:type="dxa"/>
            <w:vMerge w:val="restart"/>
            <w:tcBorders/>
          </w:tcPr>
          <w:p>
            <w:pPr>
              <w:pStyle w:val="TableContents"/>
              <w:bidi w:val="0"/>
              <w:rPr/>
            </w:pPr>
            <w:r>
              <w:rPr/>
              <w:t>Spengler</w:t>
            </w:r>
          </w:p>
        </w:tc>
        <w:tc>
          <w:tcPr>
            <w:tcW w:w="3024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Rinne erneuern</w:t>
            </w:r>
          </w:p>
        </w:tc>
        <w:tc>
          <w:tcPr>
            <w:tcW w:w="3024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1.250,00</w:t>
            </w:r>
          </w:p>
        </w:tc>
      </w:tr>
      <w:tr>
        <w:trPr/>
        <w:tc>
          <w:tcPr>
            <w:tcW w:w="3024" w:type="dxa"/>
            <w:vMerge w:val="continue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024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Anschluss Kamin</w:t>
            </w:r>
          </w:p>
        </w:tc>
        <w:tc>
          <w:tcPr>
            <w:tcW w:w="3024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640,00</w:t>
            </w:r>
          </w:p>
        </w:tc>
      </w:tr>
      <w:tr>
        <w:trPr/>
        <w:tc>
          <w:tcPr>
            <w:tcW w:w="6048" w:type="dxa"/>
            <w:gridSpan w:val="2"/>
            <w:tcBorders/>
          </w:tcPr>
          <w:p>
            <w:pPr>
              <w:pStyle w:val="TableContents"/>
              <w:bidi w:val="0"/>
              <w:rPr/>
            </w:pPr>
            <w:r>
              <w:rPr/>
              <w:t>Summe netto</w:t>
            </w:r>
          </w:p>
        </w:tc>
        <w:tc>
          <w:tcPr>
            <w:tcW w:w="3024" w:type="dxa"/>
            <w:tcBorders/>
          </w:tcPr>
          <w:p>
            <w:pPr>
              <w:pStyle w:val="TableContents"/>
              <w:bidi w:val="0"/>
              <w:rPr/>
            </w:pPr>
            <w:r>
              <w:rPr/>
              <w:t>6.690,00</w:t>
            </w:r>
          </w:p>
        </w:tc>
      </w:tr>
    </w:tbl>
    <w:p>
      <w:pPr>
        <w:pStyle w:val="Table"/>
        <w:bidi w:val="0"/>
        <w:rPr/>
      </w:pPr>
      <w:r>
        <w:rPr/>
        <w:t xml:space="preserve">Tabelle </w:t>
      </w:r>
      <w:r>
        <w:rPr/>
        <w:fldChar w:fldCharType="begin"/>
      </w:r>
      <w:r>
        <w:rPr/>
        <w:instrText xml:space="preserve"> SEQ Tabelle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Kosten der Sanierung in Euro</w:t>
      </w:r>
    </w:p>
    <w:p>
      <w:pPr>
        <w:pStyle w:val="Heading1"/>
        <w:bidi w:val="0"/>
        <w:ind w:hanging="0" w:left="0"/>
        <w:rPr/>
      </w:pPr>
      <w:r>
        <w:rPr/>
        <w:t>Empfehlung</w:t>
      </w:r>
    </w:p>
    <w:p>
      <w:pPr>
        <w:pStyle w:val="BodyText"/>
        <w:bidi w:val="0"/>
        <w:spacing w:before="0" w:after="142"/>
        <w:rPr/>
      </w:pPr>
      <w:r>
        <w:rPr/>
        <w:t xml:space="preserve">Die feuchten Bauteile sind zu trocknen oder zu ersetzen. Normen und Merkblätter: </w:t>
      </w:r>
      <w:hyperlink r:id="rId6">
        <w:r>
          <w:rPr>
            <w:rStyle w:val="Hyperlink"/>
          </w:rPr>
          <w:t>Austrian Standards</w:t>
        </w:r>
      </w:hyperlink>
      <w:r>
        <w:rPr/>
        <w:t>.</w:t>
      </w:r>
    </w:p>
    <w:p>
      <w:pPr>
        <w:pStyle w:val="Heading2"/>
        <w:bidi w:val="0"/>
        <w:ind w:hanging="0" w:left="0"/>
        <w:rPr/>
      </w:pPr>
      <w:r>
        <w:rPr/>
        <w:t>Sofortmaßnahmen</w:t>
      </w:r>
    </w:p>
    <w:p>
      <w:pPr>
        <w:pStyle w:val="ListContents"/>
        <w:numPr>
          <w:ilvl w:val="0"/>
          <w:numId w:val="3"/>
        </w:numPr>
        <w:bidi w:val="0"/>
        <w:rPr/>
      </w:pPr>
      <w:r>
        <w:rPr/>
        <w:t>Rinne an der Nordseite abdichten</w:t>
      </w:r>
    </w:p>
    <w:p>
      <w:pPr>
        <w:pStyle w:val="ListContents"/>
        <w:numPr>
          <w:ilvl w:val="0"/>
          <w:numId w:val="3"/>
        </w:numPr>
        <w:bidi w:val="0"/>
        <w:rPr/>
      </w:pPr>
      <w:r>
        <w:rPr/>
        <w:t>Sparren Nord abstützen</w:t>
      </w:r>
      <w:r>
        <w:rPr>
          <w:rStyle w:val="FootnoteReference"/>
        </w:rPr>
        <w:footnoteReference w:id="4"/>
      </w:r>
    </w:p>
    <w:p>
      <w:pPr>
        <w:pStyle w:val="ListContents"/>
        <w:numPr>
          <w:ilvl w:val="0"/>
          <w:numId w:val="3"/>
        </w:numPr>
        <w:bidi w:val="0"/>
        <w:rPr/>
      </w:pPr>
      <w:r>
        <w:rPr/>
        <w:t>Raum täglich lüften</w:t>
      </w:r>
    </w:p>
    <w:p>
      <w:pPr>
        <w:pStyle w:val="BodyText"/>
        <w:bidi w:val="0"/>
        <w:spacing w:before="0" w:after="142"/>
        <w:rPr/>
      </w:pPr>
      <w:r>
        <w:rPr/>
        <mc:AlternateContent>
          <mc:Choice Requires="wps">
            <w:drawing>
              <wp:inline distT="0" distB="0" distL="0" distR="0">
                <wp:extent cx="5400040" cy="71755"/>
                <wp:effectExtent l="0" t="0" r="0" b="0"/>
                <wp:docPr id="5" name="Zierlini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Zierlinie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400000" cy="71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t" style="width:425.15pt;height:5.6pt;mso-wrap-style:none;v-text-anchor:middle" type="_x0000_t75">
                <v:imagedata r:id="rId8" o:detectmouseclick="t"/>
                <v:stroke color="#3465a4" joinstyle="round" endcap="flat"/>
              </v:shape>
            </w:pict>
          </mc:Fallback>
        </mc:AlternateContent>
      </w:r>
    </w:p>
    <w:p>
      <w:pPr>
        <w:pStyle w:val="BodyText"/>
        <w:bidi w:val="0"/>
        <w:spacing w:before="0" w:after="142"/>
        <w:rPr/>
      </w:pPr>
      <w:r>
        <w:rPr/>
        <w:t>Innsbruck, 13. Oktober 2026</w:t>
      </w:r>
    </w:p>
    <w:sectPr>
      <w:footnotePr>
        <w:numFmt w:val="decimal"/>
      </w:footnotePr>
      <w:type w:val="nextPage"/>
      <w:pgSz w:w="11906" w:h="16838"/>
      <w:pgMar w:left="1417" w:right="1417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erif">
    <w:charset w:val="01"/>
    <w:family w:val="roman"/>
    <w:pitch w:val="default"/>
  </w:font>
  <w:font w:name="DejaVu Sans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rPr/>
        <w:t>Messung mit Widerstandsmessgerät nach ÖNORM B 3802-2.</w:t>
      </w:r>
    </w:p>
  </w:footnote>
  <w:footnote w:id="3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rPr/>
        <w:t>Grenzwert für tragendes Bauholz: 20 Prozent Holzfeuchte.</w:t>
      </w:r>
    </w:p>
  </w:footnote>
  <w:footnote w:id="4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rPr/>
        <w:t>Abstützung nach Angabe des Statikers vom 10. Oktober 2026.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54" w:hanging="227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794" w:hanging="227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54" w:hanging="340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WenQuanYi Zen Hei" w:cs="Noto Sans"/>
        <w:kern w:val="2"/>
        <w:sz w:val="22"/>
        <w:szCs w:val="24"/>
        <w:lang w:val="de-A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WenQuanYi Zen Hei" w:cs="Noto Sans"/>
      <w:color w:val="auto"/>
      <w:kern w:val="2"/>
      <w:sz w:val="22"/>
      <w:szCs w:val="24"/>
      <w:lang w:val="de-AT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sz w:val="30"/>
    </w:rPr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>
      <w:sz w:val="26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qFormat/>
    <w:pPr/>
    <w:rPr>
      <w:rFonts w:ascii="DejaVu Sans" w:hAnsi="DejaVu Sans"/>
      <w:b/>
    </w:rPr>
  </w:style>
  <w:style w:type="paragraph" w:styleId="BodyText">
    <w:name w:val="Body Text"/>
    <w:basedOn w:val="Normal"/>
    <w:pPr>
      <w:spacing w:before="0" w:after="142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Contents">
    <w:name w:val="List Contents"/>
    <w:basedOn w:val="Normal"/>
    <w:qFormat/>
    <w:pPr/>
    <w:rPr/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itle">
    <w:name w:val="Title"/>
    <w:basedOn w:val="Heading"/>
    <w:qFormat/>
    <w:pPr/>
    <w:rPr>
      <w:sz w:val="40"/>
    </w:rPr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/>
    <w:rPr>
      <w:b/>
    </w:rPr>
  </w:style>
  <w:style w:type="paragraph" w:styleId="FootnoteText">
    <w:name w:val="footnote text"/>
    <w:basedOn w:val="Normal"/>
    <w:pPr/>
    <w:rPr>
      <w:sz w:val="18"/>
    </w:rPr>
  </w:style>
  <w:style w:type="numbering" w:styleId="Bullet">
    <w:name w:val="Bullet •"/>
    <w:qFormat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hyperlink" Target="https://www.austrian-standards.at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footnotes" Target="footnote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de-AT</dc:language>
  <cp:lastModifiedBy>Büro Beispiel Bautechnik</cp:lastModifiedBy>
  <dcterms:modified xsi:type="dcterms:W3CDTF">2026-10-13T08:00:00Z</dcterms:modified>
  <cp:revision>0</cp:revision>
  <dc:subject/>
  <dc:title>Prüfbericht Dachstuhl Haus Nr. 12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pro:id">
    <vt:lpwstr>urn:uuid:7d1e5c3a-4b2f-4e6a-9c8d-0f1a2b3c4d5e</vt:lpwstr>
  </property>
</Properties>
</file>