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微软雅黑" w:eastAsia="微软雅黑" w:hAnsi="微软雅黑"/>
          <w:b/>
          <w:bCs/>
          <w:color w:val="000000"/>
          <w:sz w:val="32"/>
          <w:szCs w:val="32"/>
        </w:rPr>
        <w:t xml:space="preserve">附加题加分素材</w:t>
      </w:r>
    </w:p>
    <w:p>
      <w:pPr>
        <w:pBdr>
          <w:left w:val="single" w:color="AAAAAA" w:sz="12" w:space="8"/>
        </w:pBdr>
        <w:spacing w:after="40" w:before="40"/>
        <w:ind w:left="360"/>
      </w:pPr>
      <w:r>
        <w:rPr>
          <w:color w:val="555555"/>
          <w:sz w:val="20"/>
          <w:szCs w:val="20"/>
        </w:rPr>
        <w:t xml:space="preserve">定位：考试"专业实在"——素材侧重</w:t>
      </w:r>
      <w:r>
        <w:rPr>
          <w:b/>
          <w:bCs/>
          <w:color w:val="555555"/>
          <w:sz w:val="20"/>
          <w:szCs w:val="20"/>
        </w:rPr>
        <w:t xml:space="preserve">应用案例</w:t>
      </w:r>
      <w:r>
        <w:rPr>
          <w:color w:val="555555"/>
          <w:sz w:val="20"/>
          <w:szCs w:val="20"/>
        </w:rPr>
        <w:t xml:space="preserve">与</w:t>
      </w:r>
      <w:r>
        <w:rPr>
          <w:b/>
          <w:bCs/>
          <w:color w:val="555555"/>
          <w:sz w:val="20"/>
          <w:szCs w:val="20"/>
        </w:rPr>
        <w:t xml:space="preserve">方法评价</w:t>
      </w:r>
      <w:r>
        <w:rPr>
          <w:color w:val="555555"/>
          <w:sz w:val="20"/>
          <w:szCs w:val="20"/>
        </w:rPr>
        <w:t xml:space="preserve">，历史只做一句话锚点。</w:t>
      </w:r>
    </w:p>
    <w:p>
      <w:pPr>
        <w:pBdr>
          <w:left w:val="single" w:color="AAAAAA" w:sz="12" w:space="8"/>
        </w:pBdr>
        <w:spacing w:after="40" w:before="40"/>
        <w:ind w:left="360"/>
      </w:pPr>
      <w:r>
        <w:rPr>
          <w:color w:val="555555"/>
          <w:sz w:val="20"/>
          <w:szCs w:val="20"/>
        </w:rPr>
        <w:t xml:space="preserve">用法：论述题结尾升华、附加题填肉。每条都能独立成段。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一、方法评价速查（每方法一句优点一句缺点）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方法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一句优点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b/>
                <w:bCs/>
                <w:sz w:val="18"/>
                <w:szCs w:val="18"/>
              </w:rPr>
              <w:t xml:space="preserve">一句缺点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K-means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计算复杂度低，大样本可行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需预先给 k，对离群点非常敏感，只适合成团分布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层次聚类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免指定类数，输出多粒度层次结构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计算与空间复杂度很高，难上大数据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决策树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决策过程可显式解释，无分布假设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对训练样本敏感、极易过拟合，须剪枝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Kappa 系数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扣除偶然一致，抗类别不平衡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仍是单一数值，掩盖各类别的具体错分方向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Pearson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直观、检验体系成熟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要正态、只测线性、怕极端值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Spearman/Kendall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免正态、测单调、抗离群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损失原始量值信息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Moran's I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一个数概括全区聚集程度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分不清高值聚集还是低值聚集，且掩盖局部差异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Gi\* 热点分析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直接输出分置信度热冷点图，决策友好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依赖距离阈值/权重矩阵的设定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OLS 回归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简单、可解释、检验完备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空间数据违反独立性假设，残差空间聚集时失效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SLM/SEM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显式建模空间依赖，提升拟合并还原机制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全局系数；不能 OLS 估计，须 ML/GMM；依赖 W 的设定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GWR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一地一方程，最大限度展示空间异质性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带宽选择敏感（偏差-方差权衡）；参数多、易过拟合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缓冲区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简单直观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直线距离忽视真实路网阻隔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Dijkstra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经典可靠、可有向图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不能负权，大网络效率低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空间阻隔可达性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计算简单直观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忽略目的地吸引力与人的活动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机会累积可达性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符合直觉、同范围内可比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阈值依赖，无法反映区域体系地位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IDW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快、易解释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权重人为定、无误差估计、牛眼效应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样条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光滑、精确、保细节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波动大的变量不适用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趋势面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提炼宏观趋势、检测最大偏离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高阶振荡、物理意义难解释</w:t>
            </w:r>
          </w:p>
        </w:tc>
      </w:tr>
      <w:tr>
        <w:trPr>
          <w:tblHeader w:val="false"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克里金</w:t>
            </w:r>
          </w:p>
        </w:tc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线性无偏最优+自带误差估计</w:t>
            </w:r>
          </w:p>
        </w:tc>
        <w:tc>
          <w:tcPr>
            <w:tcW w:type="dxa" w:w="30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sz w:val="18"/>
                <w:szCs w:val="18"/>
              </w:rPr>
              <w:t xml:space="preserve">需平稳假设与变异函数建模，流程重</w:t>
            </w:r>
          </w:p>
        </w:tc>
      </w:tr>
    </w:tbl>
    <w:p>
      <w:pPr>
        <w:spacing w:after="60"/>
      </w:pP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二、应用案例库（偏城市规划，优先用课件自带案例）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课件原生案例（首选引用，显得"上过课"）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1. </w:t>
      </w:r>
      <w:r>
        <w:rPr>
          <w:b/>
          <w:bCs/>
          <w:sz w:val="21"/>
          <w:szCs w:val="21"/>
        </w:rPr>
        <w:t xml:space="preserve">John Snow 伦敦霍乱（1854）</w:t>
      </w:r>
      <w:r>
        <w:rPr>
          <w:sz w:val="21"/>
          <w:szCs w:val="21"/>
        </w:rPr>
        <w:t xml:space="preserve">：病死者定位+水井叠加 → 锁定宽街水泵。用途：空间分析价值的万能开场/收尾。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2. </w:t>
      </w:r>
      <w:r>
        <w:rPr>
          <w:b/>
          <w:bCs/>
          <w:sz w:val="21"/>
          <w:szCs w:val="21"/>
        </w:rPr>
        <w:t xml:space="preserve">深圳各区常住人口描述统计</w:t>
      </w:r>
      <w:r>
        <w:rPr>
          <w:sz w:val="21"/>
          <w:szCs w:val="21"/>
        </w:rPr>
        <w:t xml:space="preserve">：标准差 37.7 万人、CV=84.4% → 深圳人口空间高度不均。用途：描述统计应用、引出空间不均衡议题。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3. </w:t>
      </w:r>
      <w:r>
        <w:rPr>
          <w:b/>
          <w:bCs/>
          <w:sz w:val="21"/>
          <w:szCs w:val="21"/>
        </w:rPr>
        <w:t xml:space="preserve">深圳 TAZ 工作日人口密度空间自相关</w:t>
      </w:r>
      <w:r>
        <w:rPr>
          <w:sz w:val="21"/>
          <w:szCs w:val="21"/>
        </w:rPr>
        <w:t xml:space="preserve">：全局 Moran's I 显著为正（p≈0）→ 局部 Moran + Gi\* 分置信度热冷点图。用途：全局→局部标准作业流的实例。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4. </w:t>
      </w:r>
      <w:r>
        <w:rPr>
          <w:b/>
          <w:bCs/>
          <w:sz w:val="21"/>
          <w:szCs w:val="21"/>
        </w:rPr>
        <w:t xml:space="preserve">美国南部县室内极端案件（犯罪）空间回归</w:t>
      </w:r>
      <w:r>
        <w:rPr>
          <w:sz w:val="21"/>
          <w:szCs w:val="21"/>
        </w:rPr>
        <w:t xml:space="preserve">：OLS R²=0.104 → LM 检验（Robust LM-lag 显著）→ SLM R²=0.159、残差自相关≈0。用途：空间回归选型全流程实例。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5. </w:t>
      </w:r>
      <w:r>
        <w:rPr>
          <w:b/>
          <w:bCs/>
          <w:sz w:val="21"/>
          <w:szCs w:val="21"/>
        </w:rPr>
        <w:t xml:space="preserve">美国膀胱癌死亡率 GWR</w:t>
      </w:r>
      <w:r>
        <w:rPr>
          <w:sz w:val="21"/>
          <w:szCs w:val="21"/>
        </w:rPr>
        <w:t xml:space="preserve">：OLS R²=0.25 → GWR R²=0.52，系数图揭示局部负相关。用途：空间异质性"被平均掩盖"的铁证。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6. </w:t>
      </w:r>
      <w:r>
        <w:rPr>
          <w:b/>
          <w:bCs/>
          <w:sz w:val="21"/>
          <w:szCs w:val="21"/>
        </w:rPr>
        <w:t xml:space="preserve">佐治亚州学士学位比例 GWR</w:t>
      </w:r>
      <w:r>
        <w:rPr>
          <w:sz w:val="21"/>
          <w:szCs w:val="21"/>
        </w:rPr>
        <w:t xml:space="preserve">：0.24→0.30，AIC 选带宽 49.46。用途：GWR 第二例证。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7. </w:t>
      </w:r>
      <w:r>
        <w:rPr>
          <w:b/>
          <w:bCs/>
          <w:sz w:val="21"/>
          <w:szCs w:val="21"/>
        </w:rPr>
        <w:t xml:space="preserve">深圳义务教育段中小学选址</w:t>
      </w:r>
      <w:r>
        <w:rPr>
          <w:sz w:val="21"/>
          <w:szCs w:val="21"/>
        </w:rPr>
        <w:t xml:space="preserve">：公共服务均等化评估预警（网络分析定位问题）。用途：定位配置分析+本校研究方向，答"空间分析在城市规划中的应用"首选。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8. </w:t>
      </w:r>
      <w:r>
        <w:rPr>
          <w:b/>
          <w:bCs/>
          <w:sz w:val="21"/>
          <w:szCs w:val="21"/>
        </w:rPr>
        <w:t xml:space="preserve">消防站辖区分配</w:t>
      </w:r>
      <w:r>
        <w:rPr>
          <w:sz w:val="21"/>
          <w:szCs w:val="21"/>
        </w:rPr>
        <w:t xml:space="preserve">：道路距离为权、同时广度搜索、容量约束。用途：分配问题实例。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9. </w:t>
      </w:r>
      <w:r>
        <w:rPr>
          <w:b/>
          <w:bCs/>
          <w:sz w:val="21"/>
          <w:szCs w:val="21"/>
        </w:rPr>
        <w:t xml:space="preserve">土地适宜性评价</w:t>
      </w:r>
      <w:r>
        <w:rPr>
          <w:sz w:val="21"/>
          <w:szCs w:val="21"/>
        </w:rPr>
        <w:t xml:space="preserve">：多栅格重分类+叠置运算。用途：叠加分析实例。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10. </w:t>
      </w:r>
      <w:r>
        <w:rPr>
          <w:b/>
          <w:bCs/>
          <w:sz w:val="21"/>
          <w:szCs w:val="21"/>
        </w:rPr>
        <w:t xml:space="preserve">LUR 模拟城市大气污染</w:t>
      </w:r>
      <w:r>
        <w:rPr>
          <w:sz w:val="21"/>
          <w:szCs w:val="21"/>
        </w:rPr>
        <w:t xml:space="preserve">：污染浓度 ~ 土地利用/交通/人口 → 全域插值。用途：插值+回归的交叉应用。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11. </w:t>
      </w:r>
      <w:r>
        <w:rPr>
          <w:b/>
          <w:bCs/>
          <w:sz w:val="21"/>
          <w:szCs w:val="21"/>
        </w:rPr>
        <w:t xml:space="preserve">胡焕庸线</w:t>
      </w:r>
      <w:r>
        <w:rPr>
          <w:sz w:val="21"/>
          <w:szCs w:val="21"/>
        </w:rPr>
        <w:t xml:space="preserve">：中国人口地理分界。用途：空间异质性/空间分布不均的中国经典例。</w:t>
      </w:r>
    </w:p>
    <w:p>
      <w:pPr>
        <w:pStyle w:val="Heading3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4"/>
          <w:szCs w:val="24"/>
        </w:rPr>
        <w:t xml:space="preserve">可补充的通用案例（一句话点到即可）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房价空间分析：房价的空间自相关（SLM——邻里房价传导）与影响因素的空间异质（GWR——学区变量在不同城区系数不同）。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疫情传播：意大利→法英 vs 韩国（课件自带的空间依赖例子），SIR+空间权重。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城市热岛：温度插值（克里金）+ 与绿地覆盖的 GWR。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共享单车/网约车热点：KDE + Gi\*，指导投放调度。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三、"升华句"仓库（论述题结尾用，每题选一句）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1. 空间统计的核心贡献，是把 Tobler 第一定律从一句格言变成了可计算、可检验、可利用的模型构件。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2. 空间相关性对经典统计是"违反假设的麻烦"，对空间统计是"可以借力的资源"——克里金和空间滞后模型的预测能力正来源于此。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3. 全局指标回答"有没有"，局部指标回答"在哪里"，回归模型回答"为什么"，插值回答"没测的地方是多少"——四类方法合起来才是完整的空间分析链。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4. 方法没有优劣，只有假设是否匹配数据：正态与否选相关系数，依赖或异质选 SAR 或 GWR，平稳与否选普通或泛克里金。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5. 从 John Snow 的手绘地图到 GeoDa/PySAL 的一键计算，变的是算力，不变的是"把数据放回空间中去理解"的思想。</w:t>
      </w:r>
    </w:p>
    <w:p>
      <w:pPr>
        <w:spacing w:after="20" w:before="20"/>
        <w:ind w:left="540" w:hanging="360"/>
      </w:pPr>
      <w:r>
        <w:rPr>
          <w:sz w:val="21"/>
          <w:szCs w:val="21"/>
        </w:rPr>
        <w:t xml:space="preserve">6. 空间权重矩阵是整门课的隐形主角——定义了"谁是邻居"，就定义了模型能看见怎样的空间。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四、一句话历史锚点（点到为止，不展开）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正态分布：高斯 1809 从误差理论导出；20 世纪初小样本革命催生 t/F/卡方。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"回归"：高尔顿遗传研究，身高"向均值回归"。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Tobler 第一定律：1970。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Dijkstra：1959。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泰森多边形：气象学家 Thiessen，为估算降水分布而生。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克里金：南非矿业工程师 Krige（1951）金矿品位估计 → 法国 Matheron 理论化，地统计学由此创立。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sz w:val="21"/>
          <w:szCs w:val="21"/>
        </w:rPr>
        <w:t xml:space="preserve">空间大数据：2011 年 Science 专刊宣告大数据时代；80% 数据与空间位置相关。</w:t>
      </w:r>
    </w:p>
    <w:p>
      <w:pPr>
        <w:pStyle w:val="Heading2"/>
        <w:spacing w:after="120" w:before="200"/>
      </w:pPr>
      <w:r>
        <w:rPr>
          <w:rFonts w:ascii="微软雅黑" w:eastAsia="微软雅黑" w:hAnsi="微软雅黑"/>
          <w:b/>
          <w:bCs/>
          <w:color w:val="000000"/>
          <w:sz w:val="28"/>
          <w:szCs w:val="28"/>
        </w:rPr>
        <w:t xml:space="preserve">五、软件与工具（附加题"你会用什么工具"）</w:t>
      </w:r>
    </w:p>
    <w:p>
      <w:pPr>
        <w:spacing w:after="80" w:before="40"/>
      </w:pPr>
      <w:r>
        <w:rPr>
          <w:sz w:val="21"/>
          <w:szCs w:val="21"/>
        </w:rPr>
        <w:t xml:space="preserve">课件点名：</w:t>
      </w:r>
      <w:r>
        <w:rPr>
          <w:b/>
          <w:bCs/>
          <w:sz w:val="21"/>
          <w:szCs w:val="21"/>
        </w:rPr>
        <w:t xml:space="preserve">ArcGIS、QGIS、SPSS、GeoDa（空间自相关/空间回归）、PySAL（Python 空间分析库）</w:t>
      </w:r>
      <w:r>
        <w:rPr>
          <w:sz w:val="21"/>
          <w:szCs w:val="21"/>
        </w:rPr>
        <w:t xml:space="preserve">；网络分析实验用 </w:t>
      </w:r>
      <w:r>
        <w:rPr>
          <w:b/>
          <w:bCs/>
          <w:sz w:val="21"/>
          <w:szCs w:val="21"/>
        </w:rPr>
        <w:t xml:space="preserve">OSM+OSMnx</w:t>
      </w:r>
      <w:r>
        <w:rPr>
          <w:sz w:val="21"/>
          <w:szCs w:val="21"/>
        </w:rPr>
        <w:t xml:space="preserve">；分类实验用 </w:t>
      </w:r>
      <w:r>
        <w:rPr>
          <w:b/>
          <w:bCs/>
          <w:sz w:val="21"/>
          <w:szCs w:val="21"/>
        </w:rPr>
        <w:t xml:space="preserve">Weka</w:t>
      </w:r>
      <w:r>
        <w:rPr>
          <w:sz w:val="21"/>
          <w:szCs w:val="21"/>
        </w:rPr>
        <w:t xml:space="preserve">。答题带一两个名字即可显示动手经验。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  <w:lvl w:ilvl="1" w15:tentative="1">
      <w:start w:val="1"/>
      <w:numFmt w:val="bullet"/>
      <w:lvlText w:val="◦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eastAsia="宋体" w:hAnsi="宋体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微软雅黑" w:eastAsia="微软雅黑" w:hAnsi="微软雅黑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微软雅黑" w:eastAsia="微软雅黑" w:hAnsi="微软雅黑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微软雅黑" w:eastAsia="微软雅黑" w:hAnsi="微软雅黑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微软雅黑" w:eastAsia="微软雅黑" w:hAnsi="微软雅黑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2026-07-07T10:49:41.166Z</dcterms:created>
  <dcterms:modified xsi:type="dcterms:W3CDTF">2026-07-07T10:49:41.166Z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