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Island Tours, Cookiebot build handover (Arnav)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Consent posture: Option A, off by default everywhere. The opt-in banner shows to all visitors and nothing non-essential loads until the user agrees.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Cookiebot access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Login: https://manage.cookiebot.com/en/login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Email: info@island.tours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Password: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Build items (Arnav)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Consent-gate the referral and click-id cookies.</w:t>
      </w:r>
      <w:r w:rsidDel="00000000" w:rsidR="00000000" w:rsidRPr="00000000">
        <w:rPr>
          <w:rtl w:val="0"/>
        </w:rPr>
        <w:t xml:space="preserve"> it_gclid, it_gbraid, it_wbraid, it_fbclid, and it_utm_* must not be set on landing as strictly necessary. Set them only after the user consents to Advertising and measurement, or capture the attribution server-side without a cookie. Re-categorise them to Marketing in the Cookiebot list as well.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Server-side Meta CAPI only after consent.</w:t>
      </w:r>
      <w:r w:rsidDel="00000000" w:rsidR="00000000" w:rsidRPr="00000000">
        <w:rPr>
          <w:rtl w:val="0"/>
        </w:rPr>
        <w:t xml:space="preserve"> The server-side measurement (CAPI) must fire only after consent, the same as the browser pixel. Enforce this in the build.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Consent Mode v2 regional config.</w:t>
      </w:r>
      <w:r w:rsidDel="00000000" w:rsidR="00000000" w:rsidRPr="00000000">
        <w:rPr>
          <w:rtl w:val="0"/>
        </w:rPr>
        <w:t xml:space="preserve"> The tracking spec's plan to grant basic tracking by default in the US, Canada, and Australia is superseded by Option A: deny by default in every region. Update the regional Consent Mode config and wire the four signals (ad_storage, analytics_storage, ad_user_data, ad_personalization) to Cookiebot.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Manage Cookies, pattern 2.</w:t>
      </w:r>
      <w:r w:rsidDel="00000000" w:rsidR="00000000" w:rsidRPr="00000000">
        <w:rPr>
          <w:rtl w:val="0"/>
        </w:rPr>
        <w:t xml:space="preserve"> Wire the footer "Manage Cookies" link to Cookiebot.renew() so it reopens the Cookiebot dialog with the category toggles. No embedded declaration page. One hard rule: the reopened dialog must keep the same equal, one-click Reject as the first banner. Cookiebot includes it by default with the button config (Reject all / Selection / Allow all), so just do not remove it. Rejecting must stay as easy as accepting at every layer (EDPB and Dutch AP requirement).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Honour Global Privacy Control.</w:t>
      </w:r>
      <w:r w:rsidDel="00000000" w:rsidR="00000000" w:rsidRPr="00000000">
        <w:rPr>
          <w:rtl w:val="0"/>
        </w:rPr>
        <w:t xml:space="preserve"> Treat GPC as a valid opt-out signal; the Cookie Policy promises this.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Guardrail: keep Cookie-blocking mode on Auto.</w:t>
      </w:r>
      <w:r w:rsidDel="00000000" w:rsidR="00000000" w:rsidRPr="00000000">
        <w:rPr>
          <w:rtl w:val="0"/>
        </w:rPr>
        <w:t xml:space="preserve"> This holds third-party cookies until consent. Do not switch it off.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Cookiebot admin, still to confirm (Denley, most already done)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Geotargeting set to all visitors, not EU/EEA only, so the banner shows to everyone (covers the UK, Switzerland, and Curacao too).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Consent Mode v2 set to deny by default in every region, for all four signals, until the user consents.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Live scan and categorisation: run a fresh scan; check that _ga and _ga_* sit under Statistics (if Statistics shows 0, confirm there is simply no Google Analytics on the site); classify the two Unclassified cookies so Unclassified reaches 0; confirm the Stripe and security cookies are Necessary. Rescan when the Next.js platform launches.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