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t16w16o6v8k" w:id="0"/>
      <w:bookmarkEnd w:id="0"/>
      <w:r w:rsidDel="00000000" w:rsidR="00000000" w:rsidRPr="00000000">
        <w:rPr>
          <w:rtl w:val="0"/>
        </w:rPr>
        <w:t xml:space="preserve">Island Tours legal pages, handover for the dev team</w:t>
      </w:r>
    </w:p>
    <w:p w:rsidR="00000000" w:rsidDel="00000000" w:rsidP="00000000" w:rsidRDefault="00000000" w:rsidRPr="00000000" w14:paraId="00000002">
      <w:pPr>
        <w:rPr/>
      </w:pPr>
      <w:r w:rsidDel="00000000" w:rsidR="00000000" w:rsidRPr="00000000">
        <w:rPr>
          <w:rtl w:val="0"/>
        </w:rPr>
        <w:t xml:space="preserve">This folder contains the six consumer legal pages as publish-ready text. Each file is the exact text to put on the site. The internal legal analysis lives elsewhere and is deliberately not in this folder.</w:t>
      </w:r>
    </w:p>
    <w:p w:rsidR="00000000" w:rsidDel="00000000" w:rsidP="00000000" w:rsidRDefault="00000000" w:rsidRPr="00000000" w14:paraId="00000003">
      <w:pPr>
        <w:pStyle w:val="Heading2"/>
        <w:rPr/>
      </w:pPr>
      <w:bookmarkStart w:colFirst="0" w:colLast="0" w:name="_7aucncwij7ib" w:id="1"/>
      <w:bookmarkEnd w:id="1"/>
      <w:r w:rsidDel="00000000" w:rsidR="00000000" w:rsidRPr="00000000">
        <w:rPr>
          <w:rtl w:val="0"/>
        </w:rPr>
        <w:t xml:space="preserve">Files, pages, and slugs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Site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Slug (route)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1-legal-notice.md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Legal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/[locale]/legal-notice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2-terms-of-service.md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Terms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/[locale]/terms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3-cancellation-policy.md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Cancellation and Refund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/[locale]/cancellation-policy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4-privacy-policy.md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Privacy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/[locale]/privacy-policy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5-cookie-policy.md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Cookie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/[locale]/cookie-policy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6-manage-cookies.md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Manage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/[locale]/manage-cookies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Slugs are lowercase and hyphenated, English on every locale (for example /en/terms and /nl/terms use the same slug), with the locale prefix. Each file starts with the page title (## heading) and ends with the "Island Tours. Built by Islanders." sign-off, which is part of the page. Use the text verbatim; do not paraphrase the legal clauses.</w:t>
      </w:r>
    </w:p>
    <w:p w:rsidR="00000000" w:rsidDel="00000000" w:rsidP="00000000" w:rsidRDefault="00000000" w:rsidRPr="00000000" w14:paraId="0000001B">
      <w:pPr>
        <w:pStyle w:val="Heading2"/>
        <w:rPr/>
      </w:pPr>
      <w:bookmarkStart w:colFirst="0" w:colLast="0" w:name="_ypeg60bl1rvh" w:id="2"/>
      <w:bookmarkEnd w:id="2"/>
      <w:r w:rsidDel="00000000" w:rsidR="00000000" w:rsidRPr="00000000">
        <w:rPr>
          <w:rtl w:val="0"/>
        </w:rPr>
        <w:t xml:space="preserve">Routes and slugs (for the Slug Registry)</w:t>
      </w:r>
    </w:p>
    <w:p w:rsidR="00000000" w:rsidDel="00000000" w:rsidP="00000000" w:rsidRDefault="00000000" w:rsidRPr="00000000" w14:paraId="0000001C">
      <w:pPr>
        <w:rPr/>
      </w:pPr>
      <w:r w:rsidDel="00000000" w:rsidR="00000000" w:rsidRPr="00000000">
        <w:rPr>
          <w:rtl w:val="0"/>
        </w:rPr>
        <w:t xml:space="preserve">These six are global pages, not content pages, so they are not in the existing Slug Registry (which covers destinations, categories, tours, activity hubs, and collections). They sit at the same path level as a destination slug (/[locale]/curacao/...), so: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Reserve these six words globally, or define them as static routes that take precedence over the dynamic [slug] route, so no destination or category can ever collide with them (no one can create a destination called "terms" or "privacy-policy").</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Alternative, if you prefer to reserve only one word: group them under /legal/, for example /[locale]/legal/terms. Then only "legal" needs reserving.</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Set Manage Cookies to noindex (it is a utility page); the other five may be indexed.</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The footer "Legal" column links to these pages.</w:t>
      </w:r>
    </w:p>
    <w:p w:rsidR="00000000" w:rsidDel="00000000" w:rsidP="00000000" w:rsidRDefault="00000000" w:rsidRPr="00000000" w14:paraId="00000022">
      <w:pPr>
        <w:pStyle w:val="Heading2"/>
        <w:rPr/>
      </w:pPr>
      <w:bookmarkStart w:colFirst="0" w:colLast="0" w:name="_3p3kehxrbyku" w:id="3"/>
      <w:bookmarkEnd w:id="3"/>
      <w:r w:rsidDel="00000000" w:rsidR="00000000" w:rsidRPr="00000000">
        <w:rPr>
          <w:rtl w:val="0"/>
        </w:rPr>
        <w:t xml:space="preserve">What the build must wire up, not just paste</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Manage Cookies page:</w:t>
      </w:r>
      <w:r w:rsidDel="00000000" w:rsidR="00000000" w:rsidRPr="00000000">
        <w:rPr>
          <w:rtl w:val="0"/>
        </w:rPr>
        <w:t xml:space="preserve"> the "[Open your cookie settings]" block is a button that reopens the Cookiebot dialog via Cookiebot.renew(). The footer "Manage Cookies" (or "Cookie Settings") link calls the same renew(). Do not hand-build toggles; Cookiebot renders the preference center. The four category names must match the Cookie Policy exactly, and strictly necessary stays locked on.</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Cookie Policy table:</w:t>
      </w:r>
      <w:r w:rsidDel="00000000" w:rsidR="00000000" w:rsidRPr="00000000">
        <w:rPr>
          <w:rtl w:val="0"/>
        </w:rPr>
        <w:t xml:space="preserve"> the cookie list is kept current by the live Cookiebot scan, not hard-coded. Run a live scan and reconcile before launch, and re-scan when the Next.js platform goes live.</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Consent posture:</w:t>
      </w:r>
      <w:r w:rsidDel="00000000" w:rsidR="00000000" w:rsidRPr="00000000">
        <w:rPr>
          <w:rtl w:val="0"/>
        </w:rPr>
        <w:t xml:space="preserve"> off by default everywhere (Option A). Consent Mode v2 with all four signals (ad_storage, analytics_storage, ad_user_data, ad_personalization) denied by default until the user consents.</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Referral and click-id cookies (it_gclid, it_gbraid, it_wbraid, it_fbclid, it_utm_*):</w:t>
      </w:r>
      <w:r w:rsidDel="00000000" w:rsidR="00000000" w:rsidRPr="00000000">
        <w:rPr>
          <w:rtl w:val="0"/>
        </w:rPr>
        <w:t xml:space="preserve"> set these only after the user consents to advertising and measurement, never on landing, or capture the attribution server-side without a cookie. They are not strictly necessary.</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Server-side Meta CAPI:</w:t>
      </w:r>
      <w:r w:rsidDel="00000000" w:rsidR="00000000" w:rsidRPr="00000000">
        <w:rPr>
          <w:rtl w:val="0"/>
        </w:rPr>
        <w:t xml:space="preserve"> fires only after consent, the same as the browser pixel.</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Global Privacy Control:</w:t>
      </w:r>
      <w:r w:rsidDel="00000000" w:rsidR="00000000" w:rsidRPr="00000000">
        <w:rPr>
          <w:rtl w:val="0"/>
        </w:rPr>
        <w:t xml:space="preserve"> honor an incoming GPC signal as an opt-out of the non-essential categories.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The full Cookiebot configuration and build checklist is in island-tours-cookiebot-settings-review.md (the Cookiebot handover).</w:t>
      </w:r>
    </w:p>
    <w:p w:rsidR="00000000" w:rsidDel="00000000" w:rsidP="00000000" w:rsidRDefault="00000000" w:rsidRPr="00000000" w14:paraId="0000002A">
      <w:pPr>
        <w:pStyle w:val="Heading2"/>
        <w:rPr/>
      </w:pPr>
      <w:bookmarkStart w:colFirst="0" w:colLast="0" w:name="_497w1un45uj3" w:id="4"/>
      <w:bookmarkEnd w:id="4"/>
      <w:r w:rsidDel="00000000" w:rsidR="00000000" w:rsidRPr="00000000">
        <w:rPr>
          <w:rtl w:val="0"/>
        </w:rPr>
      </w:r>
    </w:p>
    <w:p w:rsidR="00000000" w:rsidDel="00000000" w:rsidP="00000000" w:rsidRDefault="00000000" w:rsidRPr="00000000" w14:paraId="0000002B">
      <w:pPr>
        <w:pStyle w:val="Heading2"/>
        <w:rPr/>
      </w:pPr>
      <w:bookmarkStart w:colFirst="0" w:colLast="0" w:name="_adooq2x85yre" w:id="5"/>
      <w:bookmarkEnd w:id="5"/>
      <w:r w:rsidDel="00000000" w:rsidR="00000000" w:rsidRPr="00000000">
        <w:rPr>
          <w:rtl w:val="0"/>
        </w:rPr>
        <w:t xml:space="preserve">Contact addresses as written (keep exactly)</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General, privacy, and cookies: </w:t>
      </w:r>
      <w:hyperlink r:id="rId6">
        <w:r w:rsidDel="00000000" w:rsidR="00000000" w:rsidRPr="00000000">
          <w:rPr>
            <w:color w:val="1155cc"/>
            <w:u w:val="single"/>
            <w:rtl w:val="0"/>
          </w:rPr>
          <w:t xml:space="preserve">info@island.tours</w:t>
        </w:r>
      </w:hyperlink>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Cancellations and booking changes: </w:t>
      </w:r>
      <w:hyperlink r:id="rId7">
        <w:r w:rsidDel="00000000" w:rsidR="00000000" w:rsidRPr="00000000">
          <w:rPr>
            <w:color w:val="1155cc"/>
            <w:u w:val="single"/>
            <w:rtl w:val="0"/>
          </w:rPr>
          <w:t xml:space="preserve">reservations@island.tours</w:t>
        </w:r>
      </w:hyperlink>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EU representative (data protection): </w:t>
      </w:r>
      <w:hyperlink r:id="rId8">
        <w:r w:rsidDel="00000000" w:rsidR="00000000" w:rsidRPr="00000000">
          <w:rPr>
            <w:color w:val="1155cc"/>
            <w:u w:val="single"/>
            <w:rtl w:val="0"/>
          </w:rPr>
          <w:t xml:space="preserve">info@sitebar.info</w:t>
        </w:r>
      </w:hyperlink>
      <w:r w:rsidDel="00000000" w:rsidR="00000000" w:rsidRPr="00000000">
        <w:rPr>
          <w:rtl w:val="0"/>
        </w:rPr>
      </w:r>
    </w:p>
    <w:p w:rsidR="00000000" w:rsidDel="00000000" w:rsidP="00000000" w:rsidRDefault="00000000" w:rsidRPr="00000000" w14:paraId="0000002F">
      <w:pPr>
        <w:pStyle w:val="Heading2"/>
        <w:rPr>
          <w:color w:val="999999"/>
        </w:rPr>
      </w:pPr>
      <w:bookmarkStart w:colFirst="0" w:colLast="0" w:name="_gemql4rgwvi1" w:id="6"/>
      <w:bookmarkEnd w:id="6"/>
      <w:r w:rsidDel="00000000" w:rsidR="00000000" w:rsidRPr="00000000">
        <w:rPr>
          <w:rtl w:val="0"/>
        </w:rPr>
      </w:r>
    </w:p>
    <w:p w:rsidR="00000000" w:rsidDel="00000000" w:rsidP="00000000" w:rsidRDefault="00000000" w:rsidRPr="00000000" w14:paraId="00000030">
      <w:pPr>
        <w:pStyle w:val="Heading2"/>
        <w:rPr/>
      </w:pPr>
      <w:bookmarkStart w:colFirst="0" w:colLast="0" w:name="_j6ka48azdt60" w:id="7"/>
      <w:bookmarkEnd w:id="7"/>
      <w:r w:rsidDel="00000000" w:rsidR="00000000" w:rsidRPr="00000000">
        <w:rPr>
          <w:color w:val="999999"/>
          <w:rtl w:val="0"/>
        </w:rPr>
        <w:t xml:space="preserve">Do NOT publish live until cleared - </w:t>
      </w:r>
      <w:r w:rsidDel="00000000" w:rsidR="00000000" w:rsidRPr="00000000">
        <w:rPr>
          <w:rtl w:val="0"/>
        </w:rPr>
        <w:t xml:space="preserve">You can publish this anyway. I’m working on the points below.</w:t>
      </w:r>
    </w:p>
    <w:p w:rsidR="00000000" w:rsidDel="00000000" w:rsidP="00000000" w:rsidRDefault="00000000" w:rsidRPr="00000000" w14:paraId="00000031">
      <w:pPr>
        <w:rPr>
          <w:color w:val="999999"/>
        </w:rPr>
      </w:pPr>
      <w:r w:rsidDel="00000000" w:rsidR="00000000" w:rsidRPr="00000000">
        <w:rPr>
          <w:color w:val="999999"/>
          <w:rtl w:val="0"/>
        </w:rPr>
        <w:t xml:space="preserve">These pages are final drafts. They are ready to build and stage, but must not go live to the public until: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rPr>
      </w:pPr>
      <w:r w:rsidDel="00000000" w:rsidR="00000000" w:rsidRPr="00000000">
        <w:rPr>
          <w:rtl w:val="0"/>
        </w:rPr>
      </w:r>
    </w:p>
    <w:p w:rsidR="00000000" w:rsidDel="00000000" w:rsidP="00000000" w:rsidRDefault="00000000" w:rsidRPr="00000000" w14:paraId="00000033">
      <w:pPr>
        <w:numPr>
          <w:ilvl w:val="0"/>
          <w:numId w:val="1"/>
        </w:numPr>
        <w:ind w:left="720" w:hanging="360"/>
        <w:rPr>
          <w:color w:val="999999"/>
        </w:rPr>
      </w:pPr>
      <w:r w:rsidDel="00000000" w:rsidR="00000000" w:rsidRPr="00000000">
        <w:rPr>
          <w:color w:val="999999"/>
          <w:rtl w:val="0"/>
        </w:rPr>
        <w:t xml:space="preserve">Qualified legal counsel has reviewed each page for the launch markets. This applies to all six pages.</w:t>
      </w:r>
    </w:p>
    <w:p w:rsidR="00000000" w:rsidDel="00000000" w:rsidP="00000000" w:rsidRDefault="00000000" w:rsidRPr="00000000" w14:paraId="00000034">
      <w:pPr>
        <w:numPr>
          <w:ilvl w:val="0"/>
          <w:numId w:val="1"/>
        </w:numPr>
        <w:ind w:left="720" w:hanging="360"/>
        <w:rPr>
          <w:color w:val="999999"/>
        </w:rPr>
      </w:pPr>
      <w:r w:rsidDel="00000000" w:rsidR="00000000" w:rsidRPr="00000000">
        <w:rPr>
          <w:color w:val="999999"/>
          <w:rtl w:val="0"/>
        </w:rPr>
        <w:t xml:space="preserve">Legal Notice and Terms of Service: the two signed Site Bar B.V. mandates exist (GDPR Article 27 representative and DSA Article 13 representative).</w:t>
      </w:r>
    </w:p>
    <w:p w:rsidR="00000000" w:rsidDel="00000000" w:rsidP="00000000" w:rsidRDefault="00000000" w:rsidRPr="00000000" w14:paraId="00000035">
      <w:pPr>
        <w:numPr>
          <w:ilvl w:val="0"/>
          <w:numId w:val="1"/>
        </w:numPr>
        <w:ind w:left="720" w:hanging="360"/>
        <w:rPr>
          <w:color w:val="999999"/>
        </w:rPr>
      </w:pPr>
      <w:r w:rsidDel="00000000" w:rsidR="00000000" w:rsidRPr="00000000">
        <w:rPr>
          <w:color w:val="999999"/>
          <w:rtl w:val="0"/>
        </w:rPr>
        <w:t xml:space="preserve">Terms of Service: the operator agreement and the affiliate and operator terms exist (the clauses that rely on them).</w:t>
      </w:r>
    </w:p>
    <w:p w:rsidR="00000000" w:rsidDel="00000000" w:rsidP="00000000" w:rsidRDefault="00000000" w:rsidRPr="00000000" w14:paraId="00000036">
      <w:pPr>
        <w:numPr>
          <w:ilvl w:val="0"/>
          <w:numId w:val="1"/>
        </w:numPr>
        <w:ind w:left="720" w:hanging="360"/>
        <w:rPr>
          <w:color w:val="999999"/>
        </w:rPr>
      </w:pPr>
      <w:r w:rsidDel="00000000" w:rsidR="00000000" w:rsidRPr="00000000">
        <w:rPr>
          <w:color w:val="999999"/>
          <w:rtl w:val="0"/>
        </w:rPr>
        <w:t xml:space="preserve">Cancellation Policy: the operator agreement imposes the operator refund and reschedule duties, including the 10 business day balance-refund target.</w:t>
      </w:r>
    </w:p>
    <w:p w:rsidR="00000000" w:rsidDel="00000000" w:rsidP="00000000" w:rsidRDefault="00000000" w:rsidRPr="00000000" w14:paraId="00000037">
      <w:pPr>
        <w:numPr>
          <w:ilvl w:val="0"/>
          <w:numId w:val="1"/>
        </w:numPr>
        <w:ind w:left="720" w:hanging="360"/>
        <w:rPr>
          <w:color w:val="999999"/>
        </w:rPr>
      </w:pPr>
      <w:r w:rsidDel="00000000" w:rsidR="00000000" w:rsidRPr="00000000">
        <w:rPr>
          <w:color w:val="999999"/>
          <w:rtl w:val="0"/>
        </w:rPr>
        <w:t xml:space="preserve">Privacy Policy: the international transfer instruments are executed (ad hoc Article 46 clauses plus a transfer impact assessment), the Site Bar data processing agreement and Article 27 mandate are signed, and the Curacao LBP notification is confirmed. Re-check Google and Meta Data Privacy Framework status after their 2026 recertification dates.</w:t>
      </w:r>
    </w:p>
    <w:p w:rsidR="00000000" w:rsidDel="00000000" w:rsidP="00000000" w:rsidRDefault="00000000" w:rsidRPr="00000000" w14:paraId="00000038">
      <w:pPr>
        <w:numPr>
          <w:ilvl w:val="0"/>
          <w:numId w:val="1"/>
        </w:numPr>
        <w:ind w:left="720" w:hanging="360"/>
        <w:rPr>
          <w:color w:val="999999"/>
        </w:rPr>
      </w:pPr>
      <w:r w:rsidDel="00000000" w:rsidR="00000000" w:rsidRPr="00000000">
        <w:rPr>
          <w:color w:val="999999"/>
          <w:rtl w:val="0"/>
        </w:rPr>
        <w:t xml:space="preserve">Cookie Policy and Manage Cookies: the Cookiebot configuration is finished and a live scan has run.</w:t>
      </w:r>
    </w:p>
    <w:p w:rsidR="00000000" w:rsidDel="00000000" w:rsidP="00000000" w:rsidRDefault="00000000" w:rsidRPr="00000000" w14:paraId="00000039">
      <w:pPr>
        <w:pStyle w:val="Heading2"/>
        <w:rPr/>
      </w:pPr>
      <w:bookmarkStart w:colFirst="0" w:colLast="0" w:name="_m54kzmuk31bc" w:id="8"/>
      <w:bookmarkEnd w:id="8"/>
      <w:r w:rsidDel="00000000" w:rsidR="00000000" w:rsidRPr="00000000">
        <w:rPr>
          <w:rtl w:val="0"/>
        </w:rPr>
      </w:r>
    </w:p>
    <w:p w:rsidR="00000000" w:rsidDel="00000000" w:rsidP="00000000" w:rsidRDefault="00000000" w:rsidRPr="00000000" w14:paraId="0000003A">
      <w:pPr>
        <w:pStyle w:val="Heading2"/>
        <w:rPr/>
      </w:pPr>
      <w:bookmarkStart w:colFirst="0" w:colLast="0" w:name="_6gqaplgc24en" w:id="9"/>
      <w:bookmarkEnd w:id="9"/>
      <w:r w:rsidDel="00000000" w:rsidR="00000000" w:rsidRPr="00000000">
        <w:rPr>
          <w:rtl w:val="0"/>
        </w:rPr>
        <w:t xml:space="preserve">Languages</w:t>
      </w:r>
    </w:p>
    <w:p w:rsidR="00000000" w:rsidDel="00000000" w:rsidP="00000000" w:rsidRDefault="00000000" w:rsidRPr="00000000" w14:paraId="0000003B">
      <w:pPr>
        <w:rPr/>
      </w:pPr>
      <w:r w:rsidDel="00000000" w:rsidR="00000000" w:rsidRPr="00000000">
        <w:rPr>
          <w:rtl w:val="0"/>
        </w:rPr>
        <w:t xml:space="preserve">English is the source. Dutch full versions follow after per-language legal review. The other five locales (DE, FR, ES, PT, ZH) show the English text with a notice until translated; operative clauses are not machine-translated.</w:t>
      </w:r>
    </w:p>
    <w:p w:rsidR="00000000" w:rsidDel="00000000" w:rsidP="00000000" w:rsidRDefault="00000000" w:rsidRPr="00000000" w14:paraId="0000003C">
      <w:pPr>
        <w:pStyle w:val="Heading2"/>
        <w:rPr/>
      </w:pPr>
      <w:bookmarkStart w:colFirst="0" w:colLast="0" w:name="_5e0r5cctslno" w:id="10"/>
      <w:bookmarkEnd w:id="10"/>
      <w:r w:rsidDel="00000000" w:rsidR="00000000" w:rsidRPr="00000000">
        <w:rPr>
          <w:rtl w:val="0"/>
        </w:rPr>
      </w:r>
    </w:p>
    <w:p w:rsidR="00000000" w:rsidDel="00000000" w:rsidP="00000000" w:rsidRDefault="00000000" w:rsidRPr="00000000" w14:paraId="0000003D">
      <w:pPr>
        <w:pStyle w:val="Heading2"/>
        <w:rPr/>
      </w:pPr>
      <w:bookmarkStart w:colFirst="0" w:colLast="0" w:name="_9097hd4pdicq" w:id="11"/>
      <w:bookmarkEnd w:id="11"/>
      <w:r w:rsidDel="00000000" w:rsidR="00000000" w:rsidRPr="00000000">
        <w:rPr>
          <w:rtl w:val="0"/>
        </w:rPr>
        <w:t xml:space="preserve">Keep this set as the single source</w:t>
      </w:r>
    </w:p>
    <w:p w:rsidR="00000000" w:rsidDel="00000000" w:rsidP="00000000" w:rsidRDefault="00000000" w:rsidRPr="00000000" w14:paraId="0000003E">
      <w:pPr>
        <w:rPr/>
      </w:pPr>
      <w:r w:rsidDel="00000000" w:rsidR="00000000" w:rsidRPr="00000000">
        <w:rPr>
          <w:rtl w:val="0"/>
        </w:rPr>
        <w:t xml:space="preserve">Treat these files as the single source of the published text. Change them only through Denley, so the site and the legal record stay in sync.</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island.tours" TargetMode="External"/><Relationship Id="rId7" Type="http://schemas.openxmlformats.org/officeDocument/2006/relationships/hyperlink" Target="mailto:reservations@island.tours" TargetMode="External"/><Relationship Id="rId8" Type="http://schemas.openxmlformats.org/officeDocument/2006/relationships/hyperlink" Target="mailto:info@sitebar.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