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9479" w14:textId="4EE9D338" w:rsidR="00C40033" w:rsidRPr="003E054E" w:rsidRDefault="00663A10" w:rsidP="001B059F">
      <w:pPr>
        <w:rPr>
          <w:rFonts w:ascii="Arial" w:hAnsi="Arial" w:cs="Arial"/>
          <w:b/>
          <w:bCs/>
        </w:rPr>
      </w:pPr>
      <w:bookmarkStart w:id="0" w:name="_Hlk65232816"/>
      <w:r w:rsidRPr="003E054E">
        <w:rPr>
          <w:rFonts w:ascii="Arial" w:hAnsi="Arial" w:cs="Arial"/>
          <w:b/>
          <w:bCs/>
        </w:rPr>
        <w:t xml:space="preserve">Article </w:t>
      </w:r>
      <w:r w:rsidR="003A0F40" w:rsidRPr="003E054E">
        <w:rPr>
          <w:rFonts w:ascii="Arial" w:hAnsi="Arial" w:cs="Arial"/>
          <w:b/>
          <w:bCs/>
        </w:rPr>
        <w:t>6</w:t>
      </w:r>
      <w:r w:rsidRPr="003E054E">
        <w:rPr>
          <w:rFonts w:ascii="Arial" w:hAnsi="Arial" w:cs="Arial"/>
          <w:b/>
          <w:bCs/>
        </w:rPr>
        <w:t xml:space="preserve">. </w:t>
      </w:r>
      <w:r w:rsidR="00196212" w:rsidRPr="003E054E">
        <w:rPr>
          <w:rFonts w:ascii="Arial" w:hAnsi="Arial" w:cs="Arial"/>
          <w:b/>
          <w:bCs/>
        </w:rPr>
        <w:t>C</w:t>
      </w:r>
      <w:r w:rsidR="003A0F40" w:rsidRPr="003E054E">
        <w:rPr>
          <w:rFonts w:ascii="Arial" w:hAnsi="Arial" w:cs="Arial"/>
          <w:b/>
          <w:bCs/>
        </w:rPr>
        <w:t xml:space="preserve">ommercial </w:t>
      </w:r>
      <w:r w:rsidR="003E054E">
        <w:rPr>
          <w:rFonts w:ascii="Arial" w:hAnsi="Arial" w:cs="Arial"/>
          <w:b/>
          <w:bCs/>
        </w:rPr>
        <w:t xml:space="preserve">Zoning </w:t>
      </w:r>
      <w:r w:rsidR="003A0F40" w:rsidRPr="003E054E">
        <w:rPr>
          <w:rFonts w:ascii="Arial" w:hAnsi="Arial" w:cs="Arial"/>
          <w:b/>
          <w:bCs/>
        </w:rPr>
        <w:t>Districts: CG, CR</w:t>
      </w:r>
      <w:r w:rsidR="004D6946">
        <w:rPr>
          <w:rFonts w:ascii="Arial" w:hAnsi="Arial" w:cs="Arial"/>
          <w:b/>
          <w:bCs/>
        </w:rPr>
        <w:t xml:space="preserve"> </w:t>
      </w:r>
    </w:p>
    <w:p w14:paraId="15119BEE" w14:textId="57DDF9FB" w:rsidR="00333A4F" w:rsidRPr="00C40033" w:rsidRDefault="003A0F40" w:rsidP="001B059F">
      <w:pPr>
        <w:ind w:left="360"/>
        <w:rPr>
          <w:rFonts w:ascii="Arial" w:hAnsi="Arial" w:cs="Arial"/>
          <w:b/>
          <w:bCs/>
          <w:sz w:val="18"/>
          <w:szCs w:val="18"/>
        </w:rPr>
      </w:pPr>
      <w:r>
        <w:rPr>
          <w:rFonts w:ascii="Arial" w:hAnsi="Arial" w:cs="Arial"/>
          <w:b/>
          <w:bCs/>
          <w:sz w:val="18"/>
          <w:szCs w:val="18"/>
        </w:rPr>
        <w:t>6.1</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 xml:space="preserve">PURPOSE </w:t>
      </w:r>
    </w:p>
    <w:p w14:paraId="5F97AA9D" w14:textId="79CBE799" w:rsidR="00333A4F" w:rsidRPr="00C40033" w:rsidRDefault="003A0F40" w:rsidP="001B059F">
      <w:pPr>
        <w:ind w:left="360"/>
        <w:rPr>
          <w:rFonts w:ascii="Arial" w:hAnsi="Arial" w:cs="Arial"/>
          <w:b/>
          <w:bCs/>
          <w:sz w:val="18"/>
          <w:szCs w:val="18"/>
        </w:rPr>
      </w:pPr>
      <w:r>
        <w:rPr>
          <w:rFonts w:ascii="Arial" w:hAnsi="Arial" w:cs="Arial"/>
          <w:b/>
          <w:bCs/>
          <w:sz w:val="18"/>
          <w:szCs w:val="18"/>
        </w:rPr>
        <w:t>6.2</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USE</w:t>
      </w:r>
      <w:r w:rsidR="00333A4F">
        <w:rPr>
          <w:rFonts w:ascii="Arial" w:hAnsi="Arial" w:cs="Arial"/>
          <w:b/>
          <w:bCs/>
          <w:sz w:val="18"/>
          <w:szCs w:val="18"/>
        </w:rPr>
        <w:t>S</w:t>
      </w:r>
    </w:p>
    <w:p w14:paraId="587928DE" w14:textId="1E80DB7C" w:rsidR="00333A4F" w:rsidRPr="006824F2" w:rsidRDefault="003A0F40" w:rsidP="001B059F">
      <w:pPr>
        <w:ind w:left="360"/>
        <w:rPr>
          <w:rFonts w:ascii="Arial" w:hAnsi="Arial" w:cs="Arial"/>
          <w:b/>
          <w:bCs/>
          <w:sz w:val="18"/>
          <w:szCs w:val="18"/>
        </w:rPr>
      </w:pPr>
      <w:r>
        <w:rPr>
          <w:rFonts w:ascii="Arial" w:hAnsi="Arial" w:cs="Arial"/>
          <w:b/>
          <w:bCs/>
          <w:sz w:val="18"/>
          <w:szCs w:val="18"/>
        </w:rPr>
        <w:t>6.3</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 xml:space="preserve">DIMENSIONAL </w:t>
      </w:r>
      <w:r w:rsidR="00333A4F">
        <w:rPr>
          <w:rFonts w:ascii="Arial" w:hAnsi="Arial" w:cs="Arial"/>
          <w:b/>
          <w:bCs/>
          <w:sz w:val="18"/>
          <w:szCs w:val="18"/>
        </w:rPr>
        <w:t xml:space="preserve">AND DESIGN </w:t>
      </w:r>
      <w:r w:rsidR="00333A4F" w:rsidRPr="006824F2">
        <w:rPr>
          <w:rFonts w:ascii="Arial" w:hAnsi="Arial" w:cs="Arial"/>
          <w:b/>
          <w:bCs/>
          <w:sz w:val="18"/>
          <w:szCs w:val="18"/>
        </w:rPr>
        <w:t>STANDARDS</w:t>
      </w:r>
    </w:p>
    <w:p w14:paraId="3B21B2B4" w14:textId="5070E41C" w:rsidR="00333A4F" w:rsidRDefault="003A0F40" w:rsidP="001B059F">
      <w:pPr>
        <w:ind w:left="360"/>
        <w:rPr>
          <w:rFonts w:ascii="Arial" w:hAnsi="Arial" w:cs="Arial"/>
          <w:b/>
          <w:bCs/>
          <w:sz w:val="18"/>
          <w:szCs w:val="18"/>
        </w:rPr>
      </w:pPr>
      <w:r>
        <w:rPr>
          <w:rFonts w:ascii="Arial" w:hAnsi="Arial" w:cs="Arial"/>
          <w:b/>
          <w:bCs/>
          <w:sz w:val="18"/>
          <w:szCs w:val="18"/>
        </w:rPr>
        <w:t>6.4</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Pr>
          <w:rFonts w:ascii="Arial" w:hAnsi="Arial" w:cs="Arial"/>
          <w:b/>
          <w:bCs/>
          <w:sz w:val="18"/>
          <w:szCs w:val="18"/>
        </w:rPr>
        <w:t>OPEN SPACE REQUIREMENTS</w:t>
      </w:r>
    </w:p>
    <w:p w14:paraId="599F37AD" w14:textId="22E3E905" w:rsidR="0091061E" w:rsidRPr="006824F2" w:rsidRDefault="003A0F40" w:rsidP="001B059F">
      <w:pPr>
        <w:ind w:left="360"/>
        <w:rPr>
          <w:rFonts w:ascii="Arial" w:hAnsi="Arial" w:cs="Arial"/>
          <w:b/>
          <w:bCs/>
          <w:sz w:val="18"/>
          <w:szCs w:val="18"/>
        </w:rPr>
      </w:pPr>
      <w:r>
        <w:rPr>
          <w:rFonts w:ascii="Arial" w:hAnsi="Arial" w:cs="Arial"/>
          <w:b/>
          <w:bCs/>
          <w:sz w:val="18"/>
          <w:szCs w:val="18"/>
        </w:rPr>
        <w:t>6.5</w:t>
      </w:r>
      <w:r w:rsidR="0091061E">
        <w:rPr>
          <w:rFonts w:ascii="Arial" w:hAnsi="Arial" w:cs="Arial"/>
          <w:b/>
          <w:bCs/>
          <w:sz w:val="18"/>
          <w:szCs w:val="18"/>
        </w:rPr>
        <w:tab/>
      </w:r>
      <w:r w:rsidR="00A253E9">
        <w:rPr>
          <w:rFonts w:ascii="Arial" w:hAnsi="Arial" w:cs="Arial"/>
          <w:b/>
          <w:bCs/>
          <w:sz w:val="18"/>
          <w:szCs w:val="18"/>
        </w:rPr>
        <w:tab/>
        <w:t xml:space="preserve">ON-SITE </w:t>
      </w:r>
      <w:r w:rsidR="0091061E">
        <w:rPr>
          <w:rFonts w:ascii="Arial" w:hAnsi="Arial" w:cs="Arial"/>
          <w:b/>
          <w:bCs/>
          <w:sz w:val="18"/>
          <w:szCs w:val="18"/>
        </w:rPr>
        <w:t>PEDESTRIAN CONNECTIVITY REQUIREMENTS</w:t>
      </w:r>
    </w:p>
    <w:p w14:paraId="7A42FA31" w14:textId="5DE8EF79" w:rsidR="00333A4F" w:rsidRPr="006824F2" w:rsidRDefault="003A0F40" w:rsidP="001B059F">
      <w:pPr>
        <w:ind w:left="360"/>
        <w:rPr>
          <w:rFonts w:ascii="Arial" w:hAnsi="Arial" w:cs="Arial"/>
          <w:b/>
          <w:bCs/>
          <w:sz w:val="18"/>
          <w:szCs w:val="18"/>
        </w:rPr>
      </w:pPr>
      <w:r>
        <w:rPr>
          <w:rFonts w:ascii="Arial" w:hAnsi="Arial" w:cs="Arial"/>
          <w:b/>
          <w:bCs/>
          <w:sz w:val="18"/>
          <w:szCs w:val="18"/>
        </w:rPr>
        <w:t>6.6</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B07738">
        <w:rPr>
          <w:rFonts w:ascii="Arial" w:hAnsi="Arial" w:cs="Arial"/>
          <w:b/>
          <w:bCs/>
          <w:sz w:val="18"/>
          <w:szCs w:val="18"/>
        </w:rPr>
        <w:t xml:space="preserve">SUPPLEMENTAL </w:t>
      </w:r>
      <w:r w:rsidR="00333A4F">
        <w:rPr>
          <w:rFonts w:ascii="Arial" w:hAnsi="Arial" w:cs="Arial"/>
          <w:b/>
          <w:bCs/>
          <w:sz w:val="18"/>
          <w:szCs w:val="18"/>
        </w:rPr>
        <w:t>DEVELOPMENT STANDARDS</w:t>
      </w:r>
    </w:p>
    <w:p w14:paraId="25A8221D" w14:textId="76683F5C" w:rsidR="00D45E72" w:rsidRDefault="00D45E72" w:rsidP="001B059F">
      <w:pPr>
        <w:rPr>
          <w:rFonts w:ascii="Arial" w:hAnsi="Arial" w:cs="Arial"/>
          <w:b/>
          <w:bCs/>
          <w:sz w:val="18"/>
          <w:szCs w:val="18"/>
        </w:rPr>
      </w:pPr>
    </w:p>
    <w:p w14:paraId="18539E9E" w14:textId="77777777" w:rsidR="003E054E" w:rsidRDefault="003E054E" w:rsidP="001B059F">
      <w:pPr>
        <w:rPr>
          <w:rFonts w:ascii="Arial" w:hAnsi="Arial" w:cs="Arial"/>
          <w:b/>
          <w:bCs/>
          <w:sz w:val="18"/>
          <w:szCs w:val="18"/>
        </w:rPr>
      </w:pPr>
    </w:p>
    <w:p w14:paraId="75938E8E" w14:textId="6360B887" w:rsidR="004C36E4" w:rsidRPr="00C40033"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F11682">
        <w:rPr>
          <w:rFonts w:ascii="Arial" w:hAnsi="Arial" w:cs="Arial"/>
          <w:b/>
          <w:bCs/>
          <w:sz w:val="18"/>
          <w:szCs w:val="18"/>
        </w:rPr>
        <w:t xml:space="preserve">1   </w:t>
      </w:r>
      <w:r w:rsidR="00333A4F" w:rsidRPr="006824F2">
        <w:rPr>
          <w:rFonts w:ascii="Arial" w:hAnsi="Arial" w:cs="Arial"/>
          <w:b/>
          <w:bCs/>
          <w:sz w:val="18"/>
          <w:szCs w:val="18"/>
        </w:rPr>
        <w:t xml:space="preserve">PURPOSE </w:t>
      </w:r>
    </w:p>
    <w:p w14:paraId="2B7A1102" w14:textId="42D43E03" w:rsidR="001624D4" w:rsidRDefault="001624D4" w:rsidP="001B059F">
      <w:pPr>
        <w:rPr>
          <w:rFonts w:ascii="Arial" w:hAnsi="Arial" w:cs="Arial"/>
          <w:sz w:val="18"/>
          <w:szCs w:val="18"/>
        </w:rPr>
      </w:pPr>
    </w:p>
    <w:p w14:paraId="430FA03E" w14:textId="469F65E9" w:rsidR="00D31800" w:rsidRPr="00B63B58" w:rsidRDefault="00D31800" w:rsidP="001B059F">
      <w:pPr>
        <w:rPr>
          <w:rFonts w:ascii="Arial" w:hAnsi="Arial" w:cs="Arial"/>
          <w:b/>
          <w:bCs/>
          <w:sz w:val="18"/>
          <w:szCs w:val="18"/>
        </w:rPr>
      </w:pPr>
      <w:r>
        <w:rPr>
          <w:rFonts w:ascii="Arial" w:hAnsi="Arial" w:cs="Arial"/>
          <w:b/>
          <w:bCs/>
          <w:sz w:val="18"/>
          <w:szCs w:val="18"/>
        </w:rPr>
        <w:t xml:space="preserve">A. </w:t>
      </w:r>
      <w:r>
        <w:rPr>
          <w:rFonts w:ascii="Arial" w:hAnsi="Arial" w:cs="Arial"/>
          <w:b/>
          <w:bCs/>
          <w:sz w:val="18"/>
          <w:szCs w:val="18"/>
        </w:rPr>
        <w:tab/>
      </w:r>
      <w:bookmarkEnd w:id="0"/>
      <w:r w:rsidR="003A0F40">
        <w:rPr>
          <w:rFonts w:ascii="Arial" w:hAnsi="Arial" w:cs="Arial"/>
          <w:b/>
          <w:bCs/>
          <w:sz w:val="18"/>
          <w:szCs w:val="18"/>
        </w:rPr>
        <w:t xml:space="preserve">CG General Commercial </w:t>
      </w:r>
      <w:r w:rsidR="003E054E">
        <w:rPr>
          <w:rFonts w:ascii="Arial" w:hAnsi="Arial" w:cs="Arial"/>
          <w:b/>
          <w:bCs/>
          <w:sz w:val="18"/>
          <w:szCs w:val="18"/>
        </w:rPr>
        <w:t xml:space="preserve">Zoning </w:t>
      </w:r>
      <w:r w:rsidR="0091061E">
        <w:rPr>
          <w:rFonts w:ascii="Arial" w:hAnsi="Arial" w:cs="Arial"/>
          <w:b/>
          <w:bCs/>
          <w:sz w:val="18"/>
          <w:szCs w:val="18"/>
        </w:rPr>
        <w:t>District</w:t>
      </w:r>
    </w:p>
    <w:p w14:paraId="70032A88" w14:textId="3758A9BF" w:rsidR="003C0493" w:rsidRPr="003C0493" w:rsidRDefault="003E52C9" w:rsidP="001B059F">
      <w:pPr>
        <w:rPr>
          <w:rFonts w:ascii="Arial" w:hAnsi="Arial"/>
          <w:sz w:val="18"/>
        </w:rPr>
      </w:pPr>
      <w:r w:rsidRPr="003E52C9">
        <w:rPr>
          <w:rFonts w:ascii="Arial" w:hAnsi="Arial"/>
          <w:sz w:val="18"/>
        </w:rPr>
        <w:t xml:space="preserve">The CG General Commercial </w:t>
      </w:r>
      <w:r w:rsidR="003E054E">
        <w:rPr>
          <w:rFonts w:ascii="Arial" w:hAnsi="Arial"/>
          <w:sz w:val="18"/>
        </w:rPr>
        <w:t xml:space="preserve">Zoning </w:t>
      </w:r>
      <w:r w:rsidRPr="003E52C9">
        <w:rPr>
          <w:rFonts w:ascii="Arial" w:hAnsi="Arial"/>
          <w:sz w:val="18"/>
        </w:rPr>
        <w:t xml:space="preserve">District is intended to accommodate areas of general commercial development in the </w:t>
      </w:r>
      <w:proofErr w:type="gramStart"/>
      <w:r w:rsidR="003E054E">
        <w:rPr>
          <w:rFonts w:ascii="Arial" w:hAnsi="Arial"/>
          <w:sz w:val="18"/>
        </w:rPr>
        <w:t>C</w:t>
      </w:r>
      <w:r w:rsidRPr="003E52C9">
        <w:rPr>
          <w:rFonts w:ascii="Arial" w:hAnsi="Arial"/>
          <w:sz w:val="18"/>
        </w:rPr>
        <w:t>ity</w:t>
      </w:r>
      <w:proofErr w:type="gramEnd"/>
      <w:r w:rsidRPr="003E52C9">
        <w:rPr>
          <w:rFonts w:ascii="Arial" w:hAnsi="Arial"/>
          <w:sz w:val="18"/>
        </w:rPr>
        <w:t>, typically located at key intersections</w:t>
      </w:r>
      <w:r w:rsidR="00011F73">
        <w:rPr>
          <w:rFonts w:ascii="Arial" w:hAnsi="Arial"/>
          <w:sz w:val="18"/>
        </w:rPr>
        <w:t xml:space="preserve"> </w:t>
      </w:r>
      <w:r w:rsidRPr="003E52C9">
        <w:rPr>
          <w:rFonts w:ascii="Arial" w:hAnsi="Arial"/>
          <w:sz w:val="18"/>
        </w:rPr>
        <w:t xml:space="preserve">or organized along arterial streets. Commercial areas within the CG </w:t>
      </w:r>
      <w:r w:rsidR="003E054E">
        <w:rPr>
          <w:rFonts w:ascii="Arial" w:hAnsi="Arial"/>
          <w:sz w:val="18"/>
        </w:rPr>
        <w:t xml:space="preserve">Zoning </w:t>
      </w:r>
      <w:r w:rsidRPr="003E52C9">
        <w:rPr>
          <w:rFonts w:ascii="Arial" w:hAnsi="Arial"/>
          <w:sz w:val="18"/>
        </w:rPr>
        <w:t xml:space="preserve">District accommodate automobile access and the standards for the </w:t>
      </w:r>
      <w:r w:rsidR="00DC59B7">
        <w:rPr>
          <w:rFonts w:ascii="Arial" w:hAnsi="Arial"/>
          <w:sz w:val="18"/>
        </w:rPr>
        <w:t xml:space="preserve">zoning </w:t>
      </w:r>
      <w:r w:rsidRPr="003E52C9">
        <w:rPr>
          <w:rFonts w:ascii="Arial" w:hAnsi="Arial"/>
          <w:sz w:val="18"/>
        </w:rPr>
        <w:t xml:space="preserve">district acknowledge this auto-orientation while encouraging improvement of the pedestrian environment and accommodation of alternate modal choices within the </w:t>
      </w:r>
      <w:r w:rsidR="00DC59B7">
        <w:rPr>
          <w:rFonts w:ascii="Arial" w:hAnsi="Arial"/>
          <w:sz w:val="18"/>
        </w:rPr>
        <w:t xml:space="preserve">zoning </w:t>
      </w:r>
      <w:r w:rsidRPr="003E52C9">
        <w:rPr>
          <w:rFonts w:ascii="Arial" w:hAnsi="Arial"/>
          <w:sz w:val="18"/>
        </w:rPr>
        <w:t>district.</w:t>
      </w:r>
    </w:p>
    <w:p w14:paraId="4C6DE9DD" w14:textId="3BC19A01" w:rsidR="00D41221" w:rsidRPr="003C0493" w:rsidRDefault="00D41221" w:rsidP="001B059F">
      <w:pPr>
        <w:rPr>
          <w:rFonts w:ascii="Arial" w:hAnsi="Arial"/>
          <w:sz w:val="18"/>
        </w:rPr>
      </w:pPr>
    </w:p>
    <w:p w14:paraId="2ACBBFDA" w14:textId="23466256" w:rsidR="0091061E" w:rsidRDefault="0091061E" w:rsidP="001B059F">
      <w:pPr>
        <w:rPr>
          <w:rFonts w:ascii="Arial" w:hAnsi="Arial" w:cs="Arial"/>
          <w:b/>
          <w:bCs/>
          <w:sz w:val="18"/>
          <w:szCs w:val="18"/>
        </w:rPr>
      </w:pPr>
      <w:r>
        <w:rPr>
          <w:rFonts w:ascii="Arial" w:hAnsi="Arial" w:cs="Arial"/>
          <w:b/>
          <w:bCs/>
          <w:sz w:val="18"/>
          <w:szCs w:val="18"/>
        </w:rPr>
        <w:t>B.</w:t>
      </w:r>
      <w:r>
        <w:rPr>
          <w:rFonts w:ascii="Arial" w:hAnsi="Arial" w:cs="Arial"/>
          <w:b/>
          <w:bCs/>
          <w:sz w:val="18"/>
          <w:szCs w:val="18"/>
        </w:rPr>
        <w:tab/>
      </w:r>
      <w:r w:rsidR="003A0F40">
        <w:rPr>
          <w:rFonts w:ascii="Arial" w:hAnsi="Arial" w:cs="Arial"/>
          <w:b/>
          <w:bCs/>
          <w:sz w:val="18"/>
          <w:szCs w:val="18"/>
        </w:rPr>
        <w:t xml:space="preserve">CR Regional Commercial </w:t>
      </w:r>
      <w:r w:rsidR="003E054E">
        <w:rPr>
          <w:rFonts w:ascii="Arial" w:hAnsi="Arial" w:cs="Arial"/>
          <w:b/>
          <w:bCs/>
          <w:sz w:val="18"/>
          <w:szCs w:val="18"/>
        </w:rPr>
        <w:t xml:space="preserve">Zoning </w:t>
      </w:r>
      <w:r>
        <w:rPr>
          <w:rFonts w:ascii="Arial" w:hAnsi="Arial" w:cs="Arial"/>
          <w:b/>
          <w:bCs/>
          <w:sz w:val="18"/>
          <w:szCs w:val="18"/>
        </w:rPr>
        <w:t>District</w:t>
      </w:r>
    </w:p>
    <w:p w14:paraId="256364EF" w14:textId="4A56FA64" w:rsidR="0091061E" w:rsidRDefault="003E52C9" w:rsidP="001B059F">
      <w:pPr>
        <w:rPr>
          <w:rFonts w:ascii="Arial" w:hAnsi="Arial" w:cs="Arial"/>
          <w:b/>
          <w:bCs/>
          <w:sz w:val="18"/>
          <w:szCs w:val="18"/>
        </w:rPr>
      </w:pPr>
      <w:r w:rsidRPr="003E52C9">
        <w:rPr>
          <w:rFonts w:ascii="Arial" w:hAnsi="Arial"/>
          <w:sz w:val="18"/>
        </w:rPr>
        <w:t xml:space="preserve">The CR Regional Commercial </w:t>
      </w:r>
      <w:r w:rsidR="003E054E">
        <w:rPr>
          <w:rFonts w:ascii="Arial" w:hAnsi="Arial"/>
          <w:sz w:val="18"/>
        </w:rPr>
        <w:t xml:space="preserve">Zoning </w:t>
      </w:r>
      <w:r w:rsidRPr="003E52C9">
        <w:rPr>
          <w:rFonts w:ascii="Arial" w:hAnsi="Arial"/>
          <w:sz w:val="18"/>
        </w:rPr>
        <w:t>District is intended for areas of large-scale and/or regionally significant commercial uses</w:t>
      </w:r>
      <w:r w:rsidR="0007476A">
        <w:rPr>
          <w:rFonts w:ascii="Arial" w:hAnsi="Arial"/>
          <w:sz w:val="18"/>
        </w:rPr>
        <w:t>. Such uses may constitute a coordinated cluster of commercial uses</w:t>
      </w:r>
      <w:r w:rsidR="003B42C9">
        <w:rPr>
          <w:rFonts w:ascii="Arial" w:hAnsi="Arial"/>
          <w:sz w:val="18"/>
        </w:rPr>
        <w:t xml:space="preserve"> or a single large-scale commercial use of regional significance. </w:t>
      </w:r>
      <w:r w:rsidR="0007476A">
        <w:rPr>
          <w:rFonts w:ascii="Arial" w:hAnsi="Arial"/>
          <w:sz w:val="18"/>
        </w:rPr>
        <w:t>T</w:t>
      </w:r>
      <w:r w:rsidRPr="003E52C9">
        <w:rPr>
          <w:rFonts w:ascii="Arial" w:hAnsi="Arial"/>
          <w:sz w:val="18"/>
        </w:rPr>
        <w:t xml:space="preserve">he </w:t>
      </w:r>
      <w:r w:rsidR="00DC59B7">
        <w:rPr>
          <w:rFonts w:ascii="Arial" w:hAnsi="Arial"/>
          <w:sz w:val="18"/>
        </w:rPr>
        <w:t xml:space="preserve">zoning </w:t>
      </w:r>
      <w:r w:rsidRPr="003E52C9">
        <w:rPr>
          <w:rFonts w:ascii="Arial" w:hAnsi="Arial"/>
          <w:sz w:val="18"/>
        </w:rPr>
        <w:t>district regulations ensure that proper controls are in place to create compatibility with neighboring uses and create safe circulation patterns.</w:t>
      </w:r>
    </w:p>
    <w:p w14:paraId="5CC67048" w14:textId="77777777" w:rsidR="00B95773" w:rsidRPr="00D41221" w:rsidRDefault="00B95773" w:rsidP="001B059F">
      <w:pPr>
        <w:rPr>
          <w:rFonts w:ascii="Arial" w:hAnsi="Arial" w:cs="Arial"/>
          <w:sz w:val="18"/>
          <w:szCs w:val="18"/>
        </w:rPr>
      </w:pPr>
    </w:p>
    <w:p w14:paraId="379F65E8" w14:textId="663AC2D8" w:rsidR="004C491D" w:rsidRPr="00C40033"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6.2</w:t>
      </w:r>
      <w:r w:rsidR="00F11682">
        <w:rPr>
          <w:rFonts w:ascii="Arial" w:hAnsi="Arial" w:cs="Arial"/>
          <w:b/>
          <w:bCs/>
          <w:sz w:val="18"/>
          <w:szCs w:val="18"/>
        </w:rPr>
        <w:t xml:space="preserve">   </w:t>
      </w:r>
      <w:r w:rsidR="00333A4F" w:rsidRPr="006824F2">
        <w:rPr>
          <w:rFonts w:ascii="Arial" w:hAnsi="Arial" w:cs="Arial"/>
          <w:b/>
          <w:bCs/>
          <w:sz w:val="18"/>
          <w:szCs w:val="18"/>
        </w:rPr>
        <w:t>USE</w:t>
      </w:r>
      <w:r w:rsidR="00333A4F">
        <w:rPr>
          <w:rFonts w:ascii="Arial" w:hAnsi="Arial" w:cs="Arial"/>
          <w:b/>
          <w:bCs/>
          <w:sz w:val="18"/>
          <w:szCs w:val="18"/>
        </w:rPr>
        <w:t>S</w:t>
      </w:r>
    </w:p>
    <w:p w14:paraId="545F3301" w14:textId="08811BAD" w:rsidR="00B17044" w:rsidRDefault="002039DB" w:rsidP="001B059F">
      <w:pPr>
        <w:jc w:val="both"/>
        <w:rPr>
          <w:rFonts w:ascii="Arial" w:hAnsi="Arial" w:cs="Arial"/>
          <w:sz w:val="18"/>
        </w:rPr>
      </w:pPr>
      <w:r>
        <w:rPr>
          <w:rFonts w:ascii="Arial" w:hAnsi="Arial" w:cs="Arial"/>
          <w:sz w:val="18"/>
        </w:rPr>
        <w:t xml:space="preserve">Article </w:t>
      </w:r>
      <w:r w:rsidR="005A28AD">
        <w:rPr>
          <w:rFonts w:ascii="Arial" w:hAnsi="Arial" w:cs="Arial"/>
          <w:sz w:val="18"/>
        </w:rPr>
        <w:t>15</w:t>
      </w:r>
      <w:r w:rsidR="00B17044">
        <w:rPr>
          <w:rFonts w:ascii="Arial" w:hAnsi="Arial" w:cs="Arial"/>
          <w:sz w:val="18"/>
        </w:rPr>
        <w:t xml:space="preserve"> lists permitted, temporary, and accessory uses for </w:t>
      </w:r>
      <w:r w:rsidR="0091061E">
        <w:rPr>
          <w:rFonts w:ascii="Arial" w:hAnsi="Arial" w:cs="Arial"/>
          <w:sz w:val="18"/>
        </w:rPr>
        <w:t xml:space="preserve">the </w:t>
      </w:r>
      <w:r w:rsidR="003A0F40">
        <w:rPr>
          <w:rFonts w:ascii="Arial" w:hAnsi="Arial" w:cs="Arial"/>
          <w:sz w:val="18"/>
        </w:rPr>
        <w:t xml:space="preserve">Commercial </w:t>
      </w:r>
      <w:r w:rsidR="003E054E">
        <w:rPr>
          <w:rFonts w:ascii="Arial" w:hAnsi="Arial" w:cs="Arial"/>
          <w:sz w:val="18"/>
        </w:rPr>
        <w:t xml:space="preserve">Zoning </w:t>
      </w:r>
      <w:r w:rsidR="003A0F40">
        <w:rPr>
          <w:rFonts w:ascii="Arial" w:hAnsi="Arial" w:cs="Arial"/>
          <w:sz w:val="18"/>
        </w:rPr>
        <w:t>Districts</w:t>
      </w:r>
      <w:r w:rsidR="0091061E">
        <w:rPr>
          <w:rFonts w:ascii="Arial" w:hAnsi="Arial" w:cs="Arial"/>
          <w:sz w:val="18"/>
        </w:rPr>
        <w:t>.</w:t>
      </w:r>
      <w:r w:rsidR="00405C59" w:rsidRPr="00405C59">
        <w:rPr>
          <w:rFonts w:ascii="Arial" w:hAnsi="Arial" w:cs="Arial"/>
          <w:sz w:val="18"/>
        </w:rPr>
        <w:t xml:space="preserve"> </w:t>
      </w:r>
      <w:r w:rsidR="00405C59">
        <w:rPr>
          <w:rFonts w:ascii="Arial" w:hAnsi="Arial" w:cs="Arial"/>
          <w:sz w:val="18"/>
        </w:rPr>
        <w:t>Use definitions are found in Article 15.</w:t>
      </w:r>
      <w:r w:rsidR="00CE6F95">
        <w:rPr>
          <w:rFonts w:ascii="Arial" w:hAnsi="Arial" w:cs="Arial"/>
          <w:sz w:val="18"/>
        </w:rPr>
        <w:t xml:space="preserve"> </w:t>
      </w:r>
      <w:r w:rsidR="00CE6F95" w:rsidRPr="00CE6F95">
        <w:rPr>
          <w:rFonts w:ascii="Arial" w:hAnsi="Arial" w:cs="Arial"/>
          <w:sz w:val="18"/>
        </w:rPr>
        <w:t>Prescribed conditions applicable to certain principal uses, temporary uses, and accessory uses are also found in Article 15.</w:t>
      </w:r>
    </w:p>
    <w:p w14:paraId="5D5F5079" w14:textId="77777777" w:rsidR="00B95773" w:rsidRPr="006824F2" w:rsidRDefault="00B95773" w:rsidP="001B059F">
      <w:pPr>
        <w:rPr>
          <w:rFonts w:ascii="Arial" w:hAnsi="Arial" w:cs="Arial"/>
          <w:sz w:val="18"/>
          <w:szCs w:val="18"/>
        </w:rPr>
      </w:pPr>
    </w:p>
    <w:p w14:paraId="12AB9C7D" w14:textId="45297171" w:rsidR="00046B35"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F11682">
        <w:rPr>
          <w:rFonts w:ascii="Arial" w:hAnsi="Arial" w:cs="Arial"/>
          <w:b/>
          <w:bCs/>
          <w:sz w:val="18"/>
          <w:szCs w:val="18"/>
        </w:rPr>
        <w:t xml:space="preserve">3   </w:t>
      </w:r>
      <w:r w:rsidR="00333A4F" w:rsidRPr="006824F2">
        <w:rPr>
          <w:rFonts w:ascii="Arial" w:hAnsi="Arial" w:cs="Arial"/>
          <w:b/>
          <w:bCs/>
          <w:sz w:val="18"/>
          <w:szCs w:val="18"/>
        </w:rPr>
        <w:t xml:space="preserve">DIMENSIONAL </w:t>
      </w:r>
      <w:r w:rsidR="00333A4F">
        <w:rPr>
          <w:rFonts w:ascii="Arial" w:hAnsi="Arial" w:cs="Arial"/>
          <w:b/>
          <w:bCs/>
          <w:sz w:val="18"/>
          <w:szCs w:val="18"/>
        </w:rPr>
        <w:t xml:space="preserve">AND DESIGN </w:t>
      </w:r>
      <w:r w:rsidR="00333A4F" w:rsidRPr="006824F2">
        <w:rPr>
          <w:rFonts w:ascii="Arial" w:hAnsi="Arial" w:cs="Arial"/>
          <w:b/>
          <w:bCs/>
          <w:sz w:val="18"/>
          <w:szCs w:val="18"/>
        </w:rPr>
        <w:t>STANDARDS</w:t>
      </w:r>
    </w:p>
    <w:p w14:paraId="01ED790F" w14:textId="77777777" w:rsidR="00C06EBE" w:rsidRDefault="00C06EBE" w:rsidP="001B059F">
      <w:pPr>
        <w:rPr>
          <w:rFonts w:ascii="Arial" w:hAnsi="Arial" w:cs="Arial"/>
          <w:sz w:val="18"/>
          <w:szCs w:val="18"/>
        </w:rPr>
      </w:pPr>
    </w:p>
    <w:p w14:paraId="2B216F26" w14:textId="77777777" w:rsidR="00F477CB" w:rsidRPr="00E23883" w:rsidRDefault="00C06EBE" w:rsidP="001B059F">
      <w:pPr>
        <w:rPr>
          <w:rFonts w:ascii="Arial" w:hAnsi="Arial" w:cs="Arial"/>
          <w:b/>
          <w:bCs/>
          <w:sz w:val="18"/>
          <w:szCs w:val="18"/>
        </w:rPr>
      </w:pPr>
      <w:r w:rsidRPr="00E23883">
        <w:rPr>
          <w:rFonts w:ascii="Arial" w:hAnsi="Arial" w:cs="Arial"/>
          <w:b/>
          <w:bCs/>
          <w:sz w:val="18"/>
          <w:szCs w:val="18"/>
        </w:rPr>
        <w:t>A.</w:t>
      </w:r>
      <w:r w:rsidRPr="00E23883">
        <w:rPr>
          <w:rFonts w:ascii="Arial" w:hAnsi="Arial" w:cs="Arial"/>
          <w:b/>
          <w:bCs/>
          <w:sz w:val="18"/>
          <w:szCs w:val="18"/>
        </w:rPr>
        <w:tab/>
        <w:t>General</w:t>
      </w:r>
    </w:p>
    <w:p w14:paraId="701FF979" w14:textId="77777777" w:rsidR="00A92E2E" w:rsidRDefault="00A92E2E" w:rsidP="001B059F">
      <w:pPr>
        <w:rPr>
          <w:rFonts w:ascii="Arial" w:hAnsi="Arial" w:cs="Arial"/>
          <w:sz w:val="18"/>
          <w:szCs w:val="18"/>
        </w:rPr>
      </w:pPr>
    </w:p>
    <w:p w14:paraId="7F6C9924" w14:textId="614BB8B2" w:rsidR="00A92E2E" w:rsidRDefault="00A92E2E" w:rsidP="001B059F">
      <w:pPr>
        <w:ind w:left="360"/>
        <w:rPr>
          <w:rFonts w:ascii="Arial" w:hAnsi="Arial" w:cs="Arial"/>
          <w:sz w:val="18"/>
          <w:szCs w:val="18"/>
        </w:rPr>
      </w:pPr>
      <w:r w:rsidRPr="0008003A">
        <w:rPr>
          <w:rFonts w:ascii="Arial" w:hAnsi="Arial" w:cs="Arial"/>
          <w:b/>
          <w:bCs/>
          <w:sz w:val="18"/>
          <w:szCs w:val="18"/>
        </w:rPr>
        <w:t>1.</w:t>
      </w:r>
      <w:r>
        <w:rPr>
          <w:rFonts w:ascii="Arial" w:hAnsi="Arial" w:cs="Arial"/>
          <w:sz w:val="18"/>
          <w:szCs w:val="18"/>
        </w:rPr>
        <w:tab/>
      </w:r>
      <w:r w:rsidR="00117BA0">
        <w:rPr>
          <w:rFonts w:ascii="Arial" w:hAnsi="Arial" w:cs="Arial"/>
          <w:sz w:val="18"/>
          <w:szCs w:val="18"/>
        </w:rPr>
        <w:t xml:space="preserve">The tables below include the dimensional and design standards for the </w:t>
      </w:r>
      <w:r w:rsidR="003A0F40">
        <w:rPr>
          <w:rFonts w:ascii="Arial" w:hAnsi="Arial" w:cs="Arial"/>
          <w:sz w:val="18"/>
          <w:szCs w:val="18"/>
        </w:rPr>
        <w:t xml:space="preserve">Commercial </w:t>
      </w:r>
      <w:r w:rsidR="00DC59B7">
        <w:rPr>
          <w:rFonts w:ascii="Arial" w:hAnsi="Arial" w:cs="Arial"/>
          <w:sz w:val="18"/>
          <w:szCs w:val="18"/>
        </w:rPr>
        <w:t xml:space="preserve">Zoning </w:t>
      </w:r>
      <w:r w:rsidR="003A0F40">
        <w:rPr>
          <w:rFonts w:ascii="Arial" w:hAnsi="Arial" w:cs="Arial"/>
          <w:sz w:val="18"/>
          <w:szCs w:val="18"/>
        </w:rPr>
        <w:t>Districts</w:t>
      </w:r>
      <w:r w:rsidR="00117BA0">
        <w:rPr>
          <w:rFonts w:ascii="Arial" w:hAnsi="Arial" w:cs="Arial"/>
          <w:sz w:val="18"/>
          <w:szCs w:val="18"/>
        </w:rPr>
        <w:t xml:space="preserve">. </w:t>
      </w:r>
      <w:bookmarkStart w:id="1" w:name="_Hlk83395450"/>
      <w:r w:rsidR="008814D4" w:rsidRPr="00F2262F">
        <w:rPr>
          <w:rFonts w:ascii="Arial" w:hAnsi="Arial" w:cs="Arial"/>
          <w:sz w:val="18"/>
          <w:szCs w:val="18"/>
        </w:rPr>
        <w:t>Standards within the tables below may contain specific regulations organized by frontage type (Section 3.5).</w:t>
      </w:r>
      <w:bookmarkEnd w:id="1"/>
    </w:p>
    <w:p w14:paraId="0931AE2F" w14:textId="77777777" w:rsidR="00A92E2E" w:rsidRDefault="00A92E2E" w:rsidP="001B059F">
      <w:pPr>
        <w:ind w:left="360"/>
        <w:rPr>
          <w:rFonts w:ascii="Arial" w:hAnsi="Arial" w:cs="Arial"/>
          <w:sz w:val="18"/>
          <w:szCs w:val="18"/>
        </w:rPr>
      </w:pPr>
    </w:p>
    <w:p w14:paraId="5C9F2F7D" w14:textId="415C7A7E" w:rsidR="006824F2" w:rsidRDefault="00A92E2E" w:rsidP="001B059F">
      <w:pPr>
        <w:ind w:left="360"/>
        <w:rPr>
          <w:rFonts w:ascii="Arial" w:hAnsi="Arial" w:cs="Arial"/>
          <w:sz w:val="18"/>
          <w:szCs w:val="18"/>
        </w:rPr>
      </w:pPr>
      <w:r w:rsidRPr="0008003A">
        <w:rPr>
          <w:rFonts w:ascii="Arial" w:hAnsi="Arial" w:cs="Arial"/>
          <w:b/>
          <w:bCs/>
          <w:sz w:val="18"/>
          <w:szCs w:val="18"/>
        </w:rPr>
        <w:t>2.</w:t>
      </w:r>
      <w:r>
        <w:rPr>
          <w:rFonts w:ascii="Arial" w:hAnsi="Arial" w:cs="Arial"/>
          <w:sz w:val="18"/>
          <w:szCs w:val="18"/>
        </w:rPr>
        <w:tab/>
      </w:r>
      <w:r w:rsidR="00B46328">
        <w:rPr>
          <w:rFonts w:ascii="Arial" w:hAnsi="Arial" w:cs="Arial"/>
          <w:sz w:val="18"/>
          <w:szCs w:val="18"/>
        </w:rPr>
        <w:t xml:space="preserve"> </w:t>
      </w:r>
      <w:r w:rsidR="008E154F" w:rsidRPr="008E154F">
        <w:rPr>
          <w:rFonts w:ascii="Arial" w:hAnsi="Arial" w:cs="Arial"/>
          <w:sz w:val="18"/>
          <w:szCs w:val="18"/>
        </w:rPr>
        <w:t xml:space="preserve">Where this Ordinance refers to frontages in general, </w:t>
      </w:r>
      <w:r w:rsidR="003E054E" w:rsidRPr="008E154F">
        <w:rPr>
          <w:rFonts w:ascii="Arial" w:hAnsi="Arial" w:cs="Arial"/>
          <w:sz w:val="18"/>
          <w:szCs w:val="18"/>
        </w:rPr>
        <w:t xml:space="preserve">transit station, off-street public path, public park </w:t>
      </w:r>
      <w:r w:rsidR="008E154F" w:rsidRPr="008E154F">
        <w:rPr>
          <w:rFonts w:ascii="Arial" w:hAnsi="Arial" w:cs="Arial"/>
          <w:sz w:val="18"/>
          <w:szCs w:val="18"/>
        </w:rPr>
        <w:t xml:space="preserve">shall not be considered a frontage within the </w:t>
      </w:r>
      <w:r w:rsidR="0043068F">
        <w:rPr>
          <w:rFonts w:ascii="Arial" w:hAnsi="Arial" w:cs="Arial"/>
          <w:sz w:val="18"/>
        </w:rPr>
        <w:t>Commercial Zoning Districts</w:t>
      </w:r>
      <w:r w:rsidR="008E154F" w:rsidRPr="008E154F">
        <w:rPr>
          <w:rFonts w:ascii="Arial" w:hAnsi="Arial" w:cs="Arial"/>
          <w:sz w:val="18"/>
          <w:szCs w:val="18"/>
        </w:rPr>
        <w:t>.</w:t>
      </w:r>
    </w:p>
    <w:p w14:paraId="128D5342" w14:textId="52BFCD4A" w:rsidR="00093A23" w:rsidRDefault="00093A23" w:rsidP="001B059F">
      <w:pPr>
        <w:ind w:left="360"/>
        <w:rPr>
          <w:rFonts w:ascii="Arial" w:hAnsi="Arial" w:cs="Arial"/>
          <w:sz w:val="18"/>
          <w:szCs w:val="18"/>
        </w:rPr>
      </w:pPr>
    </w:p>
    <w:p w14:paraId="2EAC35DF" w14:textId="1C75A2A6" w:rsidR="00093A23" w:rsidRDefault="00093A23" w:rsidP="001B059F">
      <w:pPr>
        <w:ind w:left="360"/>
        <w:rPr>
          <w:rFonts w:ascii="Arial" w:hAnsi="Arial" w:cs="Arial"/>
          <w:sz w:val="18"/>
          <w:szCs w:val="18"/>
        </w:rPr>
      </w:pPr>
      <w:r w:rsidRPr="0008003A">
        <w:rPr>
          <w:rFonts w:ascii="Arial" w:hAnsi="Arial" w:cs="Arial"/>
          <w:b/>
          <w:bCs/>
          <w:sz w:val="18"/>
          <w:szCs w:val="18"/>
        </w:rPr>
        <w:t>3.</w:t>
      </w:r>
      <w:r>
        <w:rPr>
          <w:rFonts w:ascii="Arial" w:hAnsi="Arial" w:cs="Arial"/>
          <w:sz w:val="18"/>
          <w:szCs w:val="18"/>
        </w:rPr>
        <w:tab/>
      </w:r>
      <w:r w:rsidRPr="00463ED9">
        <w:rPr>
          <w:rFonts w:ascii="Arial" w:hAnsi="Arial" w:cs="Arial"/>
          <w:sz w:val="18"/>
          <w:szCs w:val="18"/>
        </w:rPr>
        <w:t>In the tables below, where a cell contains a standard or a “</w:t>
      </w:r>
      <w:r w:rsidRPr="00463ED9">
        <w:rPr>
          <w:rFonts w:ascii="Wingdings" w:hAnsi="Wingdings" w:cs="Arial"/>
          <w:sz w:val="20"/>
          <w:szCs w:val="20"/>
        </w:rPr>
        <w:t></w:t>
      </w:r>
      <w:r w:rsidRPr="00463ED9">
        <w:rPr>
          <w:rFonts w:ascii="Arial" w:hAnsi="Arial" w:cs="Arial"/>
          <w:sz w:val="18"/>
          <w:szCs w:val="18"/>
        </w:rPr>
        <w:t xml:space="preserve">” the standard is applicable. Where a cell is </w:t>
      </w:r>
      <w:r w:rsidR="003856C1">
        <w:rPr>
          <w:rFonts w:ascii="Arial" w:hAnsi="Arial" w:cs="Arial"/>
          <w:sz w:val="18"/>
          <w:szCs w:val="18"/>
        </w:rPr>
        <w:t xml:space="preserve">blank and </w:t>
      </w:r>
      <w:r w:rsidRPr="00463ED9">
        <w:rPr>
          <w:rFonts w:ascii="Arial" w:hAnsi="Arial" w:cs="Arial"/>
          <w:sz w:val="18"/>
          <w:szCs w:val="18"/>
        </w:rPr>
        <w:t>shaded, the standard does not apply.</w:t>
      </w:r>
    </w:p>
    <w:p w14:paraId="54156585" w14:textId="77777777" w:rsidR="00A86243" w:rsidRDefault="00A86243" w:rsidP="001B059F">
      <w:pPr>
        <w:ind w:left="360"/>
        <w:rPr>
          <w:rFonts w:ascii="Arial" w:hAnsi="Arial" w:cs="Arial"/>
          <w:sz w:val="18"/>
          <w:szCs w:val="18"/>
        </w:rPr>
      </w:pPr>
    </w:p>
    <w:p w14:paraId="7A256CCD" w14:textId="78BE2482" w:rsidR="00A86243" w:rsidRPr="001C7DEF" w:rsidRDefault="00A86243" w:rsidP="001B059F">
      <w:pPr>
        <w:ind w:left="360"/>
        <w:rPr>
          <w:rFonts w:ascii="Arial" w:hAnsi="Arial" w:cs="Arial"/>
          <w:sz w:val="18"/>
          <w:szCs w:val="18"/>
        </w:rPr>
      </w:pPr>
      <w:r w:rsidRPr="001C7DEF">
        <w:rPr>
          <w:rFonts w:ascii="Arial" w:hAnsi="Arial" w:cs="Arial"/>
          <w:b/>
          <w:bCs/>
          <w:sz w:val="18"/>
          <w:szCs w:val="18"/>
        </w:rPr>
        <w:t>4.</w:t>
      </w:r>
      <w:r w:rsidRPr="001C7DEF">
        <w:rPr>
          <w:rFonts w:ascii="Arial" w:hAnsi="Arial" w:cs="Arial"/>
          <w:sz w:val="18"/>
          <w:szCs w:val="18"/>
        </w:rPr>
        <w:tab/>
      </w:r>
      <w:r w:rsidR="00610711" w:rsidRPr="001C7DEF">
        <w:rPr>
          <w:rFonts w:ascii="Arial" w:hAnsi="Arial" w:cs="Arial"/>
          <w:sz w:val="18"/>
          <w:szCs w:val="18"/>
        </w:rPr>
        <w:t>Within Commercial Zoning Districts</w:t>
      </w:r>
      <w:r w:rsidR="009A3143" w:rsidRPr="001C7DEF">
        <w:rPr>
          <w:rFonts w:ascii="Arial" w:hAnsi="Arial" w:cs="Arial"/>
          <w:sz w:val="18"/>
          <w:szCs w:val="18"/>
        </w:rPr>
        <w:t>, the following shall apply</w:t>
      </w:r>
      <w:r w:rsidR="004B3879" w:rsidRPr="001C7DEF">
        <w:rPr>
          <w:rFonts w:ascii="Arial" w:hAnsi="Arial" w:cs="Arial"/>
          <w:sz w:val="18"/>
          <w:szCs w:val="18"/>
        </w:rPr>
        <w:t xml:space="preserve"> to </w:t>
      </w:r>
      <w:r w:rsidR="00E52142" w:rsidRPr="001C7DEF">
        <w:rPr>
          <w:rFonts w:ascii="Arial" w:hAnsi="Arial" w:cs="Arial"/>
          <w:sz w:val="18"/>
          <w:szCs w:val="18"/>
        </w:rPr>
        <w:t xml:space="preserve">multi-family attached </w:t>
      </w:r>
      <w:r w:rsidR="004B3879" w:rsidRPr="001C7DEF">
        <w:rPr>
          <w:rFonts w:ascii="Arial" w:hAnsi="Arial" w:cs="Arial"/>
          <w:sz w:val="18"/>
          <w:szCs w:val="18"/>
        </w:rPr>
        <w:t>residential developments</w:t>
      </w:r>
      <w:r w:rsidR="009A3143" w:rsidRPr="001C7DEF">
        <w:rPr>
          <w:rFonts w:ascii="Arial" w:hAnsi="Arial" w:cs="Arial"/>
          <w:sz w:val="18"/>
          <w:szCs w:val="18"/>
        </w:rPr>
        <w:t>:</w:t>
      </w:r>
    </w:p>
    <w:p w14:paraId="1697BAC2" w14:textId="77777777" w:rsidR="00EE78CF" w:rsidRPr="001C7DEF" w:rsidRDefault="00EE78CF" w:rsidP="001B059F">
      <w:pPr>
        <w:ind w:left="360"/>
        <w:rPr>
          <w:rFonts w:ascii="Arial" w:hAnsi="Arial" w:cs="Arial"/>
          <w:sz w:val="18"/>
          <w:szCs w:val="18"/>
        </w:rPr>
      </w:pPr>
    </w:p>
    <w:p w14:paraId="32EBBF20" w14:textId="4B8BB415" w:rsidR="00337196" w:rsidRPr="001C7DEF" w:rsidRDefault="00EE78CF" w:rsidP="001B059F">
      <w:pPr>
        <w:ind w:left="360"/>
        <w:rPr>
          <w:rFonts w:ascii="Arial" w:hAnsi="Arial" w:cs="Arial"/>
          <w:sz w:val="18"/>
          <w:szCs w:val="18"/>
        </w:rPr>
      </w:pPr>
      <w:r w:rsidRPr="001C7DEF">
        <w:rPr>
          <w:rFonts w:ascii="Arial" w:hAnsi="Arial" w:cs="Arial"/>
          <w:sz w:val="18"/>
          <w:szCs w:val="18"/>
        </w:rPr>
        <w:tab/>
      </w:r>
      <w:r w:rsidRPr="001C7DEF">
        <w:rPr>
          <w:rFonts w:ascii="Arial" w:hAnsi="Arial" w:cs="Arial"/>
          <w:b/>
          <w:bCs/>
          <w:sz w:val="18"/>
          <w:szCs w:val="18"/>
        </w:rPr>
        <w:t>a.</w:t>
      </w:r>
      <w:r w:rsidRPr="001C7DEF">
        <w:rPr>
          <w:rFonts w:ascii="Arial" w:hAnsi="Arial" w:cs="Arial"/>
          <w:sz w:val="18"/>
          <w:szCs w:val="18"/>
        </w:rPr>
        <w:tab/>
      </w:r>
      <w:r w:rsidR="00337196" w:rsidRPr="001C7DEF">
        <w:rPr>
          <w:rFonts w:ascii="Arial" w:hAnsi="Arial" w:cs="Arial"/>
          <w:sz w:val="18"/>
          <w:szCs w:val="18"/>
        </w:rPr>
        <w:t xml:space="preserve">If a minimum 25’ Class B landscape yard, measured from the future right-of-way line, </w:t>
      </w:r>
      <w:proofErr w:type="gramStart"/>
      <w:r w:rsidR="00337196" w:rsidRPr="001C7DEF">
        <w:rPr>
          <w:rFonts w:ascii="Arial" w:hAnsi="Arial" w:cs="Arial"/>
          <w:sz w:val="18"/>
          <w:szCs w:val="18"/>
        </w:rPr>
        <w:t>abuts</w:t>
      </w:r>
      <w:proofErr w:type="gramEnd"/>
      <w:r w:rsidR="00337196" w:rsidRPr="001C7DEF">
        <w:rPr>
          <w:rFonts w:ascii="Arial" w:hAnsi="Arial" w:cs="Arial"/>
          <w:sz w:val="18"/>
          <w:szCs w:val="18"/>
        </w:rPr>
        <w:t xml:space="preserve"> and runs </w:t>
      </w:r>
      <w:r w:rsidR="00337196" w:rsidRPr="001C7DEF">
        <w:rPr>
          <w:rFonts w:ascii="Arial" w:hAnsi="Arial" w:cs="Arial"/>
          <w:sz w:val="18"/>
          <w:szCs w:val="18"/>
        </w:rPr>
        <w:tab/>
        <w:t xml:space="preserve">parallel to an arterial street, the portion of the arterial street abutting this landscape yard shall not be </w:t>
      </w:r>
      <w:r w:rsidR="00337196" w:rsidRPr="001C7DEF">
        <w:rPr>
          <w:rFonts w:ascii="Arial" w:hAnsi="Arial" w:cs="Arial"/>
          <w:sz w:val="18"/>
          <w:szCs w:val="18"/>
        </w:rPr>
        <w:tab/>
        <w:t xml:space="preserve">considered a frontage for the standards of this article. The portion of the arterial street abutting this </w:t>
      </w:r>
      <w:r w:rsidR="00337196" w:rsidRPr="001C7DEF">
        <w:rPr>
          <w:rFonts w:ascii="Arial" w:hAnsi="Arial" w:cs="Arial"/>
          <w:sz w:val="18"/>
          <w:szCs w:val="18"/>
        </w:rPr>
        <w:tab/>
        <w:t>landscape yard shall still be considered a frontage for the standards of the remainder of this Ordinance.</w:t>
      </w:r>
      <w:r w:rsidR="00413955" w:rsidRPr="001C7DEF">
        <w:rPr>
          <w:rFonts w:ascii="Arial" w:hAnsi="Arial" w:cs="Arial"/>
          <w:sz w:val="18"/>
          <w:szCs w:val="18"/>
        </w:rPr>
        <w:t xml:space="preserve"> </w:t>
      </w:r>
      <w:r w:rsidR="006A4D1B" w:rsidRPr="001C7DEF">
        <w:rPr>
          <w:rFonts w:ascii="Arial" w:hAnsi="Arial" w:cs="Arial"/>
          <w:sz w:val="18"/>
          <w:szCs w:val="18"/>
        </w:rPr>
        <w:t xml:space="preserve">No </w:t>
      </w:r>
      <w:r w:rsidR="00413955" w:rsidRPr="001C7DEF">
        <w:rPr>
          <w:rFonts w:ascii="Arial" w:hAnsi="Arial" w:cs="Arial"/>
          <w:sz w:val="18"/>
          <w:szCs w:val="18"/>
        </w:rPr>
        <w:tab/>
      </w:r>
      <w:r w:rsidR="006A4D1B" w:rsidRPr="001C7DEF">
        <w:rPr>
          <w:rFonts w:ascii="Arial" w:hAnsi="Arial" w:cs="Arial"/>
          <w:sz w:val="18"/>
          <w:szCs w:val="18"/>
        </w:rPr>
        <w:t>parking lots shall be located between these landscape yards and permitted uses.</w:t>
      </w:r>
    </w:p>
    <w:p w14:paraId="4455DB15" w14:textId="7544FC7B" w:rsidR="003A0592" w:rsidRDefault="003A0592">
      <w:pPr>
        <w:rPr>
          <w:rFonts w:ascii="Arial" w:hAnsi="Arial" w:cs="Arial"/>
          <w:sz w:val="18"/>
          <w:szCs w:val="18"/>
        </w:rPr>
      </w:pPr>
      <w:r>
        <w:rPr>
          <w:rFonts w:ascii="Arial" w:hAnsi="Arial" w:cs="Arial"/>
          <w:sz w:val="18"/>
          <w:szCs w:val="18"/>
        </w:rPr>
        <w:br w:type="page"/>
      </w:r>
    </w:p>
    <w:p w14:paraId="72970047" w14:textId="77777777" w:rsidR="00165DEC" w:rsidRDefault="00165DEC" w:rsidP="001B059F">
      <w:pPr>
        <w:rPr>
          <w:rFonts w:ascii="Arial" w:hAnsi="Arial" w:cs="Arial"/>
          <w:sz w:val="18"/>
          <w:szCs w:val="18"/>
        </w:rPr>
      </w:pPr>
    </w:p>
    <w:p w14:paraId="2C3438E0" w14:textId="2F6AFE17" w:rsidR="00CC6D1D" w:rsidRDefault="00977949" w:rsidP="001B059F">
      <w:pPr>
        <w:rPr>
          <w:rFonts w:ascii="Arial" w:hAnsi="Arial" w:cs="Arial"/>
          <w:b/>
          <w:bCs/>
          <w:sz w:val="18"/>
          <w:szCs w:val="18"/>
        </w:rPr>
      </w:pPr>
      <w:r>
        <w:rPr>
          <w:rFonts w:ascii="Arial" w:hAnsi="Arial" w:cs="Arial"/>
          <w:b/>
          <w:bCs/>
          <w:sz w:val="18"/>
          <w:szCs w:val="18"/>
        </w:rPr>
        <w:t>B</w:t>
      </w:r>
      <w:r w:rsidR="006824F2" w:rsidRPr="006824F2">
        <w:rPr>
          <w:rFonts w:ascii="Arial" w:hAnsi="Arial" w:cs="Arial"/>
          <w:b/>
          <w:bCs/>
          <w:sz w:val="18"/>
          <w:szCs w:val="18"/>
        </w:rPr>
        <w:t xml:space="preserve">. </w:t>
      </w:r>
      <w:r w:rsidR="006824F2" w:rsidRPr="006824F2">
        <w:rPr>
          <w:rFonts w:ascii="Arial" w:hAnsi="Arial" w:cs="Arial"/>
          <w:b/>
          <w:bCs/>
          <w:sz w:val="18"/>
          <w:szCs w:val="18"/>
        </w:rPr>
        <w:tab/>
      </w:r>
      <w:r w:rsidR="00CC6D1D">
        <w:rPr>
          <w:rFonts w:ascii="Arial" w:hAnsi="Arial" w:cs="Arial"/>
          <w:b/>
          <w:bCs/>
          <w:sz w:val="18"/>
          <w:szCs w:val="18"/>
        </w:rPr>
        <w:t>Lot</w:t>
      </w:r>
    </w:p>
    <w:p w14:paraId="77A1F4C1" w14:textId="792400F0" w:rsidR="00CC6D1D" w:rsidRDefault="003A0592" w:rsidP="001B059F">
      <w:pPr>
        <w:rPr>
          <w:rFonts w:ascii="Arial" w:hAnsi="Arial" w:cs="Arial"/>
          <w:sz w:val="18"/>
          <w:szCs w:val="18"/>
        </w:rPr>
      </w:pPr>
      <w:r>
        <w:rPr>
          <w:rFonts w:ascii="Arial" w:hAnsi="Arial" w:cs="Arial"/>
          <w:noProof/>
          <w:sz w:val="18"/>
          <w:szCs w:val="18"/>
        </w:rPr>
        <w:drawing>
          <wp:anchor distT="0" distB="0" distL="114300" distR="114300" simplePos="0" relativeHeight="251658242" behindDoc="0" locked="0" layoutInCell="1" allowOverlap="1" wp14:anchorId="18470ED8" wp14:editId="7EDADAD1">
            <wp:simplePos x="0" y="0"/>
            <wp:positionH relativeFrom="column">
              <wp:posOffset>17047</wp:posOffset>
            </wp:positionH>
            <wp:positionV relativeFrom="paragraph">
              <wp:posOffset>483870</wp:posOffset>
            </wp:positionV>
            <wp:extent cx="5843905" cy="2584450"/>
            <wp:effectExtent l="0" t="0" r="0" b="6350"/>
            <wp:wrapTopAndBottom/>
            <wp:docPr id="5" name="Picture 5"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se, accessory&#10;&#10;Description automatically generated"/>
                    <pic:cNvPicPr/>
                  </pic:nvPicPr>
                  <pic:blipFill rotWithShape="1">
                    <a:blip r:embed="rId10">
                      <a:extLst>
                        <a:ext uri="{28A0092B-C50C-407E-A947-70E740481C1C}">
                          <a14:useLocalDpi xmlns:a14="http://schemas.microsoft.com/office/drawing/2010/main" val="0"/>
                        </a:ext>
                      </a:extLst>
                    </a:blip>
                    <a:srcRect t="5448" b="6076"/>
                    <a:stretch/>
                  </pic:blipFill>
                  <pic:spPr bwMode="auto">
                    <a:xfrm>
                      <a:off x="0" y="0"/>
                      <a:ext cx="5843905" cy="258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6D1D">
        <w:rPr>
          <w:rFonts w:ascii="Arial" w:hAnsi="Arial" w:cs="Arial"/>
          <w:sz w:val="18"/>
          <w:szCs w:val="18"/>
        </w:rPr>
        <w:t>Lot standards govern the basic dimensions of lots, including but not limited to minimum area, width, and coverage as applicable. These standards are intended to provide a rational basis for the division, organization, and development of land within the City of Charlotte.</w:t>
      </w:r>
    </w:p>
    <w:p w14:paraId="1EBDA868" w14:textId="24C3731E" w:rsidR="00CC6D1D" w:rsidRDefault="00CC6D1D" w:rsidP="001B059F">
      <w:pPr>
        <w:rPr>
          <w:rFonts w:ascii="Arial" w:hAnsi="Arial" w:cs="Arial"/>
          <w:sz w:val="18"/>
          <w:szCs w:val="18"/>
        </w:rPr>
      </w:pPr>
    </w:p>
    <w:tbl>
      <w:tblPr>
        <w:tblStyle w:val="TableGrid"/>
        <w:tblW w:w="9355" w:type="dxa"/>
        <w:tblLook w:val="04A0" w:firstRow="1" w:lastRow="0" w:firstColumn="1" w:lastColumn="0" w:noHBand="0" w:noVBand="1"/>
      </w:tblPr>
      <w:tblGrid>
        <w:gridCol w:w="355"/>
        <w:gridCol w:w="6210"/>
        <w:gridCol w:w="1395"/>
        <w:gridCol w:w="1395"/>
      </w:tblGrid>
      <w:tr w:rsidR="00143098" w:rsidRPr="003E054E" w14:paraId="371B8C6A" w14:textId="77777777" w:rsidTr="00F5257C">
        <w:trPr>
          <w:tblHeader/>
        </w:trPr>
        <w:tc>
          <w:tcPr>
            <w:tcW w:w="9355" w:type="dxa"/>
            <w:gridSpan w:val="4"/>
            <w:shd w:val="clear" w:color="auto" w:fill="1F4E79" w:themeFill="accent5" w:themeFillShade="80"/>
          </w:tcPr>
          <w:p w14:paraId="46B2094C" w14:textId="15D8AC35" w:rsidR="00143098" w:rsidRPr="003E054E" w:rsidRDefault="00C73D0C"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6-1: </w:t>
            </w:r>
            <w:r w:rsidR="00143098">
              <w:rPr>
                <w:rFonts w:ascii="Arial Narrow" w:hAnsi="Arial Narrow" w:cs="Arial"/>
                <w:b/>
                <w:color w:val="FFFFFF" w:themeColor="background1"/>
                <w:sz w:val="18"/>
                <w:szCs w:val="18"/>
              </w:rPr>
              <w:t>Commercial Zoning Districts Lot Standards</w:t>
            </w:r>
            <w:r w:rsidR="00CE6F95" w:rsidRPr="00D52974">
              <w:rPr>
                <w:rFonts w:ascii="Arial Narrow" w:hAnsi="Arial Narrow" w:cs="Arial"/>
                <w:b/>
                <w:color w:val="FFFFFF" w:themeColor="background1"/>
                <w:sz w:val="18"/>
                <w:szCs w:val="18"/>
                <w:vertAlign w:val="superscript"/>
              </w:rPr>
              <w:t>1</w:t>
            </w:r>
          </w:p>
        </w:tc>
      </w:tr>
      <w:tr w:rsidR="00192CA6" w:rsidRPr="003E054E" w14:paraId="292A0D6B" w14:textId="77777777" w:rsidTr="003E054E">
        <w:trPr>
          <w:tblHeader/>
        </w:trPr>
        <w:tc>
          <w:tcPr>
            <w:tcW w:w="6565" w:type="dxa"/>
            <w:gridSpan w:val="2"/>
            <w:shd w:val="clear" w:color="auto" w:fill="1F4E79" w:themeFill="accent5" w:themeFillShade="80"/>
          </w:tcPr>
          <w:p w14:paraId="34EF27D8" w14:textId="1F3A6014" w:rsidR="00192CA6" w:rsidRPr="003E054E" w:rsidRDefault="00192CA6"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55D854FF" w14:textId="07E4F798" w:rsidR="00192CA6" w:rsidRPr="003E054E" w:rsidRDefault="00192CA6" w:rsidP="001B059F">
            <w:pPr>
              <w:jc w:val="center"/>
              <w:rPr>
                <w:rFonts w:ascii="Arial Narrow" w:hAnsi="Arial Narrow" w:cs="Arial"/>
                <w:b/>
                <w:color w:val="FFFFFF" w:themeColor="background1"/>
                <w:sz w:val="18"/>
                <w:szCs w:val="18"/>
              </w:rPr>
            </w:pPr>
            <w:r w:rsidRPr="003E054E">
              <w:rPr>
                <w:rFonts w:ascii="Arial Narrow" w:hAnsi="Arial Narrow" w:cs="Arial"/>
                <w:b/>
                <w:color w:val="FFFFFF" w:themeColor="background1"/>
                <w:sz w:val="18"/>
                <w:szCs w:val="18"/>
              </w:rPr>
              <w:t>CG</w:t>
            </w:r>
          </w:p>
        </w:tc>
        <w:tc>
          <w:tcPr>
            <w:tcW w:w="1395" w:type="dxa"/>
            <w:shd w:val="clear" w:color="auto" w:fill="1F4E79" w:themeFill="accent5" w:themeFillShade="80"/>
          </w:tcPr>
          <w:p w14:paraId="5A73D7C9" w14:textId="42645288" w:rsidR="00192CA6" w:rsidRPr="003E054E" w:rsidRDefault="00192CA6" w:rsidP="001B059F">
            <w:pPr>
              <w:jc w:val="center"/>
              <w:rPr>
                <w:rFonts w:ascii="Arial Narrow" w:hAnsi="Arial Narrow" w:cs="Arial"/>
                <w:b/>
                <w:color w:val="FFFFFF" w:themeColor="background1"/>
                <w:sz w:val="18"/>
                <w:szCs w:val="18"/>
              </w:rPr>
            </w:pPr>
            <w:r w:rsidRPr="003E054E">
              <w:rPr>
                <w:rFonts w:ascii="Arial Narrow" w:hAnsi="Arial Narrow" w:cs="Arial"/>
                <w:b/>
                <w:color w:val="FFFFFF" w:themeColor="background1"/>
                <w:sz w:val="18"/>
                <w:szCs w:val="18"/>
              </w:rPr>
              <w:t>CR</w:t>
            </w:r>
          </w:p>
        </w:tc>
      </w:tr>
      <w:tr w:rsidR="00192CA6" w:rsidRPr="003E054E" w14:paraId="7E764D6F" w14:textId="77777777" w:rsidTr="00D52974">
        <w:trPr>
          <w:trHeight w:val="288"/>
        </w:trPr>
        <w:tc>
          <w:tcPr>
            <w:tcW w:w="355" w:type="dxa"/>
            <w:tcBorders>
              <w:bottom w:val="single" w:sz="4" w:space="0" w:color="auto"/>
            </w:tcBorders>
            <w:shd w:val="clear" w:color="auto" w:fill="DEEAF6" w:themeFill="accent5" w:themeFillTint="33"/>
            <w:vAlign w:val="center"/>
          </w:tcPr>
          <w:p w14:paraId="67EA3210" w14:textId="1BADAC2D" w:rsidR="00192CA6" w:rsidRPr="003E054E" w:rsidRDefault="00192CA6" w:rsidP="001B059F">
            <w:pPr>
              <w:jc w:val="center"/>
              <w:rPr>
                <w:rFonts w:ascii="Arial Narrow" w:hAnsi="Arial Narrow" w:cs="Arial"/>
                <w:b/>
                <w:bCs/>
                <w:sz w:val="18"/>
                <w:szCs w:val="18"/>
              </w:rPr>
            </w:pPr>
            <w:r w:rsidRPr="003E054E">
              <w:rPr>
                <w:rFonts w:ascii="Arial Narrow" w:hAnsi="Arial Narrow" w:cs="Arial"/>
                <w:b/>
                <w:bCs/>
                <w:sz w:val="18"/>
                <w:szCs w:val="18"/>
              </w:rPr>
              <w:t>A</w:t>
            </w:r>
          </w:p>
        </w:tc>
        <w:tc>
          <w:tcPr>
            <w:tcW w:w="6210" w:type="dxa"/>
            <w:tcBorders>
              <w:bottom w:val="single" w:sz="4" w:space="0" w:color="auto"/>
            </w:tcBorders>
            <w:shd w:val="clear" w:color="auto" w:fill="DEEAF6" w:themeFill="accent5" w:themeFillTint="33"/>
            <w:vAlign w:val="center"/>
          </w:tcPr>
          <w:p w14:paraId="2816A323" w14:textId="784771EB" w:rsidR="00192CA6" w:rsidRPr="003E054E" w:rsidRDefault="00192CA6" w:rsidP="001B059F">
            <w:pPr>
              <w:rPr>
                <w:rFonts w:ascii="Arial Narrow" w:hAnsi="Arial Narrow" w:cs="Arial"/>
                <w:sz w:val="18"/>
                <w:szCs w:val="18"/>
              </w:rPr>
            </w:pPr>
            <w:r w:rsidRPr="003E054E">
              <w:rPr>
                <w:rFonts w:ascii="Arial Narrow" w:hAnsi="Arial Narrow" w:cs="Arial"/>
                <w:b/>
                <w:bCs/>
                <w:sz w:val="18"/>
                <w:szCs w:val="18"/>
              </w:rPr>
              <w:t xml:space="preserve">Minimum Lot Width </w:t>
            </w:r>
            <w:r w:rsidRPr="003E054E">
              <w:rPr>
                <w:rFonts w:ascii="Arial Narrow" w:hAnsi="Arial Narrow" w:cs="Arial"/>
                <w:sz w:val="18"/>
                <w:szCs w:val="18"/>
              </w:rPr>
              <w:t>(feet)</w:t>
            </w:r>
          </w:p>
        </w:tc>
        <w:tc>
          <w:tcPr>
            <w:tcW w:w="1395" w:type="dxa"/>
            <w:tcBorders>
              <w:bottom w:val="single" w:sz="4" w:space="0" w:color="auto"/>
            </w:tcBorders>
            <w:vAlign w:val="center"/>
          </w:tcPr>
          <w:p w14:paraId="166DD357" w14:textId="67892F5D" w:rsidR="00192CA6" w:rsidRPr="003E054E" w:rsidRDefault="00192CA6" w:rsidP="001B059F">
            <w:pPr>
              <w:jc w:val="center"/>
              <w:rPr>
                <w:rFonts w:ascii="Arial Narrow" w:hAnsi="Arial Narrow" w:cs="Arial"/>
                <w:sz w:val="18"/>
                <w:szCs w:val="18"/>
              </w:rPr>
            </w:pPr>
            <w:r w:rsidRPr="003E054E">
              <w:rPr>
                <w:rFonts w:ascii="Arial Narrow" w:hAnsi="Arial Narrow" w:cs="Arial"/>
                <w:sz w:val="18"/>
                <w:szCs w:val="18"/>
              </w:rPr>
              <w:t>50</w:t>
            </w:r>
          </w:p>
        </w:tc>
        <w:tc>
          <w:tcPr>
            <w:tcW w:w="1395" w:type="dxa"/>
            <w:tcBorders>
              <w:bottom w:val="single" w:sz="4" w:space="0" w:color="auto"/>
            </w:tcBorders>
            <w:vAlign w:val="center"/>
          </w:tcPr>
          <w:p w14:paraId="628AB608" w14:textId="731A9FD9" w:rsidR="00192CA6" w:rsidRPr="003E054E" w:rsidRDefault="00192CA6" w:rsidP="001B059F">
            <w:pPr>
              <w:jc w:val="center"/>
              <w:rPr>
                <w:rFonts w:ascii="Arial Narrow" w:hAnsi="Arial Narrow" w:cs="Arial"/>
                <w:sz w:val="18"/>
                <w:szCs w:val="18"/>
              </w:rPr>
            </w:pPr>
            <w:r w:rsidRPr="003E054E">
              <w:rPr>
                <w:rFonts w:ascii="Arial Narrow" w:hAnsi="Arial Narrow" w:cs="Arial"/>
                <w:sz w:val="18"/>
                <w:szCs w:val="18"/>
              </w:rPr>
              <w:t>50</w:t>
            </w:r>
          </w:p>
        </w:tc>
      </w:tr>
      <w:tr w:rsidR="00223925" w:rsidRPr="003E054E" w14:paraId="5EA95741" w14:textId="77777777" w:rsidTr="00D52974">
        <w:trPr>
          <w:trHeight w:val="288"/>
        </w:trPr>
        <w:tc>
          <w:tcPr>
            <w:tcW w:w="346" w:type="dxa"/>
            <w:tcBorders>
              <w:left w:val="nil"/>
              <w:bottom w:val="nil"/>
              <w:right w:val="nil"/>
            </w:tcBorders>
            <w:shd w:val="clear" w:color="auto" w:fill="auto"/>
            <w:vAlign w:val="center"/>
          </w:tcPr>
          <w:p w14:paraId="1095B37D" w14:textId="478AAB6F" w:rsidR="00223925" w:rsidRPr="00D52974" w:rsidRDefault="00223925" w:rsidP="001B059F">
            <w:pPr>
              <w:jc w:val="center"/>
              <w:rPr>
                <w:rFonts w:ascii="Arial Narrow" w:hAnsi="Arial Narrow" w:cs="Arial"/>
                <w:b/>
                <w:bCs/>
                <w:sz w:val="18"/>
                <w:szCs w:val="18"/>
                <w:vertAlign w:val="superscript"/>
              </w:rPr>
            </w:pPr>
            <w:r w:rsidRPr="00D52974">
              <w:rPr>
                <w:rFonts w:ascii="Arial Narrow" w:hAnsi="Arial Narrow" w:cs="Arial"/>
                <w:b/>
                <w:bCs/>
                <w:sz w:val="18"/>
                <w:szCs w:val="18"/>
                <w:vertAlign w:val="superscript"/>
              </w:rPr>
              <w:t>1</w:t>
            </w:r>
          </w:p>
        </w:tc>
        <w:tc>
          <w:tcPr>
            <w:tcW w:w="4678" w:type="dxa"/>
            <w:gridSpan w:val="3"/>
            <w:tcBorders>
              <w:left w:val="nil"/>
              <w:bottom w:val="nil"/>
              <w:right w:val="nil"/>
            </w:tcBorders>
            <w:shd w:val="clear" w:color="auto" w:fill="auto"/>
            <w:vAlign w:val="center"/>
          </w:tcPr>
          <w:p w14:paraId="52A9FF05" w14:textId="16A3847D" w:rsidR="00223925" w:rsidRPr="003E054E" w:rsidRDefault="00223925" w:rsidP="00D52974">
            <w:pPr>
              <w:rPr>
                <w:rFonts w:ascii="Arial Narrow" w:hAnsi="Arial Narrow" w:cs="Arial"/>
                <w:sz w:val="18"/>
                <w:szCs w:val="18"/>
              </w:rPr>
            </w:pPr>
            <w:r w:rsidRPr="00D52974">
              <w:rPr>
                <w:rFonts w:ascii="Arial Narrow" w:hAnsi="Arial Narrow" w:cs="Arial"/>
                <w:sz w:val="18"/>
                <w:szCs w:val="18"/>
              </w:rPr>
              <w:t>Lot Standards do not apply to individual sublots but do apply to the parcel on which the sublot(s) is located.</w:t>
            </w:r>
          </w:p>
        </w:tc>
      </w:tr>
    </w:tbl>
    <w:p w14:paraId="6283E21F" w14:textId="094151BD" w:rsidR="00DF6704" w:rsidRPr="00223925" w:rsidRDefault="00DF6704">
      <w:pPr>
        <w:rPr>
          <w:rFonts w:ascii="Arial Narrow" w:hAnsi="Arial Narrow" w:cs="Arial"/>
          <w:sz w:val="18"/>
          <w:szCs w:val="18"/>
        </w:rPr>
      </w:pPr>
      <w:r w:rsidRPr="00223925">
        <w:rPr>
          <w:rFonts w:ascii="Arial Narrow" w:hAnsi="Arial Narrow" w:cs="Arial"/>
          <w:sz w:val="18"/>
          <w:szCs w:val="18"/>
        </w:rPr>
        <w:br w:type="page"/>
      </w:r>
    </w:p>
    <w:p w14:paraId="2973EA6D" w14:textId="22A301AC" w:rsidR="00046B35" w:rsidRPr="006824F2" w:rsidRDefault="00977949" w:rsidP="001B059F">
      <w:pPr>
        <w:rPr>
          <w:rFonts w:ascii="Arial" w:hAnsi="Arial" w:cs="Arial"/>
          <w:b/>
          <w:bCs/>
          <w:sz w:val="18"/>
          <w:szCs w:val="18"/>
        </w:rPr>
      </w:pPr>
      <w:r>
        <w:rPr>
          <w:rFonts w:ascii="Arial" w:hAnsi="Arial" w:cs="Arial"/>
          <w:b/>
          <w:bCs/>
          <w:sz w:val="18"/>
          <w:szCs w:val="18"/>
        </w:rPr>
        <w:lastRenderedPageBreak/>
        <w:t>C</w:t>
      </w:r>
      <w:r w:rsidR="00CC6D1D">
        <w:rPr>
          <w:rFonts w:ascii="Arial" w:hAnsi="Arial" w:cs="Arial"/>
          <w:b/>
          <w:bCs/>
          <w:sz w:val="18"/>
          <w:szCs w:val="18"/>
        </w:rPr>
        <w:t>.</w:t>
      </w:r>
      <w:r w:rsidR="00CC6D1D">
        <w:rPr>
          <w:rFonts w:ascii="Arial" w:hAnsi="Arial" w:cs="Arial"/>
          <w:b/>
          <w:bCs/>
          <w:sz w:val="18"/>
          <w:szCs w:val="18"/>
        </w:rPr>
        <w:tab/>
      </w:r>
      <w:r w:rsidR="00046B35" w:rsidRPr="006824F2">
        <w:rPr>
          <w:rFonts w:ascii="Arial" w:hAnsi="Arial" w:cs="Arial"/>
          <w:b/>
          <w:bCs/>
          <w:sz w:val="18"/>
          <w:szCs w:val="18"/>
        </w:rPr>
        <w:t>Building Siting</w:t>
      </w:r>
    </w:p>
    <w:p w14:paraId="6DBCA131" w14:textId="73C1291E" w:rsidR="00A94ACE" w:rsidRDefault="00A94ACE" w:rsidP="001B059F">
      <w:pPr>
        <w:rPr>
          <w:rFonts w:ascii="Arial" w:hAnsi="Arial" w:cs="Arial"/>
          <w:sz w:val="18"/>
          <w:szCs w:val="18"/>
        </w:rPr>
      </w:pPr>
      <w:r w:rsidRPr="006D6CD5">
        <w:rPr>
          <w:rFonts w:ascii="Arial" w:hAnsi="Arial" w:cs="Arial"/>
          <w:sz w:val="18"/>
          <w:szCs w:val="18"/>
        </w:rPr>
        <w:t xml:space="preserve">Building siting standards govern the placement of buildings on </w:t>
      </w:r>
      <w:proofErr w:type="gramStart"/>
      <w:r w:rsidRPr="006D6CD5">
        <w:rPr>
          <w:rFonts w:ascii="Arial" w:hAnsi="Arial" w:cs="Arial"/>
          <w:sz w:val="18"/>
          <w:szCs w:val="18"/>
        </w:rPr>
        <w:t>lots, and</w:t>
      </w:r>
      <w:proofErr w:type="gramEnd"/>
      <w:r w:rsidRPr="006D6CD5">
        <w:rPr>
          <w:rFonts w:ascii="Arial" w:hAnsi="Arial" w:cs="Arial"/>
          <w:sz w:val="18"/>
          <w:szCs w:val="18"/>
        </w:rPr>
        <w:t xml:space="preserve"> are inten</w:t>
      </w:r>
      <w:r>
        <w:rPr>
          <w:rFonts w:ascii="Arial" w:hAnsi="Arial" w:cs="Arial"/>
          <w:sz w:val="18"/>
          <w:szCs w:val="18"/>
        </w:rPr>
        <w:t>ded to ensure that development maintains compatibility with its surrounding context and the intent of the applicable zoning district.</w:t>
      </w:r>
      <w:r w:rsidR="00C73D0C" w:rsidRPr="00C73D0C">
        <w:rPr>
          <w:rFonts w:ascii="Arial" w:eastAsia="Calibri" w:hAnsi="Arial" w:cs="Arial"/>
          <w:noProof/>
          <w:sz w:val="18"/>
          <w:szCs w:val="18"/>
        </w:rPr>
        <w:t xml:space="preserve"> </w:t>
      </w:r>
    </w:p>
    <w:p w14:paraId="54C988FE" w14:textId="54534DFF" w:rsidR="00DF6704" w:rsidRDefault="00920E0A" w:rsidP="00C73D0C">
      <w:pPr>
        <w:jc w:val="center"/>
        <w:rPr>
          <w:rFonts w:ascii="Arial" w:hAnsi="Arial" w:cs="Arial"/>
          <w:sz w:val="18"/>
          <w:szCs w:val="18"/>
        </w:rPr>
      </w:pPr>
      <w:r>
        <w:rPr>
          <w:rFonts w:ascii="Arial" w:hAnsi="Arial" w:cs="Arial"/>
          <w:noProof/>
          <w:sz w:val="18"/>
          <w:szCs w:val="18"/>
        </w:rPr>
        <w:drawing>
          <wp:anchor distT="0" distB="0" distL="114300" distR="114300" simplePos="0" relativeHeight="251658243" behindDoc="0" locked="0" layoutInCell="1" allowOverlap="1" wp14:anchorId="34D77AB9" wp14:editId="66BBD65B">
            <wp:simplePos x="0" y="0"/>
            <wp:positionH relativeFrom="column">
              <wp:posOffset>-48552</wp:posOffset>
            </wp:positionH>
            <wp:positionV relativeFrom="paragraph">
              <wp:posOffset>163780</wp:posOffset>
            </wp:positionV>
            <wp:extent cx="6005830" cy="271081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extLst>
                        <a:ext uri="{28A0092B-C50C-407E-A947-70E740481C1C}">
                          <a14:useLocalDpi xmlns:a14="http://schemas.microsoft.com/office/drawing/2010/main" val="0"/>
                        </a:ext>
                      </a:extLst>
                    </a:blip>
                    <a:srcRect t="4126" b="5680"/>
                    <a:stretch/>
                  </pic:blipFill>
                  <pic:spPr bwMode="auto">
                    <a:xfrm>
                      <a:off x="0" y="0"/>
                      <a:ext cx="6005830" cy="271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4E93EE" w14:textId="77777777" w:rsidR="00920E0A" w:rsidRDefault="00920E0A" w:rsidP="00DF6704">
      <w:pPr>
        <w:jc w:val="center"/>
        <w:rPr>
          <w:rFonts w:ascii="Arial" w:hAnsi="Arial" w:cs="Arial"/>
          <w:sz w:val="18"/>
          <w:szCs w:val="18"/>
        </w:rPr>
      </w:pPr>
    </w:p>
    <w:p w14:paraId="3A77518B" w14:textId="77777777" w:rsidR="00920E0A" w:rsidRPr="006D6CD5" w:rsidRDefault="00920E0A" w:rsidP="00DF6704">
      <w:pPr>
        <w:jc w:val="center"/>
        <w:rPr>
          <w:rFonts w:ascii="Arial" w:hAnsi="Arial" w:cs="Arial"/>
          <w:sz w:val="18"/>
          <w:szCs w:val="18"/>
        </w:rPr>
      </w:pPr>
    </w:p>
    <w:tbl>
      <w:tblPr>
        <w:tblStyle w:val="TableGrid"/>
        <w:tblW w:w="9355" w:type="dxa"/>
        <w:tblLook w:val="04A0" w:firstRow="1" w:lastRow="0" w:firstColumn="1" w:lastColumn="0" w:noHBand="0" w:noVBand="1"/>
      </w:tblPr>
      <w:tblGrid>
        <w:gridCol w:w="355"/>
        <w:gridCol w:w="6210"/>
        <w:gridCol w:w="1395"/>
        <w:gridCol w:w="1395"/>
      </w:tblGrid>
      <w:tr w:rsidR="00143098" w:rsidRPr="003E054E" w14:paraId="075C3139" w14:textId="77777777" w:rsidTr="00F5257C">
        <w:trPr>
          <w:tblHeader/>
        </w:trPr>
        <w:tc>
          <w:tcPr>
            <w:tcW w:w="9355" w:type="dxa"/>
            <w:gridSpan w:val="4"/>
            <w:shd w:val="clear" w:color="auto" w:fill="1F4E79" w:themeFill="accent5" w:themeFillShade="80"/>
            <w:vAlign w:val="center"/>
          </w:tcPr>
          <w:p w14:paraId="54CE3F38" w14:textId="4A6F2FB6" w:rsidR="00143098" w:rsidRPr="003E054E" w:rsidRDefault="00C73D0C"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6-2: </w:t>
            </w:r>
            <w:r w:rsidR="00143098">
              <w:rPr>
                <w:rFonts w:ascii="Arial Narrow" w:hAnsi="Arial Narrow" w:cs="Arial"/>
                <w:b/>
                <w:color w:val="FFFFFF" w:themeColor="background1"/>
                <w:sz w:val="18"/>
                <w:szCs w:val="18"/>
              </w:rPr>
              <w:t>Commercial Zoning Districts Building Siting Standards</w:t>
            </w:r>
          </w:p>
        </w:tc>
      </w:tr>
      <w:tr w:rsidR="00375E63" w:rsidRPr="003E054E" w14:paraId="5C60BD53" w14:textId="2EE4AA7D" w:rsidTr="003E054E">
        <w:trPr>
          <w:tblHeader/>
        </w:trPr>
        <w:tc>
          <w:tcPr>
            <w:tcW w:w="6565" w:type="dxa"/>
            <w:gridSpan w:val="2"/>
            <w:shd w:val="clear" w:color="auto" w:fill="1F4E79" w:themeFill="accent5" w:themeFillShade="80"/>
            <w:vAlign w:val="center"/>
          </w:tcPr>
          <w:p w14:paraId="716ABB12" w14:textId="4A8CC07C" w:rsidR="00375E63" w:rsidRPr="003E054E" w:rsidRDefault="00375E63"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0C2757D2" w14:textId="4E79A233" w:rsidR="00375E63" w:rsidRPr="003E054E" w:rsidRDefault="00375E63" w:rsidP="001B059F">
            <w:pPr>
              <w:jc w:val="center"/>
              <w:rPr>
                <w:rFonts w:ascii="Arial Narrow" w:hAnsi="Arial Narrow" w:cs="Arial"/>
                <w:color w:val="FFFFFF" w:themeColor="background1"/>
                <w:sz w:val="18"/>
                <w:szCs w:val="18"/>
              </w:rPr>
            </w:pPr>
            <w:r w:rsidRPr="003E054E">
              <w:rPr>
                <w:rFonts w:ascii="Arial Narrow" w:hAnsi="Arial Narrow" w:cs="Arial"/>
                <w:b/>
                <w:color w:val="FFFFFF" w:themeColor="background1"/>
                <w:sz w:val="18"/>
                <w:szCs w:val="18"/>
              </w:rPr>
              <w:t>CG</w:t>
            </w:r>
          </w:p>
        </w:tc>
        <w:tc>
          <w:tcPr>
            <w:tcW w:w="1395" w:type="dxa"/>
            <w:shd w:val="clear" w:color="auto" w:fill="1F4E79" w:themeFill="accent5" w:themeFillShade="80"/>
          </w:tcPr>
          <w:p w14:paraId="156D5C33" w14:textId="4404A3B3" w:rsidR="00375E63" w:rsidRPr="003E054E" w:rsidRDefault="00375E63" w:rsidP="001B059F">
            <w:pPr>
              <w:jc w:val="center"/>
              <w:rPr>
                <w:rFonts w:ascii="Arial Narrow" w:hAnsi="Arial Narrow" w:cs="Arial"/>
                <w:b/>
                <w:bCs/>
                <w:color w:val="FFFFFF" w:themeColor="background1"/>
                <w:sz w:val="18"/>
                <w:szCs w:val="18"/>
              </w:rPr>
            </w:pPr>
            <w:r w:rsidRPr="003E054E">
              <w:rPr>
                <w:rFonts w:ascii="Arial Narrow" w:hAnsi="Arial Narrow" w:cs="Arial"/>
                <w:b/>
                <w:color w:val="FFFFFF" w:themeColor="background1"/>
                <w:sz w:val="18"/>
                <w:szCs w:val="18"/>
              </w:rPr>
              <w:t>CR</w:t>
            </w:r>
          </w:p>
        </w:tc>
      </w:tr>
      <w:tr w:rsidR="00375E63" w:rsidRPr="003E054E" w14:paraId="02A05569" w14:textId="1F76BB63" w:rsidTr="003E054E">
        <w:trPr>
          <w:trHeight w:val="288"/>
        </w:trPr>
        <w:tc>
          <w:tcPr>
            <w:tcW w:w="355" w:type="dxa"/>
            <w:shd w:val="clear" w:color="auto" w:fill="DEEAF6" w:themeFill="accent5" w:themeFillTint="33"/>
            <w:vAlign w:val="center"/>
          </w:tcPr>
          <w:p w14:paraId="3420A939" w14:textId="1ED29349"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A</w:t>
            </w:r>
          </w:p>
        </w:tc>
        <w:tc>
          <w:tcPr>
            <w:tcW w:w="9000" w:type="dxa"/>
            <w:gridSpan w:val="3"/>
            <w:shd w:val="clear" w:color="auto" w:fill="DEEAF6" w:themeFill="accent5" w:themeFillTint="33"/>
            <w:vAlign w:val="center"/>
          </w:tcPr>
          <w:p w14:paraId="28FF9AE9" w14:textId="22ED24AF"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Frontage Setback Line </w:t>
            </w:r>
            <w:r w:rsidRPr="003E054E">
              <w:rPr>
                <w:rFonts w:ascii="Arial Narrow" w:hAnsi="Arial Narrow" w:cs="Arial"/>
                <w:sz w:val="18"/>
                <w:szCs w:val="18"/>
              </w:rPr>
              <w:t>(</w:t>
            </w:r>
            <w:r w:rsidR="0008003A" w:rsidRPr="003E054E">
              <w:rPr>
                <w:rFonts w:ascii="Arial Narrow" w:hAnsi="Arial Narrow" w:cs="Arial"/>
                <w:sz w:val="18"/>
                <w:szCs w:val="18"/>
              </w:rPr>
              <w:t>from future back of curb</w:t>
            </w:r>
            <w:r w:rsidRPr="003E054E">
              <w:rPr>
                <w:rFonts w:ascii="Arial Narrow" w:hAnsi="Arial Narrow" w:cs="Arial"/>
                <w:sz w:val="18"/>
                <w:szCs w:val="18"/>
              </w:rPr>
              <w:t>)</w:t>
            </w:r>
            <w:r w:rsidR="008216C2" w:rsidRPr="003E054E">
              <w:rPr>
                <w:rFonts w:ascii="Arial Narrow" w:hAnsi="Arial Narrow" w:cs="Arial"/>
                <w:sz w:val="18"/>
                <w:szCs w:val="18"/>
              </w:rPr>
              <w:t xml:space="preserve"> </w:t>
            </w:r>
            <w:r w:rsidRPr="003E054E">
              <w:rPr>
                <w:rFonts w:ascii="Arial Narrow" w:hAnsi="Arial Narrow" w:cs="Arial"/>
                <w:sz w:val="18"/>
                <w:szCs w:val="18"/>
              </w:rPr>
              <w:t>(feet)</w:t>
            </w:r>
            <w:r w:rsidRPr="003E054E">
              <w:rPr>
                <w:rFonts w:ascii="Arial Narrow" w:hAnsi="Arial Narrow" w:cs="Arial"/>
                <w:b/>
                <w:bCs/>
                <w:sz w:val="18"/>
                <w:szCs w:val="18"/>
                <w:vertAlign w:val="superscript"/>
              </w:rPr>
              <w:t xml:space="preserve"> </w:t>
            </w:r>
            <w:r w:rsidR="00625FB1" w:rsidRPr="003E054E">
              <w:rPr>
                <w:rFonts w:ascii="Arial Narrow" w:hAnsi="Arial Narrow" w:cs="Arial"/>
                <w:b/>
                <w:bCs/>
                <w:sz w:val="18"/>
                <w:szCs w:val="18"/>
                <w:vertAlign w:val="superscript"/>
              </w:rPr>
              <w:t>1, 2, 3</w:t>
            </w:r>
          </w:p>
        </w:tc>
      </w:tr>
      <w:tr w:rsidR="00D14316" w:rsidRPr="003E054E" w14:paraId="05AD620A" w14:textId="77777777" w:rsidTr="003E054E">
        <w:trPr>
          <w:trHeight w:val="274"/>
        </w:trPr>
        <w:tc>
          <w:tcPr>
            <w:tcW w:w="355" w:type="dxa"/>
            <w:vMerge w:val="restart"/>
            <w:shd w:val="clear" w:color="auto" w:fill="DEEAF6" w:themeFill="accent5" w:themeFillTint="33"/>
            <w:vAlign w:val="center"/>
          </w:tcPr>
          <w:p w14:paraId="2CC0AA25"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64C2807" w14:textId="6B0977FD"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Signature</w:t>
            </w:r>
          </w:p>
        </w:tc>
        <w:tc>
          <w:tcPr>
            <w:tcW w:w="1395" w:type="dxa"/>
            <w:shd w:val="clear" w:color="auto" w:fill="FFFFFF" w:themeFill="background1"/>
            <w:vAlign w:val="center"/>
          </w:tcPr>
          <w:p w14:paraId="62A88588" w14:textId="2885F200"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24</w:t>
            </w:r>
          </w:p>
        </w:tc>
        <w:tc>
          <w:tcPr>
            <w:tcW w:w="1395" w:type="dxa"/>
            <w:shd w:val="clear" w:color="auto" w:fill="FFFFFF" w:themeFill="background1"/>
            <w:vAlign w:val="center"/>
          </w:tcPr>
          <w:p w14:paraId="7617AF4F" w14:textId="0FDC1404"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24</w:t>
            </w:r>
          </w:p>
        </w:tc>
      </w:tr>
      <w:tr w:rsidR="00D14316" w:rsidRPr="003E054E" w14:paraId="765DBE9A" w14:textId="70E69D3B" w:rsidTr="003E054E">
        <w:trPr>
          <w:trHeight w:val="274"/>
        </w:trPr>
        <w:tc>
          <w:tcPr>
            <w:tcW w:w="355" w:type="dxa"/>
            <w:vMerge/>
            <w:shd w:val="clear" w:color="auto" w:fill="DEEAF6" w:themeFill="accent5" w:themeFillTint="33"/>
            <w:vAlign w:val="center"/>
          </w:tcPr>
          <w:p w14:paraId="3C70419F"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83BCF83" w14:textId="5381FA68" w:rsidR="00D14316" w:rsidRPr="003E054E" w:rsidRDefault="00D14316" w:rsidP="001B059F">
            <w:pPr>
              <w:ind w:left="360"/>
              <w:rPr>
                <w:rFonts w:ascii="Arial Narrow" w:hAnsi="Arial Narrow" w:cs="Arial"/>
                <w:sz w:val="18"/>
                <w:szCs w:val="18"/>
              </w:rPr>
            </w:pPr>
            <w:bookmarkStart w:id="2" w:name="_Hlk65230436"/>
            <w:r w:rsidRPr="003E054E">
              <w:rPr>
                <w:rFonts w:ascii="Arial Narrow" w:hAnsi="Arial Narrow" w:cs="Arial"/>
                <w:sz w:val="18"/>
                <w:szCs w:val="18"/>
              </w:rPr>
              <w:t>Main Street</w:t>
            </w:r>
          </w:p>
        </w:tc>
        <w:tc>
          <w:tcPr>
            <w:tcW w:w="1395" w:type="dxa"/>
            <w:shd w:val="clear" w:color="auto" w:fill="FFFFFF" w:themeFill="background1"/>
            <w:vAlign w:val="center"/>
          </w:tcPr>
          <w:p w14:paraId="469FAA86" w14:textId="79D8A49B"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24</w:t>
            </w:r>
          </w:p>
        </w:tc>
        <w:tc>
          <w:tcPr>
            <w:tcW w:w="1395" w:type="dxa"/>
            <w:shd w:val="clear" w:color="auto" w:fill="FFFFFF" w:themeFill="background1"/>
            <w:vAlign w:val="center"/>
          </w:tcPr>
          <w:p w14:paraId="5A2AD04D" w14:textId="6E7A614C"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24</w:t>
            </w:r>
          </w:p>
        </w:tc>
      </w:tr>
      <w:tr w:rsidR="00D14316" w:rsidRPr="003E054E" w14:paraId="05AB485E" w14:textId="77777777" w:rsidTr="003E054E">
        <w:trPr>
          <w:trHeight w:val="274"/>
        </w:trPr>
        <w:tc>
          <w:tcPr>
            <w:tcW w:w="355" w:type="dxa"/>
            <w:vMerge/>
            <w:shd w:val="clear" w:color="auto" w:fill="DEEAF6" w:themeFill="accent5" w:themeFillTint="33"/>
            <w:vAlign w:val="center"/>
          </w:tcPr>
          <w:p w14:paraId="0FADDBA6"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BD03A03" w14:textId="463E8D02" w:rsidR="00D14316" w:rsidRPr="003E054E" w:rsidRDefault="00D14316" w:rsidP="001B059F">
            <w:pPr>
              <w:ind w:left="360"/>
              <w:rPr>
                <w:rFonts w:ascii="Arial Narrow" w:hAnsi="Arial Narrow" w:cs="Arial"/>
                <w:sz w:val="18"/>
                <w:szCs w:val="18"/>
              </w:rPr>
            </w:pPr>
            <w:r>
              <w:rPr>
                <w:rFonts w:ascii="Arial Narrow" w:hAnsi="Arial Narrow" w:cs="Arial"/>
                <w:sz w:val="18"/>
                <w:szCs w:val="18"/>
              </w:rPr>
              <w:t>Linear Park</w:t>
            </w:r>
          </w:p>
        </w:tc>
        <w:tc>
          <w:tcPr>
            <w:tcW w:w="1395" w:type="dxa"/>
            <w:shd w:val="clear" w:color="auto" w:fill="FFFFFF" w:themeFill="background1"/>
            <w:vAlign w:val="center"/>
          </w:tcPr>
          <w:p w14:paraId="1E4E3C3D" w14:textId="4B704588"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36</w:t>
            </w:r>
          </w:p>
        </w:tc>
        <w:tc>
          <w:tcPr>
            <w:tcW w:w="1395" w:type="dxa"/>
            <w:shd w:val="clear" w:color="auto" w:fill="FFFFFF" w:themeFill="background1"/>
            <w:vAlign w:val="center"/>
          </w:tcPr>
          <w:p w14:paraId="3A69BE03" w14:textId="7DAD07BF"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36</w:t>
            </w:r>
          </w:p>
        </w:tc>
      </w:tr>
      <w:tr w:rsidR="00D14316" w:rsidRPr="003E054E" w14:paraId="2CA23E08" w14:textId="3785FB28" w:rsidTr="003E054E">
        <w:trPr>
          <w:trHeight w:val="274"/>
        </w:trPr>
        <w:tc>
          <w:tcPr>
            <w:tcW w:w="355" w:type="dxa"/>
            <w:vMerge/>
            <w:shd w:val="clear" w:color="auto" w:fill="DEEAF6" w:themeFill="accent5" w:themeFillTint="33"/>
            <w:vAlign w:val="center"/>
          </w:tcPr>
          <w:p w14:paraId="0DC0DA83"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8B8D64F" w14:textId="41AFBBB5"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FFFFFF" w:themeFill="background1"/>
            <w:vAlign w:val="center"/>
          </w:tcPr>
          <w:p w14:paraId="518313FA" w14:textId="6C82645B"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2A00F790" w14:textId="6150E05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0B3750EC" w14:textId="0226147A" w:rsidTr="003E054E">
        <w:trPr>
          <w:trHeight w:val="274"/>
        </w:trPr>
        <w:tc>
          <w:tcPr>
            <w:tcW w:w="355" w:type="dxa"/>
            <w:vMerge/>
            <w:shd w:val="clear" w:color="auto" w:fill="DEEAF6" w:themeFill="accent5" w:themeFillTint="33"/>
            <w:vAlign w:val="center"/>
          </w:tcPr>
          <w:p w14:paraId="3949316C"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2506A4A" w14:textId="1F318CF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 xml:space="preserve">6 </w:t>
            </w:r>
            <w:r>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FFFFFF" w:themeFill="background1"/>
            <w:vAlign w:val="center"/>
          </w:tcPr>
          <w:p w14:paraId="054A3747" w14:textId="4618AEB8"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40</w:t>
            </w:r>
          </w:p>
        </w:tc>
        <w:tc>
          <w:tcPr>
            <w:tcW w:w="1395" w:type="dxa"/>
            <w:shd w:val="clear" w:color="auto" w:fill="FFFFFF" w:themeFill="background1"/>
            <w:vAlign w:val="center"/>
          </w:tcPr>
          <w:p w14:paraId="09EC328A" w14:textId="6AF2A29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40</w:t>
            </w:r>
          </w:p>
        </w:tc>
      </w:tr>
      <w:tr w:rsidR="00D14316" w:rsidRPr="003E054E" w14:paraId="2977D4DE" w14:textId="455B7DAD" w:rsidTr="003E054E">
        <w:trPr>
          <w:trHeight w:val="274"/>
        </w:trPr>
        <w:tc>
          <w:tcPr>
            <w:tcW w:w="355" w:type="dxa"/>
            <w:vMerge/>
            <w:shd w:val="clear" w:color="auto" w:fill="DEEAF6" w:themeFill="accent5" w:themeFillTint="33"/>
            <w:vAlign w:val="center"/>
          </w:tcPr>
          <w:p w14:paraId="393C8A07"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89ED872" w14:textId="07072C56"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FFFFFF" w:themeFill="background1"/>
            <w:vAlign w:val="center"/>
          </w:tcPr>
          <w:p w14:paraId="45A6C246" w14:textId="7EC874CE"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61F12064" w14:textId="6B35F3C0"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387B64D1" w14:textId="7A7482FA" w:rsidTr="003E054E">
        <w:trPr>
          <w:trHeight w:val="274"/>
        </w:trPr>
        <w:tc>
          <w:tcPr>
            <w:tcW w:w="355" w:type="dxa"/>
            <w:vMerge/>
            <w:shd w:val="clear" w:color="auto" w:fill="DEEAF6" w:themeFill="accent5" w:themeFillTint="33"/>
            <w:vAlign w:val="center"/>
          </w:tcPr>
          <w:p w14:paraId="2BEE881D" w14:textId="77777777" w:rsidR="00D14316" w:rsidRPr="003E054E" w:rsidRDefault="00D14316" w:rsidP="0010513D">
            <w:pPr>
              <w:ind w:left="360"/>
              <w:jc w:val="center"/>
              <w:rPr>
                <w:rFonts w:ascii="Arial Narrow" w:hAnsi="Arial Narrow" w:cs="Arial"/>
                <w:sz w:val="18"/>
                <w:szCs w:val="18"/>
              </w:rPr>
            </w:pPr>
          </w:p>
        </w:tc>
        <w:tc>
          <w:tcPr>
            <w:tcW w:w="6210" w:type="dxa"/>
            <w:shd w:val="clear" w:color="auto" w:fill="DEEAF6" w:themeFill="accent5" w:themeFillTint="33"/>
            <w:vAlign w:val="center"/>
          </w:tcPr>
          <w:p w14:paraId="53EDE90D" w14:textId="1E0E9FE7"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 xml:space="preserve">Transit Station, Off-Street Public Path, Public Park </w:t>
            </w:r>
            <w:r w:rsidRPr="003E054E">
              <w:rPr>
                <w:rFonts w:ascii="Arial Narrow" w:hAnsi="Arial Narrow" w:cs="Arial"/>
                <w:b/>
                <w:bCs/>
                <w:sz w:val="18"/>
                <w:szCs w:val="18"/>
                <w:vertAlign w:val="superscript"/>
              </w:rPr>
              <w:t>4</w:t>
            </w:r>
          </w:p>
        </w:tc>
        <w:tc>
          <w:tcPr>
            <w:tcW w:w="1395" w:type="dxa"/>
            <w:shd w:val="clear" w:color="auto" w:fill="FFFFFF" w:themeFill="background1"/>
            <w:vAlign w:val="center"/>
          </w:tcPr>
          <w:p w14:paraId="235C38E1" w14:textId="030C1EB2"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c>
          <w:tcPr>
            <w:tcW w:w="1395" w:type="dxa"/>
            <w:shd w:val="clear" w:color="auto" w:fill="FFFFFF" w:themeFill="background1"/>
            <w:vAlign w:val="center"/>
          </w:tcPr>
          <w:p w14:paraId="62D1AB2D" w14:textId="081BD256"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r>
      <w:tr w:rsidR="00D14316" w:rsidRPr="003E054E" w14:paraId="6FBCDB68" w14:textId="77777777" w:rsidTr="003E054E">
        <w:trPr>
          <w:trHeight w:val="274"/>
        </w:trPr>
        <w:tc>
          <w:tcPr>
            <w:tcW w:w="355" w:type="dxa"/>
            <w:vMerge/>
            <w:shd w:val="clear" w:color="auto" w:fill="D9E2F3" w:themeFill="accent1" w:themeFillTint="33"/>
            <w:vAlign w:val="center"/>
          </w:tcPr>
          <w:p w14:paraId="25AF71CE"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6ADA082" w14:textId="48395436"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Primary</w:t>
            </w:r>
          </w:p>
        </w:tc>
        <w:tc>
          <w:tcPr>
            <w:tcW w:w="1395" w:type="dxa"/>
            <w:shd w:val="clear" w:color="auto" w:fill="FFFFFF" w:themeFill="background1"/>
            <w:vAlign w:val="center"/>
          </w:tcPr>
          <w:p w14:paraId="5DF38FAA" w14:textId="1B9B23BF"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20</w:t>
            </w:r>
          </w:p>
        </w:tc>
        <w:tc>
          <w:tcPr>
            <w:tcW w:w="1395" w:type="dxa"/>
            <w:shd w:val="clear" w:color="auto" w:fill="FFFFFF" w:themeFill="background1"/>
            <w:vAlign w:val="center"/>
          </w:tcPr>
          <w:p w14:paraId="63DB50EF" w14:textId="6F1EF000"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20</w:t>
            </w:r>
          </w:p>
        </w:tc>
      </w:tr>
      <w:tr w:rsidR="00D14316" w:rsidRPr="003E054E" w14:paraId="1DCC96AB" w14:textId="20A0CF04" w:rsidTr="003E054E">
        <w:trPr>
          <w:trHeight w:val="274"/>
        </w:trPr>
        <w:tc>
          <w:tcPr>
            <w:tcW w:w="355" w:type="dxa"/>
            <w:vMerge/>
            <w:shd w:val="clear" w:color="auto" w:fill="D9E2F3" w:themeFill="accent1" w:themeFillTint="33"/>
            <w:vAlign w:val="center"/>
          </w:tcPr>
          <w:p w14:paraId="48D10977"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AD49626" w14:textId="0E14A37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FFFFFF" w:themeFill="background1"/>
            <w:vAlign w:val="center"/>
          </w:tcPr>
          <w:p w14:paraId="467F542A" w14:textId="1D4BE81C"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543294FC" w14:textId="04144D4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72FCF979" w14:textId="77777777" w:rsidTr="003E054E">
        <w:trPr>
          <w:trHeight w:val="274"/>
        </w:trPr>
        <w:tc>
          <w:tcPr>
            <w:tcW w:w="355" w:type="dxa"/>
            <w:vMerge/>
            <w:shd w:val="clear" w:color="auto" w:fill="D9E2F3" w:themeFill="accent1" w:themeFillTint="33"/>
            <w:vAlign w:val="center"/>
          </w:tcPr>
          <w:p w14:paraId="6DE7A9C5"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B68E72B" w14:textId="2A886342"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Secondary</w:t>
            </w:r>
          </w:p>
        </w:tc>
        <w:tc>
          <w:tcPr>
            <w:tcW w:w="1395" w:type="dxa"/>
            <w:shd w:val="clear" w:color="auto" w:fill="FFFFFF" w:themeFill="background1"/>
            <w:vAlign w:val="center"/>
          </w:tcPr>
          <w:p w14:paraId="32795F86" w14:textId="17481844"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16</w:t>
            </w:r>
          </w:p>
        </w:tc>
        <w:tc>
          <w:tcPr>
            <w:tcW w:w="1395" w:type="dxa"/>
            <w:shd w:val="clear" w:color="auto" w:fill="FFFFFF" w:themeFill="background1"/>
            <w:vAlign w:val="center"/>
          </w:tcPr>
          <w:p w14:paraId="755257BE" w14:textId="3266F90E"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16</w:t>
            </w:r>
          </w:p>
        </w:tc>
      </w:tr>
      <w:tr w:rsidR="00D14316" w:rsidRPr="003E054E" w14:paraId="364E29A9" w14:textId="338A5ACB" w:rsidTr="003E054E">
        <w:trPr>
          <w:trHeight w:val="274"/>
        </w:trPr>
        <w:tc>
          <w:tcPr>
            <w:tcW w:w="355" w:type="dxa"/>
            <w:vMerge/>
            <w:shd w:val="clear" w:color="auto" w:fill="D9E2F3" w:themeFill="accent1" w:themeFillTint="33"/>
            <w:vAlign w:val="center"/>
          </w:tcPr>
          <w:p w14:paraId="6448236A"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1804AB2" w14:textId="411F2E83"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FFFFFF" w:themeFill="background1"/>
            <w:vAlign w:val="center"/>
          </w:tcPr>
          <w:p w14:paraId="3AADBD91" w14:textId="19E51467"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5DC9F004" w14:textId="044C8013"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2C8FAC10" w14:textId="2709B43A" w:rsidTr="0010513D">
        <w:trPr>
          <w:trHeight w:val="274"/>
        </w:trPr>
        <w:tc>
          <w:tcPr>
            <w:tcW w:w="355" w:type="dxa"/>
            <w:vMerge/>
            <w:shd w:val="clear" w:color="auto" w:fill="D9E2F3" w:themeFill="accent1" w:themeFillTint="33"/>
            <w:vAlign w:val="center"/>
          </w:tcPr>
          <w:p w14:paraId="686A9980" w14:textId="77777777" w:rsidR="00D14316" w:rsidRPr="003E054E" w:rsidRDefault="00D14316" w:rsidP="0010513D">
            <w:pPr>
              <w:ind w:left="360"/>
              <w:jc w:val="center"/>
              <w:rPr>
                <w:rFonts w:ascii="Arial Narrow" w:hAnsi="Arial Narrow" w:cs="Arial"/>
                <w:sz w:val="18"/>
                <w:szCs w:val="18"/>
              </w:rPr>
            </w:pPr>
          </w:p>
        </w:tc>
        <w:bookmarkEnd w:id="2"/>
        <w:tc>
          <w:tcPr>
            <w:tcW w:w="6210" w:type="dxa"/>
            <w:shd w:val="clear" w:color="auto" w:fill="DEEAF6" w:themeFill="accent5" w:themeFillTint="33"/>
            <w:vAlign w:val="center"/>
          </w:tcPr>
          <w:p w14:paraId="6C770AE3" w14:textId="4C0906C4"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Parkway</w:t>
            </w:r>
            <w:r w:rsidR="00CE7B52">
              <w:rPr>
                <w:rFonts w:ascii="Arial Narrow" w:hAnsi="Arial Narrow" w:cs="Arial"/>
                <w:sz w:val="18"/>
                <w:szCs w:val="18"/>
              </w:rPr>
              <w:t xml:space="preserve"> </w:t>
            </w:r>
            <w:r w:rsidR="00CE7B52" w:rsidRPr="0010513D">
              <w:rPr>
                <w:rFonts w:ascii="Arial Narrow" w:hAnsi="Arial Narrow" w:cs="Arial"/>
                <w:sz w:val="18"/>
                <w:szCs w:val="18"/>
              </w:rPr>
              <w:t>(Measured from ROW)</w:t>
            </w:r>
          </w:p>
        </w:tc>
        <w:tc>
          <w:tcPr>
            <w:tcW w:w="1395" w:type="dxa"/>
            <w:shd w:val="clear" w:color="auto" w:fill="auto"/>
            <w:vAlign w:val="center"/>
          </w:tcPr>
          <w:p w14:paraId="6025FE0A" w14:textId="4730EC95" w:rsidR="00D14316" w:rsidRPr="003E054E" w:rsidRDefault="00CE7B52"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 xml:space="preserve"> 20</w:t>
            </w:r>
          </w:p>
        </w:tc>
        <w:tc>
          <w:tcPr>
            <w:tcW w:w="1395" w:type="dxa"/>
            <w:shd w:val="clear" w:color="auto" w:fill="auto"/>
            <w:vAlign w:val="center"/>
          </w:tcPr>
          <w:p w14:paraId="3A53E8B1" w14:textId="3AF0EC37" w:rsidR="00D14316" w:rsidRPr="003E054E" w:rsidRDefault="00CE7B52"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 xml:space="preserve"> 20</w:t>
            </w:r>
          </w:p>
        </w:tc>
      </w:tr>
      <w:tr w:rsidR="00D14316" w:rsidRPr="003E054E" w14:paraId="6516C659" w14:textId="40129D0D" w:rsidTr="003E054E">
        <w:trPr>
          <w:trHeight w:val="274"/>
        </w:trPr>
        <w:tc>
          <w:tcPr>
            <w:tcW w:w="355" w:type="dxa"/>
            <w:vMerge/>
            <w:shd w:val="clear" w:color="auto" w:fill="D9E2F3" w:themeFill="accent1" w:themeFillTint="33"/>
            <w:vAlign w:val="center"/>
          </w:tcPr>
          <w:p w14:paraId="1E88CE6A" w14:textId="77777777" w:rsidR="00D14316" w:rsidRPr="003E054E" w:rsidRDefault="00D14316" w:rsidP="0010513D">
            <w:pPr>
              <w:ind w:left="360"/>
              <w:jc w:val="center"/>
              <w:rPr>
                <w:rFonts w:ascii="Arial Narrow" w:hAnsi="Arial Narrow" w:cs="Arial"/>
                <w:sz w:val="18"/>
                <w:szCs w:val="18"/>
              </w:rPr>
            </w:pPr>
          </w:p>
        </w:tc>
        <w:tc>
          <w:tcPr>
            <w:tcW w:w="6210" w:type="dxa"/>
            <w:shd w:val="clear" w:color="auto" w:fill="DEEAF6" w:themeFill="accent5" w:themeFillTint="33"/>
            <w:vAlign w:val="center"/>
          </w:tcPr>
          <w:p w14:paraId="5CD65EEB" w14:textId="5BA9DCC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Limited Access (Measured from ROW)</w:t>
            </w:r>
          </w:p>
        </w:tc>
        <w:tc>
          <w:tcPr>
            <w:tcW w:w="1395" w:type="dxa"/>
            <w:shd w:val="clear" w:color="auto" w:fill="FFFFFF" w:themeFill="background1"/>
            <w:vAlign w:val="center"/>
          </w:tcPr>
          <w:p w14:paraId="342E08DD" w14:textId="280F94FF"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c>
          <w:tcPr>
            <w:tcW w:w="1395" w:type="dxa"/>
            <w:shd w:val="clear" w:color="auto" w:fill="FFFFFF" w:themeFill="background1"/>
            <w:vAlign w:val="center"/>
          </w:tcPr>
          <w:p w14:paraId="251FD1E4" w14:textId="31184898"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r>
      <w:tr w:rsidR="00375E63" w:rsidRPr="003E054E" w14:paraId="376A06FD" w14:textId="50C3ED52" w:rsidTr="003E054E">
        <w:trPr>
          <w:trHeight w:val="288"/>
        </w:trPr>
        <w:tc>
          <w:tcPr>
            <w:tcW w:w="355" w:type="dxa"/>
            <w:shd w:val="clear" w:color="auto" w:fill="DEEAF6" w:themeFill="accent5" w:themeFillTint="33"/>
            <w:vAlign w:val="center"/>
          </w:tcPr>
          <w:p w14:paraId="1838FEEF" w14:textId="2D0151C2"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B</w:t>
            </w:r>
          </w:p>
        </w:tc>
        <w:tc>
          <w:tcPr>
            <w:tcW w:w="9000" w:type="dxa"/>
            <w:gridSpan w:val="3"/>
            <w:shd w:val="clear" w:color="auto" w:fill="DEEAF6" w:themeFill="accent5" w:themeFillTint="33"/>
            <w:vAlign w:val="center"/>
          </w:tcPr>
          <w:p w14:paraId="0774464C" w14:textId="652AFB90"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Frontage Build-To Zone (BTZ) </w:t>
            </w:r>
            <w:r w:rsidRPr="003E054E">
              <w:rPr>
                <w:rFonts w:ascii="Arial Narrow" w:hAnsi="Arial Narrow" w:cs="Arial"/>
                <w:sz w:val="18"/>
                <w:szCs w:val="18"/>
              </w:rPr>
              <w:t xml:space="preserve">(from frontage setback line) (feet) </w:t>
            </w:r>
            <w:r w:rsidR="007F58DB" w:rsidRPr="003E054E">
              <w:rPr>
                <w:rFonts w:ascii="Arial Narrow" w:hAnsi="Arial Narrow" w:cs="Arial"/>
                <w:b/>
                <w:bCs/>
                <w:sz w:val="18"/>
                <w:szCs w:val="18"/>
                <w:vertAlign w:val="superscript"/>
              </w:rPr>
              <w:t>5, 6</w:t>
            </w:r>
          </w:p>
        </w:tc>
      </w:tr>
      <w:tr w:rsidR="00EC1527" w:rsidRPr="003E054E" w14:paraId="63BBE708" w14:textId="12B98D7B" w:rsidTr="003E054E">
        <w:trPr>
          <w:trHeight w:val="274"/>
        </w:trPr>
        <w:tc>
          <w:tcPr>
            <w:tcW w:w="355" w:type="dxa"/>
            <w:vMerge w:val="restart"/>
            <w:shd w:val="clear" w:color="auto" w:fill="DEEAF6" w:themeFill="accent5" w:themeFillTint="33"/>
            <w:vAlign w:val="center"/>
          </w:tcPr>
          <w:p w14:paraId="18520213"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E970B3E" w14:textId="67717DE7"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Main Street</w:t>
            </w:r>
          </w:p>
        </w:tc>
        <w:tc>
          <w:tcPr>
            <w:tcW w:w="1395" w:type="dxa"/>
            <w:shd w:val="clear" w:color="auto" w:fill="FFFFFF" w:themeFill="background1"/>
            <w:vAlign w:val="center"/>
          </w:tcPr>
          <w:p w14:paraId="41D6AD1C" w14:textId="4428AD87"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0-20</w:t>
            </w:r>
          </w:p>
        </w:tc>
        <w:tc>
          <w:tcPr>
            <w:tcW w:w="1395" w:type="dxa"/>
            <w:shd w:val="clear" w:color="auto" w:fill="FFFFFF" w:themeFill="background1"/>
            <w:vAlign w:val="center"/>
          </w:tcPr>
          <w:p w14:paraId="7375602D" w14:textId="7BB9268B"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0-20</w:t>
            </w:r>
          </w:p>
        </w:tc>
      </w:tr>
      <w:tr w:rsidR="00EC1527" w:rsidRPr="003E054E" w14:paraId="3C503B42" w14:textId="78F79CE6" w:rsidTr="003E054E">
        <w:trPr>
          <w:trHeight w:val="274"/>
        </w:trPr>
        <w:tc>
          <w:tcPr>
            <w:tcW w:w="355" w:type="dxa"/>
            <w:vMerge/>
            <w:shd w:val="clear" w:color="auto" w:fill="DEEAF6" w:themeFill="accent5" w:themeFillTint="33"/>
            <w:vAlign w:val="center"/>
          </w:tcPr>
          <w:p w14:paraId="288B5F7F"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B1245" w14:textId="07F7FFEE"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D9D9D9" w:themeFill="background1" w:themeFillShade="D9"/>
            <w:vAlign w:val="center"/>
          </w:tcPr>
          <w:p w14:paraId="42B5321C" w14:textId="67FABAB9"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E4B1BD0"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4E91BEFE" w14:textId="3276E8EF" w:rsidTr="003E054E">
        <w:trPr>
          <w:trHeight w:val="274"/>
        </w:trPr>
        <w:tc>
          <w:tcPr>
            <w:tcW w:w="355" w:type="dxa"/>
            <w:vMerge/>
            <w:shd w:val="clear" w:color="auto" w:fill="DEEAF6" w:themeFill="accent5" w:themeFillTint="33"/>
            <w:vAlign w:val="center"/>
          </w:tcPr>
          <w:p w14:paraId="679576AD"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CFE19B5" w14:textId="21AB486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6 </w:t>
            </w:r>
            <w:r w:rsidR="002675A3">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7D695FEB" w14:textId="18DA2858"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6D2E1A8"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7F06BD50" w14:textId="3327B2CA" w:rsidTr="003E054E">
        <w:trPr>
          <w:trHeight w:val="274"/>
        </w:trPr>
        <w:tc>
          <w:tcPr>
            <w:tcW w:w="355" w:type="dxa"/>
            <w:vMerge/>
            <w:shd w:val="clear" w:color="auto" w:fill="DEEAF6" w:themeFill="accent5" w:themeFillTint="33"/>
            <w:vAlign w:val="center"/>
          </w:tcPr>
          <w:p w14:paraId="761B302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8590398" w14:textId="458D51B6"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D9D9D9" w:themeFill="background1" w:themeFillShade="D9"/>
            <w:vAlign w:val="center"/>
          </w:tcPr>
          <w:p w14:paraId="58E908E2" w14:textId="044A8958"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502B12C"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0D860CEE" w14:textId="2353AAE5" w:rsidTr="003E054E">
        <w:trPr>
          <w:trHeight w:val="274"/>
        </w:trPr>
        <w:tc>
          <w:tcPr>
            <w:tcW w:w="355" w:type="dxa"/>
            <w:vMerge/>
            <w:shd w:val="clear" w:color="auto" w:fill="DEEAF6" w:themeFill="accent5" w:themeFillTint="33"/>
            <w:vAlign w:val="center"/>
          </w:tcPr>
          <w:p w14:paraId="0E5BB54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0999688" w14:textId="72EE39AF" w:rsidR="00EC1527" w:rsidRPr="003E054E" w:rsidRDefault="00310540" w:rsidP="001B059F">
            <w:pPr>
              <w:ind w:left="360"/>
              <w:rPr>
                <w:rFonts w:ascii="Arial Narrow" w:hAnsi="Arial Narrow" w:cs="Arial"/>
                <w:sz w:val="18"/>
                <w:szCs w:val="18"/>
              </w:rPr>
            </w:pPr>
            <w:r w:rsidRPr="003E054E">
              <w:rPr>
                <w:rFonts w:ascii="Arial Narrow" w:hAnsi="Arial Narrow" w:cs="Arial"/>
                <w:sz w:val="18"/>
                <w:szCs w:val="18"/>
              </w:rPr>
              <w:t>Transit Station, Off-Street Public Path, Public Park</w:t>
            </w:r>
            <w:r w:rsidRPr="003E054E" w:rsidDel="00310540">
              <w:rPr>
                <w:rFonts w:ascii="Arial Narrow" w:hAnsi="Arial Narrow" w:cs="Arial"/>
                <w:sz w:val="18"/>
                <w:szCs w:val="18"/>
              </w:rPr>
              <w:t xml:space="preserve"> </w:t>
            </w:r>
          </w:p>
        </w:tc>
        <w:tc>
          <w:tcPr>
            <w:tcW w:w="1395" w:type="dxa"/>
            <w:shd w:val="clear" w:color="auto" w:fill="D9D9D9" w:themeFill="background1" w:themeFillShade="D9"/>
            <w:vAlign w:val="center"/>
          </w:tcPr>
          <w:p w14:paraId="16CB3A3E" w14:textId="689467D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BCFD8B9"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1DD80DFE" w14:textId="4FBA20A0" w:rsidTr="003E054E">
        <w:trPr>
          <w:trHeight w:val="274"/>
        </w:trPr>
        <w:tc>
          <w:tcPr>
            <w:tcW w:w="355" w:type="dxa"/>
            <w:vMerge/>
            <w:shd w:val="clear" w:color="auto" w:fill="DEEAF6" w:themeFill="accent5" w:themeFillTint="33"/>
            <w:vAlign w:val="center"/>
          </w:tcPr>
          <w:p w14:paraId="7B67C06A"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AAAC6F9" w14:textId="3827DB72"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D9D9D9" w:themeFill="background1" w:themeFillShade="D9"/>
            <w:vAlign w:val="center"/>
          </w:tcPr>
          <w:p w14:paraId="0B74E093" w14:textId="2061D504"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28277C9"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464B0B8" w14:textId="77777777" w:rsidTr="003E054E">
        <w:trPr>
          <w:trHeight w:val="274"/>
        </w:trPr>
        <w:tc>
          <w:tcPr>
            <w:tcW w:w="355" w:type="dxa"/>
            <w:vMerge/>
            <w:shd w:val="clear" w:color="auto" w:fill="DEEAF6" w:themeFill="accent5" w:themeFillTint="33"/>
            <w:vAlign w:val="center"/>
          </w:tcPr>
          <w:p w14:paraId="1BCBA4EC"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270F6E5" w14:textId="0B88D7CE"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D9D9D9" w:themeFill="background1" w:themeFillShade="D9"/>
            <w:vAlign w:val="center"/>
          </w:tcPr>
          <w:p w14:paraId="72BCB3D0"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C4B1FE2"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35041C4A" w14:textId="77777777" w:rsidTr="003E054E">
        <w:trPr>
          <w:trHeight w:val="274"/>
        </w:trPr>
        <w:tc>
          <w:tcPr>
            <w:tcW w:w="355" w:type="dxa"/>
            <w:vMerge/>
            <w:shd w:val="clear" w:color="auto" w:fill="DEEAF6" w:themeFill="accent5" w:themeFillTint="33"/>
            <w:vAlign w:val="center"/>
          </w:tcPr>
          <w:p w14:paraId="2FFCA38E"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6F568E1" w14:textId="281B0788"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Parkway</w:t>
            </w:r>
          </w:p>
        </w:tc>
        <w:tc>
          <w:tcPr>
            <w:tcW w:w="1395" w:type="dxa"/>
            <w:shd w:val="clear" w:color="auto" w:fill="D9D9D9" w:themeFill="background1" w:themeFillShade="D9"/>
            <w:vAlign w:val="center"/>
          </w:tcPr>
          <w:p w14:paraId="4FC56078"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212C88A"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737B1C1A" w14:textId="77777777" w:rsidTr="003E054E">
        <w:trPr>
          <w:trHeight w:val="274"/>
        </w:trPr>
        <w:tc>
          <w:tcPr>
            <w:tcW w:w="355" w:type="dxa"/>
            <w:vMerge/>
            <w:shd w:val="clear" w:color="auto" w:fill="DEEAF6" w:themeFill="accent5" w:themeFillTint="33"/>
            <w:vAlign w:val="center"/>
          </w:tcPr>
          <w:p w14:paraId="53EFFD4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8ADA327" w14:textId="6C1A7B67"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1858EEB4"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6CA3992"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5E1F205" w14:textId="77777777" w:rsidTr="003E054E">
        <w:trPr>
          <w:trHeight w:val="288"/>
        </w:trPr>
        <w:tc>
          <w:tcPr>
            <w:tcW w:w="355" w:type="dxa"/>
            <w:shd w:val="clear" w:color="auto" w:fill="DEEAF6" w:themeFill="accent5" w:themeFillTint="33"/>
            <w:vAlign w:val="center"/>
          </w:tcPr>
          <w:p w14:paraId="602BFDA6" w14:textId="2BABBD4C" w:rsidR="00375E63" w:rsidRPr="003E054E" w:rsidRDefault="00375E63" w:rsidP="001B059F">
            <w:pPr>
              <w:jc w:val="center"/>
              <w:rPr>
                <w:rFonts w:ascii="Arial Narrow" w:hAnsi="Arial Narrow" w:cs="Arial"/>
                <w:b/>
                <w:bCs/>
                <w:sz w:val="18"/>
                <w:szCs w:val="18"/>
              </w:rPr>
            </w:pPr>
            <w:bookmarkStart w:id="3" w:name="_Hlk65231014"/>
            <w:r w:rsidRPr="003E054E">
              <w:rPr>
                <w:rFonts w:ascii="Arial Narrow" w:hAnsi="Arial Narrow" w:cs="Arial"/>
                <w:b/>
                <w:bCs/>
                <w:sz w:val="18"/>
                <w:szCs w:val="18"/>
              </w:rPr>
              <w:lastRenderedPageBreak/>
              <w:t>C</w:t>
            </w:r>
          </w:p>
        </w:tc>
        <w:bookmarkEnd w:id="3"/>
        <w:tc>
          <w:tcPr>
            <w:tcW w:w="9000" w:type="dxa"/>
            <w:gridSpan w:val="3"/>
            <w:shd w:val="clear" w:color="auto" w:fill="DEEAF6" w:themeFill="accent5" w:themeFillTint="33"/>
            <w:vAlign w:val="center"/>
          </w:tcPr>
          <w:p w14:paraId="1E2F0D3C" w14:textId="4000222D"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Minimum BTZ Build-To Percentage for Structure </w:t>
            </w:r>
            <w:r w:rsidRPr="003E054E">
              <w:rPr>
                <w:rFonts w:ascii="Arial Narrow" w:hAnsi="Arial Narrow" w:cs="Arial"/>
                <w:sz w:val="18"/>
                <w:szCs w:val="18"/>
              </w:rPr>
              <w:t>(%)</w:t>
            </w:r>
          </w:p>
        </w:tc>
      </w:tr>
      <w:tr w:rsidR="00EC1527" w:rsidRPr="003E054E" w14:paraId="32985A87" w14:textId="0E1B71C5" w:rsidTr="003E054E">
        <w:trPr>
          <w:trHeight w:val="274"/>
        </w:trPr>
        <w:tc>
          <w:tcPr>
            <w:tcW w:w="355" w:type="dxa"/>
            <w:vMerge w:val="restart"/>
            <w:shd w:val="clear" w:color="auto" w:fill="DEEAF6" w:themeFill="accent5" w:themeFillTint="33"/>
            <w:vAlign w:val="center"/>
          </w:tcPr>
          <w:p w14:paraId="26C70F58"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EB4B16E" w14:textId="4EFD1A33"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Main Street</w:t>
            </w:r>
          </w:p>
        </w:tc>
        <w:tc>
          <w:tcPr>
            <w:tcW w:w="1395" w:type="dxa"/>
            <w:shd w:val="clear" w:color="auto" w:fill="FFFFFF" w:themeFill="background1"/>
            <w:vAlign w:val="center"/>
          </w:tcPr>
          <w:p w14:paraId="0811EC06" w14:textId="28F7F9FD"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80</w:t>
            </w:r>
          </w:p>
        </w:tc>
        <w:tc>
          <w:tcPr>
            <w:tcW w:w="1395" w:type="dxa"/>
            <w:shd w:val="clear" w:color="auto" w:fill="FFFFFF" w:themeFill="background1"/>
            <w:vAlign w:val="center"/>
          </w:tcPr>
          <w:p w14:paraId="4DE8442B" w14:textId="08172651"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80</w:t>
            </w:r>
          </w:p>
        </w:tc>
      </w:tr>
      <w:tr w:rsidR="00EC1527" w:rsidRPr="003E054E" w14:paraId="4EE43188" w14:textId="628C08E6" w:rsidTr="003E054E">
        <w:trPr>
          <w:trHeight w:val="274"/>
        </w:trPr>
        <w:tc>
          <w:tcPr>
            <w:tcW w:w="355" w:type="dxa"/>
            <w:vMerge/>
            <w:shd w:val="clear" w:color="auto" w:fill="DEEAF6" w:themeFill="accent5" w:themeFillTint="33"/>
            <w:vAlign w:val="center"/>
          </w:tcPr>
          <w:p w14:paraId="103BEBAF"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9D5C2CD" w14:textId="5EE2F31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D9D9D9" w:themeFill="background1" w:themeFillShade="D9"/>
            <w:vAlign w:val="center"/>
          </w:tcPr>
          <w:p w14:paraId="6B419B00" w14:textId="3E4090F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13E533F" w14:textId="543ED6B4" w:rsidR="00EC1527" w:rsidRPr="003E054E" w:rsidRDefault="00EC1527" w:rsidP="001B059F">
            <w:pPr>
              <w:jc w:val="center"/>
              <w:rPr>
                <w:rFonts w:ascii="Arial Narrow" w:hAnsi="Arial Narrow" w:cs="Arial"/>
                <w:color w:val="000000" w:themeColor="text1"/>
                <w:sz w:val="18"/>
                <w:szCs w:val="18"/>
              </w:rPr>
            </w:pPr>
          </w:p>
        </w:tc>
      </w:tr>
      <w:tr w:rsidR="00EC1527" w:rsidRPr="003E054E" w14:paraId="22ACD091" w14:textId="3F0C5CBF" w:rsidTr="003E054E">
        <w:trPr>
          <w:trHeight w:val="274"/>
        </w:trPr>
        <w:tc>
          <w:tcPr>
            <w:tcW w:w="355" w:type="dxa"/>
            <w:vMerge/>
            <w:shd w:val="clear" w:color="auto" w:fill="DEEAF6" w:themeFill="accent5" w:themeFillTint="33"/>
            <w:vAlign w:val="center"/>
          </w:tcPr>
          <w:p w14:paraId="4C8BDC9C"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34D02DA" w14:textId="6C80990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6 </w:t>
            </w:r>
            <w:r w:rsidR="002675A3">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07960E3C" w14:textId="4E076D3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84EE274"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22C44136" w14:textId="65525886" w:rsidTr="003E054E">
        <w:trPr>
          <w:trHeight w:val="274"/>
        </w:trPr>
        <w:tc>
          <w:tcPr>
            <w:tcW w:w="355" w:type="dxa"/>
            <w:vMerge/>
            <w:shd w:val="clear" w:color="auto" w:fill="DEEAF6" w:themeFill="accent5" w:themeFillTint="33"/>
            <w:vAlign w:val="center"/>
          </w:tcPr>
          <w:p w14:paraId="78C49EB3"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CA0A10" w14:textId="0F8190BF"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D9D9D9" w:themeFill="background1" w:themeFillShade="D9"/>
            <w:vAlign w:val="center"/>
          </w:tcPr>
          <w:p w14:paraId="45387A9A" w14:textId="0DF5A403"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31B0B76"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6F17954E" w14:textId="5F936E3B" w:rsidTr="003E054E">
        <w:trPr>
          <w:trHeight w:val="274"/>
        </w:trPr>
        <w:tc>
          <w:tcPr>
            <w:tcW w:w="355" w:type="dxa"/>
            <w:vMerge/>
            <w:shd w:val="clear" w:color="auto" w:fill="DEEAF6" w:themeFill="accent5" w:themeFillTint="33"/>
            <w:vAlign w:val="center"/>
          </w:tcPr>
          <w:p w14:paraId="4D824D0B"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E06713C" w14:textId="4A3EECBC" w:rsidR="00EC1527" w:rsidRPr="003E054E" w:rsidRDefault="00310540" w:rsidP="001B059F">
            <w:pPr>
              <w:ind w:left="360"/>
              <w:rPr>
                <w:rFonts w:ascii="Arial Narrow" w:hAnsi="Arial Narrow" w:cs="Arial"/>
                <w:sz w:val="18"/>
                <w:szCs w:val="18"/>
              </w:rPr>
            </w:pPr>
            <w:r w:rsidRPr="003E054E">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2BC63CCF" w14:textId="05D9374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5F8A866"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4D1E2428" w14:textId="1F61182A" w:rsidTr="003E054E">
        <w:trPr>
          <w:trHeight w:val="274"/>
        </w:trPr>
        <w:tc>
          <w:tcPr>
            <w:tcW w:w="355" w:type="dxa"/>
            <w:vMerge/>
            <w:shd w:val="clear" w:color="auto" w:fill="DEEAF6" w:themeFill="accent5" w:themeFillTint="33"/>
            <w:vAlign w:val="center"/>
          </w:tcPr>
          <w:p w14:paraId="17D38224"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6C7D5CE" w14:textId="6B0CC6DB"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D9D9D9" w:themeFill="background1" w:themeFillShade="D9"/>
            <w:vAlign w:val="center"/>
          </w:tcPr>
          <w:p w14:paraId="2C86DECD" w14:textId="792A588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AE8C531"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4630B614" w14:textId="77777777" w:rsidTr="003E054E">
        <w:trPr>
          <w:trHeight w:val="274"/>
        </w:trPr>
        <w:tc>
          <w:tcPr>
            <w:tcW w:w="355" w:type="dxa"/>
            <w:vMerge/>
            <w:shd w:val="clear" w:color="auto" w:fill="DEEAF6" w:themeFill="accent5" w:themeFillTint="33"/>
            <w:vAlign w:val="center"/>
          </w:tcPr>
          <w:p w14:paraId="4F73F10A"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14FF475" w14:textId="1C46493A"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D9D9D9" w:themeFill="background1" w:themeFillShade="D9"/>
            <w:vAlign w:val="center"/>
          </w:tcPr>
          <w:p w14:paraId="336210AF"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426DDCB"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0E6A8805" w14:textId="77777777" w:rsidTr="003E054E">
        <w:trPr>
          <w:trHeight w:val="274"/>
        </w:trPr>
        <w:tc>
          <w:tcPr>
            <w:tcW w:w="355" w:type="dxa"/>
            <w:vMerge/>
            <w:shd w:val="clear" w:color="auto" w:fill="DEEAF6" w:themeFill="accent5" w:themeFillTint="33"/>
            <w:vAlign w:val="center"/>
          </w:tcPr>
          <w:p w14:paraId="4F416EE5"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DADEA74" w14:textId="4A197F9C"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Parkway</w:t>
            </w:r>
          </w:p>
        </w:tc>
        <w:tc>
          <w:tcPr>
            <w:tcW w:w="1395" w:type="dxa"/>
            <w:shd w:val="clear" w:color="auto" w:fill="D9D9D9" w:themeFill="background1" w:themeFillShade="D9"/>
            <w:vAlign w:val="center"/>
          </w:tcPr>
          <w:p w14:paraId="24083597"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9FCA656"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30FF5D8" w14:textId="77777777" w:rsidTr="003E054E">
        <w:trPr>
          <w:trHeight w:val="274"/>
        </w:trPr>
        <w:tc>
          <w:tcPr>
            <w:tcW w:w="355" w:type="dxa"/>
            <w:vMerge/>
            <w:shd w:val="clear" w:color="auto" w:fill="DEEAF6" w:themeFill="accent5" w:themeFillTint="33"/>
            <w:vAlign w:val="center"/>
          </w:tcPr>
          <w:p w14:paraId="5CF48941"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343F891" w14:textId="27A41634"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41A3B5BB"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07FA5B8"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1D37CCD2" w14:textId="77777777" w:rsidTr="003E054E">
        <w:trPr>
          <w:trHeight w:val="274"/>
        </w:trPr>
        <w:tc>
          <w:tcPr>
            <w:tcW w:w="355" w:type="dxa"/>
            <w:shd w:val="clear" w:color="auto" w:fill="DEEAF6" w:themeFill="accent5" w:themeFillTint="33"/>
            <w:vAlign w:val="center"/>
          </w:tcPr>
          <w:p w14:paraId="60C85CE8" w14:textId="663D426A" w:rsidR="00375E63" w:rsidRPr="003E054E" w:rsidRDefault="00375E63" w:rsidP="001B059F">
            <w:pPr>
              <w:jc w:val="center"/>
              <w:rPr>
                <w:rFonts w:ascii="Arial Narrow" w:hAnsi="Arial Narrow" w:cs="Arial"/>
                <w:b/>
                <w:bCs/>
                <w:sz w:val="18"/>
                <w:szCs w:val="18"/>
              </w:rPr>
            </w:pPr>
            <w:bookmarkStart w:id="4" w:name="_Hlk65232520"/>
            <w:r w:rsidRPr="003E054E">
              <w:rPr>
                <w:rFonts w:ascii="Arial Narrow" w:hAnsi="Arial Narrow" w:cs="Arial"/>
                <w:b/>
                <w:bCs/>
                <w:sz w:val="18"/>
                <w:szCs w:val="18"/>
              </w:rPr>
              <w:t>D</w:t>
            </w:r>
          </w:p>
        </w:tc>
        <w:bookmarkEnd w:id="4"/>
        <w:tc>
          <w:tcPr>
            <w:tcW w:w="6210" w:type="dxa"/>
            <w:shd w:val="clear" w:color="auto" w:fill="DEEAF6" w:themeFill="accent5" w:themeFillTint="33"/>
            <w:vAlign w:val="center"/>
          </w:tcPr>
          <w:p w14:paraId="0CDF3BDC" w14:textId="789DE08A"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Minimum Side Setback </w:t>
            </w:r>
            <w:r w:rsidRPr="003E054E">
              <w:rPr>
                <w:rFonts w:ascii="Arial Narrow" w:hAnsi="Arial Narrow" w:cs="Arial"/>
                <w:sz w:val="18"/>
                <w:szCs w:val="18"/>
              </w:rPr>
              <w:t>(feet)</w:t>
            </w:r>
          </w:p>
        </w:tc>
        <w:tc>
          <w:tcPr>
            <w:tcW w:w="1395" w:type="dxa"/>
            <w:shd w:val="clear" w:color="auto" w:fill="FFFFFF" w:themeFill="background1"/>
            <w:vAlign w:val="center"/>
          </w:tcPr>
          <w:p w14:paraId="52EC3608" w14:textId="497EDC49"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10</w:t>
            </w:r>
          </w:p>
        </w:tc>
        <w:tc>
          <w:tcPr>
            <w:tcW w:w="1395" w:type="dxa"/>
            <w:shd w:val="clear" w:color="auto" w:fill="FFFFFF" w:themeFill="background1"/>
            <w:vAlign w:val="center"/>
          </w:tcPr>
          <w:p w14:paraId="3ACEA775" w14:textId="7EFAB3F9"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10</w:t>
            </w:r>
          </w:p>
        </w:tc>
      </w:tr>
      <w:tr w:rsidR="00375E63" w:rsidRPr="003E054E" w14:paraId="5E43EE90" w14:textId="4F43A743" w:rsidTr="003E054E">
        <w:trPr>
          <w:trHeight w:val="274"/>
        </w:trPr>
        <w:tc>
          <w:tcPr>
            <w:tcW w:w="355" w:type="dxa"/>
            <w:shd w:val="clear" w:color="auto" w:fill="DEEAF6" w:themeFill="accent5" w:themeFillTint="33"/>
            <w:vAlign w:val="center"/>
          </w:tcPr>
          <w:p w14:paraId="29D4BC45" w14:textId="5F71BE40"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E</w:t>
            </w:r>
          </w:p>
        </w:tc>
        <w:tc>
          <w:tcPr>
            <w:tcW w:w="6210" w:type="dxa"/>
            <w:shd w:val="clear" w:color="auto" w:fill="DEEAF6" w:themeFill="accent5" w:themeFillTint="33"/>
            <w:vAlign w:val="center"/>
          </w:tcPr>
          <w:p w14:paraId="3A07B3F2" w14:textId="55964C69" w:rsidR="00375E63" w:rsidRPr="003E054E" w:rsidRDefault="00375E63" w:rsidP="001B059F">
            <w:pPr>
              <w:rPr>
                <w:rFonts w:ascii="Arial Narrow" w:hAnsi="Arial Narrow" w:cs="Arial"/>
                <w:sz w:val="18"/>
                <w:szCs w:val="18"/>
              </w:rPr>
            </w:pPr>
            <w:r w:rsidRPr="003E054E">
              <w:rPr>
                <w:rFonts w:ascii="Arial Narrow" w:hAnsi="Arial Narrow" w:cs="Arial"/>
                <w:b/>
                <w:bCs/>
                <w:sz w:val="18"/>
                <w:szCs w:val="18"/>
              </w:rPr>
              <w:t xml:space="preserve">Minimum Rear Setback </w:t>
            </w:r>
            <w:r w:rsidRPr="003E054E">
              <w:rPr>
                <w:rFonts w:ascii="Arial Narrow" w:hAnsi="Arial Narrow" w:cs="Arial"/>
                <w:sz w:val="18"/>
                <w:szCs w:val="18"/>
              </w:rPr>
              <w:t>(feet)</w:t>
            </w:r>
          </w:p>
        </w:tc>
        <w:tc>
          <w:tcPr>
            <w:tcW w:w="1395" w:type="dxa"/>
            <w:shd w:val="clear" w:color="auto" w:fill="FFFFFF" w:themeFill="background1"/>
            <w:vAlign w:val="center"/>
          </w:tcPr>
          <w:p w14:paraId="64574519" w14:textId="4B339597"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20</w:t>
            </w:r>
          </w:p>
        </w:tc>
        <w:tc>
          <w:tcPr>
            <w:tcW w:w="1395" w:type="dxa"/>
            <w:shd w:val="clear" w:color="auto" w:fill="FFFFFF" w:themeFill="background1"/>
            <w:vAlign w:val="center"/>
          </w:tcPr>
          <w:p w14:paraId="717492B3" w14:textId="08513A33"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20</w:t>
            </w:r>
          </w:p>
        </w:tc>
      </w:tr>
    </w:tbl>
    <w:tbl>
      <w:tblPr>
        <w:tblStyle w:val="TableGrid1"/>
        <w:tblW w:w="9355" w:type="dxa"/>
        <w:tblInd w:w="5" w:type="dxa"/>
        <w:tblLook w:val="04A0" w:firstRow="1" w:lastRow="0" w:firstColumn="1" w:lastColumn="0" w:noHBand="0" w:noVBand="1"/>
      </w:tblPr>
      <w:tblGrid>
        <w:gridCol w:w="346"/>
        <w:gridCol w:w="9009"/>
      </w:tblGrid>
      <w:tr w:rsidR="00B07F27" w:rsidRPr="001B059F" w14:paraId="16C71DCF" w14:textId="77777777" w:rsidTr="004349B3">
        <w:trPr>
          <w:trHeight w:val="215"/>
        </w:trPr>
        <w:tc>
          <w:tcPr>
            <w:tcW w:w="346" w:type="dxa"/>
            <w:tcBorders>
              <w:top w:val="nil"/>
              <w:left w:val="nil"/>
              <w:bottom w:val="nil"/>
              <w:right w:val="nil"/>
            </w:tcBorders>
            <w:shd w:val="clear" w:color="auto" w:fill="FFFFFF" w:themeFill="background1"/>
          </w:tcPr>
          <w:p w14:paraId="09AFB562" w14:textId="77777777" w:rsidR="004349B3" w:rsidRPr="001B059F" w:rsidRDefault="004349B3" w:rsidP="001B059F">
            <w:pPr>
              <w:rPr>
                <w:rFonts w:ascii="Arial Narrow" w:hAnsi="Arial Narrow" w:cs="Arial"/>
                <w:b/>
                <w:bCs/>
                <w:sz w:val="18"/>
                <w:szCs w:val="18"/>
              </w:rPr>
            </w:pPr>
            <w:r w:rsidRPr="001B059F">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34CE1C83" w14:textId="188A44C2" w:rsidR="004349B3" w:rsidRPr="001B059F" w:rsidRDefault="00A33FC9" w:rsidP="001B059F">
            <w:pPr>
              <w:rPr>
                <w:rFonts w:ascii="Arial Narrow" w:hAnsi="Arial Narrow" w:cs="Arial"/>
                <w:sz w:val="18"/>
                <w:szCs w:val="18"/>
              </w:rPr>
            </w:pPr>
            <w:r w:rsidRPr="001B059F">
              <w:rPr>
                <w:rFonts w:ascii="Arial Narrow" w:hAnsi="Arial Narrow" w:cs="Arial"/>
                <w:sz w:val="18"/>
                <w:szCs w:val="18"/>
              </w:rPr>
              <w:t xml:space="preserve">On local and collector streets in the CG and CR </w:t>
            </w:r>
            <w:r w:rsidR="001B059F">
              <w:rPr>
                <w:rFonts w:ascii="Arial Narrow" w:hAnsi="Arial Narrow" w:cs="Arial"/>
                <w:sz w:val="18"/>
                <w:szCs w:val="18"/>
              </w:rPr>
              <w:t xml:space="preserve">Zoning </w:t>
            </w:r>
            <w:r w:rsidR="006F1294" w:rsidRPr="001B059F">
              <w:rPr>
                <w:rFonts w:ascii="Arial Narrow" w:hAnsi="Arial Narrow" w:cs="Arial"/>
                <w:sz w:val="18"/>
                <w:szCs w:val="18"/>
              </w:rPr>
              <w:t>Districts</w:t>
            </w:r>
            <w:r w:rsidRPr="001B059F">
              <w:rPr>
                <w:rFonts w:ascii="Arial Narrow" w:hAnsi="Arial Narrow" w:cs="Arial"/>
                <w:sz w:val="18"/>
                <w:szCs w:val="18"/>
              </w:rPr>
              <w:t>, measured from the curb location of Office/Commercial Narrow Local Street Cross Section in CLDSM or the existing back of curb, whichever is farthest from the centerline.</w:t>
            </w:r>
            <w:r w:rsidR="00D365AC" w:rsidRPr="001B059F">
              <w:rPr>
                <w:rFonts w:ascii="Arial Narrow" w:hAnsi="Arial Narrow" w:cs="Arial"/>
                <w:sz w:val="18"/>
                <w:szCs w:val="18"/>
              </w:rPr>
              <w:t xml:space="preserve"> </w:t>
            </w:r>
            <w:r w:rsidR="00F30157" w:rsidRPr="001B059F">
              <w:rPr>
                <w:rFonts w:ascii="Arial Narrow" w:hAnsi="Arial Narrow" w:cs="Arial"/>
                <w:sz w:val="18"/>
                <w:szCs w:val="18"/>
              </w:rPr>
              <w:t>If SSI standards require the relocation of the back of curb or the back of curb is voluntarily relocated, that shall be considered the existing back of curb location.</w:t>
            </w:r>
          </w:p>
        </w:tc>
      </w:tr>
      <w:tr w:rsidR="00B07F27" w:rsidRPr="001B059F" w14:paraId="48D791B9" w14:textId="77777777" w:rsidTr="004349B3">
        <w:trPr>
          <w:trHeight w:val="215"/>
        </w:trPr>
        <w:tc>
          <w:tcPr>
            <w:tcW w:w="346" w:type="dxa"/>
            <w:tcBorders>
              <w:top w:val="nil"/>
              <w:left w:val="nil"/>
              <w:bottom w:val="nil"/>
              <w:right w:val="nil"/>
            </w:tcBorders>
            <w:shd w:val="clear" w:color="auto" w:fill="FFFFFF" w:themeFill="background1"/>
          </w:tcPr>
          <w:p w14:paraId="2BF1A5F9" w14:textId="2AF63E4E" w:rsidR="004349B3"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7078FEAC" w14:textId="77777777" w:rsidR="004349B3" w:rsidRPr="001B059F" w:rsidRDefault="004349B3" w:rsidP="001B059F">
            <w:pPr>
              <w:rPr>
                <w:rFonts w:ascii="Arial Narrow" w:hAnsi="Arial Narrow" w:cs="Arial"/>
                <w:sz w:val="18"/>
                <w:szCs w:val="18"/>
              </w:rPr>
            </w:pPr>
            <w:r w:rsidRPr="001B059F">
              <w:rPr>
                <w:rFonts w:ascii="Arial Narrow" w:hAnsi="Arial Narrow" w:cs="Arial"/>
                <w:sz w:val="18"/>
                <w:szCs w:val="18"/>
              </w:rPr>
              <w:t>In no case shall any building entry be located closer than six feet to an existing or proposed off-street public path or shared use path.</w:t>
            </w:r>
          </w:p>
        </w:tc>
      </w:tr>
      <w:tr w:rsidR="00B07F27" w:rsidRPr="001B059F" w14:paraId="4869A586" w14:textId="77777777" w:rsidTr="004349B3">
        <w:trPr>
          <w:trHeight w:val="215"/>
        </w:trPr>
        <w:tc>
          <w:tcPr>
            <w:tcW w:w="346" w:type="dxa"/>
            <w:tcBorders>
              <w:top w:val="nil"/>
              <w:left w:val="nil"/>
              <w:bottom w:val="nil"/>
              <w:right w:val="nil"/>
            </w:tcBorders>
            <w:shd w:val="clear" w:color="auto" w:fill="FFFFFF" w:themeFill="background1"/>
          </w:tcPr>
          <w:p w14:paraId="5AB41550" w14:textId="5CE1CAB2" w:rsidR="004349B3"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vAlign w:val="center"/>
          </w:tcPr>
          <w:p w14:paraId="49A276B4" w14:textId="4E00C150" w:rsidR="004349B3" w:rsidRPr="001B059F" w:rsidRDefault="00865A0D" w:rsidP="001B059F">
            <w:pPr>
              <w:rPr>
                <w:rFonts w:ascii="Arial Narrow" w:hAnsi="Arial Narrow" w:cs="Arial"/>
                <w:sz w:val="18"/>
                <w:szCs w:val="18"/>
              </w:rPr>
            </w:pPr>
            <w:r w:rsidRPr="001B059F">
              <w:rPr>
                <w:rFonts w:ascii="Arial Narrow" w:hAnsi="Arial Narrow" w:cs="Arial"/>
                <w:sz w:val="18"/>
                <w:szCs w:val="18"/>
              </w:rPr>
              <w:t xml:space="preserve">In the CG and CR </w:t>
            </w:r>
            <w:r w:rsidR="001B059F">
              <w:rPr>
                <w:rFonts w:ascii="Arial Narrow" w:hAnsi="Arial Narrow" w:cs="Arial"/>
                <w:sz w:val="18"/>
                <w:szCs w:val="18"/>
              </w:rPr>
              <w:t>Zoning D</w:t>
            </w:r>
            <w:r w:rsidRPr="001B059F">
              <w:rPr>
                <w:rFonts w:ascii="Arial Narrow" w:hAnsi="Arial Narrow" w:cs="Arial"/>
                <w:sz w:val="18"/>
                <w:szCs w:val="18"/>
              </w:rPr>
              <w:t xml:space="preserve">istricts, if no </w:t>
            </w:r>
            <w:r w:rsidRPr="0010513D">
              <w:rPr>
                <w:rFonts w:ascii="Arial Narrow" w:hAnsi="Arial Narrow" w:cs="Arial"/>
                <w:sz w:val="18"/>
                <w:szCs w:val="18"/>
              </w:rPr>
              <w:t>parking</w:t>
            </w:r>
            <w:r w:rsidR="00974F38" w:rsidRPr="0010513D">
              <w:rPr>
                <w:rFonts w:ascii="Arial Narrow" w:hAnsi="Arial Narrow" w:cs="Arial"/>
                <w:sz w:val="18"/>
                <w:szCs w:val="18"/>
              </w:rPr>
              <w:t xml:space="preserve"> or maneuvering</w:t>
            </w:r>
            <w:r w:rsidRPr="001B059F">
              <w:rPr>
                <w:rFonts w:ascii="Arial Narrow" w:hAnsi="Arial Narrow" w:cs="Arial"/>
                <w:sz w:val="18"/>
                <w:szCs w:val="18"/>
              </w:rPr>
              <w:t xml:space="preserve"> is located between a building and the frontage, then the frontage setback line may be reduced to match the standard required for the CAC-1 </w:t>
            </w:r>
            <w:r w:rsidR="001B059F">
              <w:rPr>
                <w:rFonts w:ascii="Arial Narrow" w:hAnsi="Arial Narrow" w:cs="Arial"/>
                <w:sz w:val="18"/>
                <w:szCs w:val="18"/>
              </w:rPr>
              <w:t xml:space="preserve">Zoning </w:t>
            </w:r>
            <w:r w:rsidRPr="001B059F">
              <w:rPr>
                <w:rFonts w:ascii="Arial Narrow" w:hAnsi="Arial Narrow" w:cs="Arial"/>
                <w:sz w:val="18"/>
                <w:szCs w:val="18"/>
              </w:rPr>
              <w:t>District.</w:t>
            </w:r>
          </w:p>
        </w:tc>
      </w:tr>
      <w:tr w:rsidR="00516BA6" w:rsidRPr="001B059F" w14:paraId="4836C890" w14:textId="77777777" w:rsidTr="00F5257C">
        <w:trPr>
          <w:trHeight w:val="215"/>
        </w:trPr>
        <w:tc>
          <w:tcPr>
            <w:tcW w:w="346" w:type="dxa"/>
            <w:tcBorders>
              <w:top w:val="nil"/>
              <w:left w:val="nil"/>
              <w:bottom w:val="nil"/>
              <w:right w:val="nil"/>
            </w:tcBorders>
            <w:shd w:val="clear" w:color="auto" w:fill="FFFFFF" w:themeFill="background1"/>
          </w:tcPr>
          <w:p w14:paraId="44C557AB" w14:textId="2E4D5191" w:rsidR="00516BA6"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vAlign w:val="center"/>
          </w:tcPr>
          <w:p w14:paraId="61C11B07" w14:textId="06E5B453" w:rsidR="00516BA6" w:rsidRPr="001B059F" w:rsidRDefault="00516BA6" w:rsidP="001B059F">
            <w:pPr>
              <w:jc w:val="both"/>
              <w:rPr>
                <w:rFonts w:ascii="Arial Narrow" w:hAnsi="Arial Narrow" w:cs="Arial"/>
                <w:sz w:val="18"/>
                <w:szCs w:val="18"/>
              </w:rPr>
            </w:pPr>
            <w:r w:rsidRPr="001B059F">
              <w:rPr>
                <w:rFonts w:ascii="Arial Narrow" w:hAnsi="Arial Narrow" w:cs="Arial"/>
                <w:sz w:val="18"/>
                <w:szCs w:val="18"/>
              </w:rPr>
              <w:t xml:space="preserve">For the </w:t>
            </w:r>
            <w:r w:rsidR="001B059F" w:rsidRPr="001B059F">
              <w:rPr>
                <w:rFonts w:ascii="Arial Narrow" w:hAnsi="Arial Narrow" w:cs="Arial"/>
                <w:sz w:val="18"/>
                <w:szCs w:val="18"/>
              </w:rPr>
              <w:t>transit station</w:t>
            </w:r>
            <w:r w:rsidR="001B059F">
              <w:rPr>
                <w:rFonts w:ascii="Arial Narrow" w:hAnsi="Arial Narrow" w:cs="Arial"/>
                <w:sz w:val="18"/>
                <w:szCs w:val="18"/>
              </w:rPr>
              <w:t xml:space="preserve">, </w:t>
            </w:r>
            <w:r w:rsidR="001B059F" w:rsidRPr="001B059F">
              <w:rPr>
                <w:rFonts w:ascii="Arial Narrow" w:hAnsi="Arial Narrow" w:cs="Arial"/>
                <w:sz w:val="18"/>
                <w:szCs w:val="18"/>
              </w:rPr>
              <w:t xml:space="preserve">off-street public path, public park </w:t>
            </w:r>
            <w:r w:rsidRPr="001B059F">
              <w:rPr>
                <w:rFonts w:ascii="Arial Narrow" w:hAnsi="Arial Narrow" w:cs="Arial"/>
                <w:sz w:val="18"/>
                <w:szCs w:val="18"/>
              </w:rPr>
              <w:t>frontage, shall be measured from a property line or right-of-way line. If there is an easement in place for any frontage, then the measurement shall be taken from such easement. For any frontage abutting a reservation for a future frontage, the frontage setback line shall be measured from the edge of the reservation area.</w:t>
            </w:r>
          </w:p>
        </w:tc>
      </w:tr>
      <w:tr w:rsidR="00B07F27" w:rsidRPr="001B059F" w14:paraId="2B987070" w14:textId="77777777" w:rsidTr="004349B3">
        <w:trPr>
          <w:trHeight w:val="215"/>
        </w:trPr>
        <w:tc>
          <w:tcPr>
            <w:tcW w:w="346" w:type="dxa"/>
            <w:tcBorders>
              <w:top w:val="nil"/>
              <w:left w:val="nil"/>
              <w:bottom w:val="nil"/>
              <w:right w:val="nil"/>
            </w:tcBorders>
            <w:shd w:val="clear" w:color="auto" w:fill="FFFFFF" w:themeFill="background1"/>
          </w:tcPr>
          <w:p w14:paraId="2CDC9DFF" w14:textId="77777777" w:rsidR="004349B3" w:rsidRPr="001B059F" w:rsidRDefault="004349B3" w:rsidP="001B059F">
            <w:pPr>
              <w:rPr>
                <w:rFonts w:ascii="Arial Narrow" w:hAnsi="Arial Narrow" w:cs="Arial"/>
                <w:b/>
                <w:bCs/>
                <w:sz w:val="18"/>
                <w:szCs w:val="18"/>
              </w:rPr>
            </w:pPr>
            <w:r w:rsidRPr="001B059F">
              <w:rPr>
                <w:rFonts w:ascii="Arial Narrow" w:hAnsi="Arial Narrow" w:cs="Arial"/>
                <w:b/>
                <w:bCs/>
                <w:sz w:val="18"/>
                <w:szCs w:val="18"/>
                <w:vertAlign w:val="superscript"/>
              </w:rPr>
              <w:t>5</w:t>
            </w:r>
          </w:p>
        </w:tc>
        <w:tc>
          <w:tcPr>
            <w:tcW w:w="9009" w:type="dxa"/>
            <w:tcBorders>
              <w:top w:val="nil"/>
              <w:left w:val="nil"/>
              <w:bottom w:val="nil"/>
              <w:right w:val="nil"/>
            </w:tcBorders>
            <w:shd w:val="clear" w:color="auto" w:fill="FFFFFF" w:themeFill="background1"/>
            <w:vAlign w:val="center"/>
          </w:tcPr>
          <w:p w14:paraId="26A607F2" w14:textId="40FA185F" w:rsidR="004349B3" w:rsidRPr="001C7DEF" w:rsidRDefault="0071569B" w:rsidP="001B059F">
            <w:pPr>
              <w:rPr>
                <w:rFonts w:ascii="Arial Narrow" w:hAnsi="Arial Narrow" w:cs="Arial"/>
                <w:sz w:val="18"/>
                <w:szCs w:val="18"/>
              </w:rPr>
            </w:pPr>
            <w:r w:rsidRPr="001C7DEF">
              <w:rPr>
                <w:rFonts w:ascii="Arial Narrow" w:hAnsi="Arial Narrow" w:cs="Arial"/>
                <w:sz w:val="18"/>
                <w:szCs w:val="18"/>
              </w:rPr>
              <w:t>When</w:t>
            </w:r>
            <w:r w:rsidR="00E968C8" w:rsidRPr="001C7DEF">
              <w:rPr>
                <w:rFonts w:ascii="Arial Narrow" w:hAnsi="Arial Narrow" w:cs="Arial"/>
                <w:sz w:val="18"/>
                <w:szCs w:val="18"/>
              </w:rPr>
              <w:t xml:space="preserve"> an existing </w:t>
            </w:r>
            <w:r w:rsidR="00C73D0C" w:rsidRPr="001C7DEF">
              <w:rPr>
                <w:rFonts w:ascii="Arial Narrow" w:hAnsi="Arial Narrow" w:cs="Arial"/>
                <w:sz w:val="18"/>
                <w:szCs w:val="18"/>
              </w:rPr>
              <w:t xml:space="preserve">Charlotte </w:t>
            </w:r>
            <w:r w:rsidR="00E968C8" w:rsidRPr="001C7DEF">
              <w:rPr>
                <w:rFonts w:ascii="Arial Narrow" w:hAnsi="Arial Narrow" w:cs="Arial"/>
                <w:sz w:val="18"/>
                <w:szCs w:val="18"/>
              </w:rPr>
              <w:t>Water easement</w:t>
            </w:r>
            <w:r w:rsidR="00C73D0C" w:rsidRPr="001C7DEF">
              <w:rPr>
                <w:rFonts w:ascii="Arial Narrow" w:hAnsi="Arial Narrow" w:cs="Arial"/>
                <w:sz w:val="18"/>
                <w:szCs w:val="18"/>
              </w:rPr>
              <w:t>,</w:t>
            </w:r>
            <w:r w:rsidR="00A52AF8" w:rsidRPr="001C7DEF">
              <w:rPr>
                <w:rFonts w:ascii="Arial Narrow" w:hAnsi="Arial Narrow" w:cs="Arial"/>
                <w:sz w:val="18"/>
                <w:szCs w:val="18"/>
              </w:rPr>
              <w:t xml:space="preserve"> other utility easement</w:t>
            </w:r>
            <w:r w:rsidR="00C73D0C" w:rsidRPr="001C7DEF">
              <w:rPr>
                <w:rFonts w:ascii="Arial Narrow" w:hAnsi="Arial Narrow" w:cs="Arial"/>
                <w:sz w:val="18"/>
                <w:szCs w:val="18"/>
              </w:rPr>
              <w:t>, or overhead utility clearance requirement</w:t>
            </w:r>
            <w:r w:rsidR="00E968C8" w:rsidRPr="001C7DEF">
              <w:rPr>
                <w:rFonts w:ascii="Arial Narrow" w:hAnsi="Arial Narrow" w:cs="Arial"/>
                <w:sz w:val="18"/>
                <w:szCs w:val="18"/>
              </w:rPr>
              <w:t xml:space="preserve"> conflicts with the build-to zone requirement, a build-to line shall be established at the edge of the easement</w:t>
            </w:r>
            <w:r w:rsidR="00C73D0C" w:rsidRPr="001C7DEF">
              <w:rPr>
                <w:rFonts w:ascii="Arial Narrow" w:hAnsi="Arial Narrow" w:cs="Arial"/>
                <w:sz w:val="18"/>
                <w:szCs w:val="18"/>
              </w:rPr>
              <w:t xml:space="preserve"> or the edge of the overhead utility clearance requirement</w:t>
            </w:r>
            <w:r w:rsidR="00E968C8" w:rsidRPr="001C7DEF">
              <w:rPr>
                <w:rFonts w:ascii="Arial Narrow" w:hAnsi="Arial Narrow" w:cs="Arial"/>
                <w:sz w:val="18"/>
                <w:szCs w:val="18"/>
              </w:rPr>
              <w:t xml:space="preserve"> closest to the build-to zone.</w:t>
            </w:r>
            <w:r w:rsidR="00402720" w:rsidRPr="001C7DEF">
              <w:rPr>
                <w:rFonts w:ascii="Arial Narrow" w:hAnsi="Arial Narrow" w:cs="Arial"/>
                <w:sz w:val="18"/>
                <w:szCs w:val="18"/>
              </w:rPr>
              <w:t xml:space="preserve"> A build-to zone shall not be required along frontages which abut a man-made or natural physical feature 35 feet in width or greater such as, but not limited to, a</w:t>
            </w:r>
            <w:r w:rsidR="00394310" w:rsidRPr="001C7DEF">
              <w:t xml:space="preserve"> </w:t>
            </w:r>
            <w:r w:rsidR="00394310" w:rsidRPr="001C7DEF">
              <w:rPr>
                <w:rFonts w:ascii="Arial Narrow" w:hAnsi="Arial Narrow" w:cs="Arial"/>
                <w:sz w:val="18"/>
                <w:szCs w:val="18"/>
              </w:rPr>
              <w:t xml:space="preserve">railroad line, rapid transit line, gas pipeline, SWIM buffer, or a buffer related to </w:t>
            </w:r>
            <w:r w:rsidR="0099733B" w:rsidRPr="001C7DEF">
              <w:rPr>
                <w:rFonts w:ascii="Arial Narrow" w:hAnsi="Arial Narrow" w:cs="Arial"/>
                <w:sz w:val="18"/>
                <w:szCs w:val="18"/>
              </w:rPr>
              <w:t>post</w:t>
            </w:r>
            <w:r w:rsidR="004C4B59" w:rsidRPr="001C7DEF">
              <w:rPr>
                <w:rFonts w:ascii="Arial Narrow" w:hAnsi="Arial Narrow" w:cs="Arial"/>
                <w:sz w:val="18"/>
                <w:szCs w:val="18"/>
              </w:rPr>
              <w:t>-</w:t>
            </w:r>
            <w:r w:rsidR="0099733B" w:rsidRPr="001C7DEF">
              <w:rPr>
                <w:rFonts w:ascii="Arial Narrow" w:hAnsi="Arial Narrow" w:cs="Arial"/>
                <w:sz w:val="18"/>
                <w:szCs w:val="18"/>
              </w:rPr>
              <w:t>construction stormwater</w:t>
            </w:r>
            <w:r w:rsidR="00394310" w:rsidRPr="001C7DEF">
              <w:rPr>
                <w:rFonts w:ascii="Arial Narrow" w:hAnsi="Arial Narrow" w:cs="Arial"/>
                <w:sz w:val="18"/>
                <w:szCs w:val="18"/>
              </w:rPr>
              <w:t xml:space="preserve"> requirements.</w:t>
            </w:r>
            <w:r w:rsidR="00CD4D0C" w:rsidRPr="001C7DEF">
              <w:rPr>
                <w:rFonts w:ascii="Arial Narrow" w:hAnsi="Arial Narrow" w:cs="Arial"/>
                <w:sz w:val="18"/>
                <w:szCs w:val="18"/>
              </w:rPr>
              <w:t xml:space="preserve"> This does not include any stormwater control measure as required by this Ordinance.</w:t>
            </w:r>
          </w:p>
        </w:tc>
      </w:tr>
      <w:tr w:rsidR="00B07F27" w:rsidRPr="001B059F" w14:paraId="6CE09ECB" w14:textId="77777777" w:rsidTr="004349B3">
        <w:trPr>
          <w:trHeight w:val="215"/>
        </w:trPr>
        <w:tc>
          <w:tcPr>
            <w:tcW w:w="346" w:type="dxa"/>
            <w:tcBorders>
              <w:top w:val="nil"/>
              <w:left w:val="nil"/>
              <w:bottom w:val="nil"/>
              <w:right w:val="nil"/>
            </w:tcBorders>
            <w:shd w:val="clear" w:color="auto" w:fill="FFFFFF" w:themeFill="background1"/>
          </w:tcPr>
          <w:p w14:paraId="1692C84B" w14:textId="0EA58F67" w:rsidR="00E968C8" w:rsidRPr="001B059F" w:rsidRDefault="00E968C8" w:rsidP="001B059F">
            <w:pPr>
              <w:rPr>
                <w:rFonts w:ascii="Arial Narrow" w:hAnsi="Arial Narrow" w:cs="Arial"/>
                <w:b/>
                <w:bCs/>
                <w:sz w:val="18"/>
                <w:szCs w:val="18"/>
                <w:vertAlign w:val="superscript"/>
              </w:rPr>
            </w:pPr>
            <w:r w:rsidRPr="001B059F">
              <w:rPr>
                <w:rFonts w:ascii="Arial Narrow" w:hAnsi="Arial Narrow" w:cs="Arial"/>
                <w:b/>
                <w:bCs/>
                <w:sz w:val="18"/>
                <w:szCs w:val="18"/>
                <w:vertAlign w:val="superscript"/>
              </w:rPr>
              <w:t>6</w:t>
            </w:r>
          </w:p>
        </w:tc>
        <w:tc>
          <w:tcPr>
            <w:tcW w:w="9009" w:type="dxa"/>
            <w:tcBorders>
              <w:top w:val="nil"/>
              <w:left w:val="nil"/>
              <w:bottom w:val="nil"/>
              <w:right w:val="nil"/>
            </w:tcBorders>
            <w:shd w:val="clear" w:color="auto" w:fill="FFFFFF" w:themeFill="background1"/>
            <w:vAlign w:val="center"/>
          </w:tcPr>
          <w:p w14:paraId="181A9D38" w14:textId="6347D706" w:rsidR="00E968C8" w:rsidRPr="001B059F" w:rsidRDefault="00A928F3" w:rsidP="001B059F">
            <w:pPr>
              <w:rPr>
                <w:rFonts w:ascii="Arial Narrow" w:hAnsi="Arial Narrow" w:cs="Arial"/>
                <w:sz w:val="18"/>
                <w:szCs w:val="18"/>
              </w:rPr>
            </w:pPr>
            <w:r w:rsidRPr="001B059F">
              <w:rPr>
                <w:rFonts w:ascii="Arial Narrow" w:hAnsi="Arial Narrow" w:cs="Arial"/>
                <w:sz w:val="18"/>
                <w:szCs w:val="18"/>
              </w:rPr>
              <w:t xml:space="preserve">Where a lot has more than two frontages that require a build-to zone, the build-to zone shall be increased by 100% for those frontages that exceed two. Such an increase should be applied to those frontages that are lowest in the established hierarchy of frontages (Section </w:t>
            </w:r>
            <w:r w:rsidR="00751024" w:rsidRPr="001B059F">
              <w:rPr>
                <w:rFonts w:ascii="Arial Narrow" w:hAnsi="Arial Narrow" w:cs="Arial"/>
                <w:sz w:val="18"/>
                <w:szCs w:val="18"/>
              </w:rPr>
              <w:t>3.5.D</w:t>
            </w:r>
            <w:r w:rsidRPr="001B059F">
              <w:rPr>
                <w:rFonts w:ascii="Arial Narrow" w:hAnsi="Arial Narrow" w:cs="Arial"/>
                <w:sz w:val="18"/>
                <w:szCs w:val="18"/>
              </w:rPr>
              <w:t>).</w:t>
            </w:r>
          </w:p>
        </w:tc>
      </w:tr>
    </w:tbl>
    <w:p w14:paraId="0DEB43DF" w14:textId="514D2C64" w:rsidR="000733F8" w:rsidRDefault="000733F8" w:rsidP="001B059F">
      <w:pPr>
        <w:rPr>
          <w:rFonts w:ascii="Arial" w:hAnsi="Arial" w:cs="Arial"/>
          <w:b/>
          <w:bCs/>
          <w:sz w:val="18"/>
          <w:szCs w:val="18"/>
        </w:rPr>
      </w:pPr>
    </w:p>
    <w:p w14:paraId="18ACDDB5" w14:textId="77777777" w:rsidR="000733F8" w:rsidRDefault="000733F8">
      <w:pPr>
        <w:rPr>
          <w:rFonts w:ascii="Arial" w:hAnsi="Arial" w:cs="Arial"/>
          <w:b/>
          <w:bCs/>
          <w:sz w:val="18"/>
          <w:szCs w:val="18"/>
        </w:rPr>
      </w:pPr>
      <w:r>
        <w:rPr>
          <w:rFonts w:ascii="Arial" w:hAnsi="Arial" w:cs="Arial"/>
          <w:b/>
          <w:bCs/>
          <w:sz w:val="18"/>
          <w:szCs w:val="18"/>
        </w:rPr>
        <w:br w:type="page"/>
      </w:r>
    </w:p>
    <w:p w14:paraId="57D63F74" w14:textId="77777777" w:rsidR="001D7024" w:rsidRDefault="001D7024" w:rsidP="001B059F">
      <w:pPr>
        <w:rPr>
          <w:rFonts w:ascii="Arial" w:hAnsi="Arial" w:cs="Arial"/>
          <w:b/>
          <w:bCs/>
          <w:sz w:val="18"/>
          <w:szCs w:val="18"/>
        </w:rPr>
      </w:pPr>
    </w:p>
    <w:p w14:paraId="29640FD6" w14:textId="3A8ACFEF" w:rsidR="00C228C9" w:rsidRPr="006824F2" w:rsidRDefault="00977949" w:rsidP="001B059F">
      <w:pPr>
        <w:rPr>
          <w:rFonts w:ascii="Arial" w:hAnsi="Arial" w:cs="Arial"/>
          <w:b/>
          <w:bCs/>
          <w:sz w:val="18"/>
          <w:szCs w:val="18"/>
        </w:rPr>
      </w:pPr>
      <w:r>
        <w:rPr>
          <w:rFonts w:ascii="Arial" w:hAnsi="Arial" w:cs="Arial"/>
          <w:b/>
          <w:bCs/>
          <w:sz w:val="18"/>
          <w:szCs w:val="18"/>
        </w:rPr>
        <w:t>D</w:t>
      </w:r>
      <w:r w:rsidR="006824F2" w:rsidRPr="006824F2">
        <w:rPr>
          <w:rFonts w:ascii="Arial" w:hAnsi="Arial" w:cs="Arial"/>
          <w:b/>
          <w:bCs/>
          <w:sz w:val="18"/>
          <w:szCs w:val="18"/>
        </w:rPr>
        <w:t xml:space="preserve">. </w:t>
      </w:r>
      <w:r w:rsidR="006824F2" w:rsidRPr="006824F2">
        <w:rPr>
          <w:rFonts w:ascii="Arial" w:hAnsi="Arial" w:cs="Arial"/>
          <w:b/>
          <w:bCs/>
          <w:sz w:val="18"/>
          <w:szCs w:val="18"/>
        </w:rPr>
        <w:tab/>
        <w:t>Building Height</w:t>
      </w:r>
    </w:p>
    <w:p w14:paraId="603657AD" w14:textId="0E04F388" w:rsidR="00A94ACE" w:rsidRDefault="00A94ACE" w:rsidP="001B059F">
      <w:pPr>
        <w:rPr>
          <w:rFonts w:ascii="Arial" w:hAnsi="Arial" w:cs="Arial"/>
          <w:sz w:val="18"/>
          <w:szCs w:val="18"/>
        </w:rPr>
      </w:pPr>
      <w:r w:rsidRPr="002E79DD">
        <w:rPr>
          <w:rFonts w:ascii="Arial" w:hAnsi="Arial" w:cs="Arial"/>
          <w:sz w:val="18"/>
          <w:szCs w:val="18"/>
        </w:rPr>
        <w:t>Building height standards govern the maximum heights of buildings</w:t>
      </w:r>
      <w:r>
        <w:rPr>
          <w:rFonts w:ascii="Arial" w:hAnsi="Arial" w:cs="Arial"/>
          <w:sz w:val="18"/>
          <w:szCs w:val="18"/>
        </w:rPr>
        <w:t xml:space="preserve"> as </w:t>
      </w:r>
      <w:proofErr w:type="gramStart"/>
      <w:r>
        <w:rPr>
          <w:rFonts w:ascii="Arial" w:hAnsi="Arial" w:cs="Arial"/>
          <w:sz w:val="18"/>
          <w:szCs w:val="18"/>
        </w:rPr>
        <w:t>applicable</w:t>
      </w:r>
      <w:r w:rsidRPr="002E79DD">
        <w:rPr>
          <w:rFonts w:ascii="Arial" w:hAnsi="Arial" w:cs="Arial"/>
          <w:sz w:val="18"/>
          <w:szCs w:val="18"/>
        </w:rPr>
        <w:t>, and</w:t>
      </w:r>
      <w:proofErr w:type="gramEnd"/>
      <w:r w:rsidRPr="002E79DD">
        <w:rPr>
          <w:rFonts w:ascii="Arial" w:hAnsi="Arial" w:cs="Arial"/>
          <w:sz w:val="18"/>
          <w:szCs w:val="18"/>
        </w:rPr>
        <w:t xml:space="preserve"> are intended to provide flexibility while maintaining appropriate transitions to adjacent areas</w:t>
      </w:r>
      <w:r w:rsidR="00CA0E52">
        <w:rPr>
          <w:rFonts w:ascii="Arial" w:hAnsi="Arial" w:cs="Arial"/>
          <w:sz w:val="18"/>
          <w:szCs w:val="18"/>
        </w:rPr>
        <w:t>.</w:t>
      </w:r>
    </w:p>
    <w:p w14:paraId="328E1A6A" w14:textId="10981ADE" w:rsidR="00451EF1" w:rsidRDefault="00451EF1" w:rsidP="00965895">
      <w:pPr>
        <w:rPr>
          <w:rFonts w:ascii="Arial" w:hAnsi="Arial" w:cs="Arial"/>
          <w:sz w:val="18"/>
          <w:szCs w:val="18"/>
        </w:rPr>
      </w:pPr>
      <w:r>
        <w:rPr>
          <w:rFonts w:eastAsia="Calibri"/>
          <w:noProof/>
        </w:rPr>
        <w:drawing>
          <wp:anchor distT="0" distB="0" distL="114300" distR="114300" simplePos="0" relativeHeight="251658240" behindDoc="0" locked="0" layoutInCell="1" allowOverlap="1" wp14:anchorId="364B7FA1" wp14:editId="34BEAFAD">
            <wp:simplePos x="0" y="0"/>
            <wp:positionH relativeFrom="column">
              <wp:posOffset>236855</wp:posOffset>
            </wp:positionH>
            <wp:positionV relativeFrom="paragraph">
              <wp:posOffset>0</wp:posOffset>
            </wp:positionV>
            <wp:extent cx="5474415" cy="2740248"/>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4415" cy="274024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355" w:type="dxa"/>
        <w:tblLook w:val="04A0" w:firstRow="1" w:lastRow="0" w:firstColumn="1" w:lastColumn="0" w:noHBand="0" w:noVBand="1"/>
      </w:tblPr>
      <w:tblGrid>
        <w:gridCol w:w="355"/>
        <w:gridCol w:w="6210"/>
        <w:gridCol w:w="1395"/>
        <w:gridCol w:w="1395"/>
      </w:tblGrid>
      <w:tr w:rsidR="00143098" w:rsidRPr="001B059F" w14:paraId="3FD4AFAD" w14:textId="77777777" w:rsidTr="00F5257C">
        <w:trPr>
          <w:tblHeader/>
        </w:trPr>
        <w:tc>
          <w:tcPr>
            <w:tcW w:w="9355" w:type="dxa"/>
            <w:gridSpan w:val="4"/>
            <w:shd w:val="clear" w:color="auto" w:fill="1F4E79" w:themeFill="accent5" w:themeFillShade="80"/>
          </w:tcPr>
          <w:p w14:paraId="4DA4A181" w14:textId="531EC76F" w:rsidR="00143098" w:rsidRPr="001B059F" w:rsidRDefault="00361D8E"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6-3: </w:t>
            </w:r>
            <w:r w:rsidR="00143098">
              <w:rPr>
                <w:rFonts w:ascii="Arial Narrow" w:hAnsi="Arial Narrow" w:cs="Arial"/>
                <w:b/>
                <w:color w:val="FFFFFF" w:themeColor="background1"/>
                <w:sz w:val="18"/>
                <w:szCs w:val="18"/>
              </w:rPr>
              <w:t>Commercial Zoning Districts Building Height Standards</w:t>
            </w:r>
          </w:p>
        </w:tc>
      </w:tr>
      <w:tr w:rsidR="00FE119A" w:rsidRPr="001B059F" w14:paraId="32B3A67B" w14:textId="122C11E8" w:rsidTr="001B059F">
        <w:trPr>
          <w:tblHeader/>
        </w:trPr>
        <w:tc>
          <w:tcPr>
            <w:tcW w:w="6565" w:type="dxa"/>
            <w:gridSpan w:val="2"/>
            <w:shd w:val="clear" w:color="auto" w:fill="1F4E79" w:themeFill="accent5" w:themeFillShade="80"/>
          </w:tcPr>
          <w:p w14:paraId="3492E271" w14:textId="386E2771" w:rsidR="00FE119A" w:rsidRPr="001B059F" w:rsidRDefault="00FE119A"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387A3DDD" w14:textId="0C0B74B3" w:rsidR="00FE119A" w:rsidRPr="001B059F" w:rsidRDefault="00FE119A"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395" w:type="dxa"/>
            <w:shd w:val="clear" w:color="auto" w:fill="1F4E79" w:themeFill="accent5" w:themeFillShade="80"/>
          </w:tcPr>
          <w:p w14:paraId="3FB7AE6C" w14:textId="4BBA0BC5" w:rsidR="00FE119A" w:rsidRPr="001B059F" w:rsidRDefault="00FE119A"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FE119A" w:rsidRPr="001B059F" w14:paraId="1DF46434" w14:textId="1AD56D8C" w:rsidTr="001B059F">
        <w:trPr>
          <w:trHeight w:val="288"/>
        </w:trPr>
        <w:tc>
          <w:tcPr>
            <w:tcW w:w="355" w:type="dxa"/>
            <w:shd w:val="clear" w:color="auto" w:fill="DEEAF6" w:themeFill="accent5" w:themeFillTint="33"/>
            <w:vAlign w:val="center"/>
          </w:tcPr>
          <w:p w14:paraId="5EB84C63" w14:textId="0D98AA42" w:rsidR="00FE119A" w:rsidRPr="001B059F" w:rsidRDefault="00FE119A"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6210" w:type="dxa"/>
            <w:shd w:val="clear" w:color="auto" w:fill="DEEAF6" w:themeFill="accent5" w:themeFillTint="33"/>
            <w:vAlign w:val="center"/>
          </w:tcPr>
          <w:p w14:paraId="1EFAF81D" w14:textId="70DE820F" w:rsidR="00FE119A" w:rsidRPr="001B059F" w:rsidRDefault="00FE119A" w:rsidP="001B059F">
            <w:pPr>
              <w:rPr>
                <w:rFonts w:ascii="Arial Narrow" w:hAnsi="Arial Narrow" w:cs="Arial"/>
                <w:b/>
                <w:bCs/>
                <w:sz w:val="18"/>
                <w:szCs w:val="18"/>
              </w:rPr>
            </w:pPr>
            <w:r w:rsidRPr="001B059F">
              <w:rPr>
                <w:rFonts w:ascii="Arial Narrow" w:hAnsi="Arial Narrow" w:cs="Arial"/>
                <w:b/>
                <w:bCs/>
                <w:sz w:val="18"/>
                <w:szCs w:val="18"/>
              </w:rPr>
              <w:t xml:space="preserve">Maximum Building Height </w:t>
            </w:r>
            <w:r w:rsidRPr="001B059F">
              <w:rPr>
                <w:rFonts w:ascii="Arial Narrow" w:hAnsi="Arial Narrow" w:cs="Arial"/>
                <w:sz w:val="18"/>
                <w:szCs w:val="18"/>
              </w:rPr>
              <w:t>(feet)</w:t>
            </w:r>
            <w:r w:rsidRPr="001B059F">
              <w:rPr>
                <w:rFonts w:ascii="Arial Narrow" w:hAnsi="Arial Narrow" w:cs="Arial"/>
                <w:b/>
                <w:bCs/>
                <w:sz w:val="18"/>
                <w:szCs w:val="18"/>
              </w:rPr>
              <w:t xml:space="preserve"> </w:t>
            </w:r>
            <w:r w:rsidR="0010513D" w:rsidRPr="0010513D">
              <w:rPr>
                <w:rFonts w:ascii="Arial Narrow" w:hAnsi="Arial Narrow" w:cs="Arial"/>
                <w:b/>
                <w:bCs/>
                <w:sz w:val="18"/>
                <w:szCs w:val="18"/>
                <w:vertAlign w:val="superscript"/>
              </w:rPr>
              <w:t>1</w:t>
            </w:r>
          </w:p>
        </w:tc>
        <w:tc>
          <w:tcPr>
            <w:tcW w:w="1395" w:type="dxa"/>
            <w:shd w:val="clear" w:color="auto" w:fill="FFFFFF" w:themeFill="background1"/>
            <w:vAlign w:val="center"/>
          </w:tcPr>
          <w:p w14:paraId="5E6DBCB5" w14:textId="1513D4A2" w:rsidR="00FE119A" w:rsidRPr="001B059F" w:rsidRDefault="00FE119A" w:rsidP="001B059F">
            <w:pPr>
              <w:pStyle w:val="NormalWeb"/>
              <w:spacing w:before="0" w:beforeAutospacing="0" w:after="0" w:afterAutospacing="0"/>
              <w:jc w:val="center"/>
              <w:rPr>
                <w:rFonts w:ascii="Arial Narrow" w:hAnsi="Arial Narrow" w:cs="Arial"/>
                <w:sz w:val="18"/>
                <w:szCs w:val="18"/>
              </w:rPr>
            </w:pPr>
            <w:r w:rsidRPr="001B059F">
              <w:rPr>
                <w:rFonts w:ascii="Arial Narrow" w:hAnsi="Arial Narrow" w:cs="Arial"/>
                <w:sz w:val="18"/>
                <w:szCs w:val="18"/>
              </w:rPr>
              <w:t>50</w:t>
            </w:r>
          </w:p>
        </w:tc>
        <w:tc>
          <w:tcPr>
            <w:tcW w:w="1395" w:type="dxa"/>
            <w:shd w:val="clear" w:color="auto" w:fill="FFFFFF" w:themeFill="background1"/>
            <w:vAlign w:val="center"/>
          </w:tcPr>
          <w:p w14:paraId="08D865AF" w14:textId="34D11AA7" w:rsidR="00FE119A" w:rsidRPr="001B059F" w:rsidRDefault="00FE119A" w:rsidP="001B059F">
            <w:pPr>
              <w:pStyle w:val="NormalWeb"/>
              <w:spacing w:before="0" w:beforeAutospacing="0" w:after="0" w:afterAutospacing="0"/>
              <w:jc w:val="center"/>
              <w:rPr>
                <w:rFonts w:ascii="Arial Narrow" w:hAnsi="Arial Narrow" w:cs="Arial"/>
                <w:sz w:val="18"/>
                <w:szCs w:val="18"/>
              </w:rPr>
            </w:pPr>
            <w:r w:rsidRPr="001B059F">
              <w:rPr>
                <w:rFonts w:ascii="Arial Narrow" w:hAnsi="Arial Narrow" w:cs="Arial"/>
                <w:sz w:val="18"/>
                <w:szCs w:val="18"/>
              </w:rPr>
              <w:t>50</w:t>
            </w:r>
          </w:p>
        </w:tc>
      </w:tr>
      <w:tr w:rsidR="00FE119A" w:rsidRPr="001B059F" w14:paraId="15697BFB" w14:textId="70C1AB89" w:rsidTr="001B059F">
        <w:trPr>
          <w:trHeight w:val="288"/>
        </w:trPr>
        <w:tc>
          <w:tcPr>
            <w:tcW w:w="355" w:type="dxa"/>
            <w:shd w:val="clear" w:color="auto" w:fill="DEEAF6" w:themeFill="accent5" w:themeFillTint="33"/>
            <w:vAlign w:val="center"/>
          </w:tcPr>
          <w:p w14:paraId="3A322101" w14:textId="5669BBEC" w:rsidR="00FE119A" w:rsidRPr="001B059F" w:rsidRDefault="00FE119A" w:rsidP="001B059F">
            <w:pPr>
              <w:jc w:val="center"/>
              <w:rPr>
                <w:rFonts w:ascii="Arial Narrow" w:hAnsi="Arial Narrow" w:cs="Arial"/>
                <w:b/>
                <w:bCs/>
                <w:sz w:val="18"/>
                <w:szCs w:val="18"/>
              </w:rPr>
            </w:pPr>
            <w:r w:rsidRPr="001B059F">
              <w:rPr>
                <w:rFonts w:ascii="Arial Narrow" w:hAnsi="Arial Narrow" w:cs="Arial"/>
                <w:b/>
                <w:bCs/>
                <w:sz w:val="18"/>
                <w:szCs w:val="18"/>
              </w:rPr>
              <w:t>B</w:t>
            </w:r>
          </w:p>
        </w:tc>
        <w:tc>
          <w:tcPr>
            <w:tcW w:w="6210" w:type="dxa"/>
            <w:shd w:val="clear" w:color="auto" w:fill="DEEAF6" w:themeFill="accent5" w:themeFillTint="33"/>
            <w:vAlign w:val="center"/>
          </w:tcPr>
          <w:p w14:paraId="56653F60" w14:textId="7E9C5DCB" w:rsidR="00FE119A" w:rsidRPr="001B059F" w:rsidRDefault="00FE119A" w:rsidP="001B059F">
            <w:pPr>
              <w:rPr>
                <w:rFonts w:ascii="Arial Narrow" w:hAnsi="Arial Narrow" w:cs="Arial"/>
                <w:b/>
                <w:bCs/>
                <w:sz w:val="18"/>
                <w:szCs w:val="18"/>
              </w:rPr>
            </w:pPr>
            <w:r w:rsidRPr="001B059F">
              <w:rPr>
                <w:rFonts w:ascii="Arial Narrow" w:hAnsi="Arial Narrow" w:cs="Arial"/>
                <w:b/>
                <w:bCs/>
                <w:sz w:val="18"/>
                <w:szCs w:val="18"/>
              </w:rPr>
              <w:t xml:space="preserve">Maximum Height with Bonus </w:t>
            </w:r>
            <w:r w:rsidRPr="001B059F">
              <w:rPr>
                <w:rFonts w:ascii="Arial Narrow" w:hAnsi="Arial Narrow" w:cs="Arial"/>
                <w:sz w:val="18"/>
                <w:szCs w:val="18"/>
              </w:rPr>
              <w:t xml:space="preserve">(feet) (Section 16.3) </w:t>
            </w:r>
            <w:r w:rsidR="0010513D">
              <w:rPr>
                <w:rFonts w:ascii="Arial Narrow" w:hAnsi="Arial Narrow" w:cs="Arial"/>
                <w:b/>
                <w:bCs/>
                <w:sz w:val="18"/>
                <w:szCs w:val="18"/>
                <w:vertAlign w:val="superscript"/>
              </w:rPr>
              <w:t>1</w:t>
            </w:r>
            <w:r w:rsidR="00361D8E">
              <w:rPr>
                <w:rFonts w:ascii="Arial Narrow" w:hAnsi="Arial Narrow" w:cs="Arial"/>
                <w:b/>
                <w:bCs/>
                <w:sz w:val="18"/>
                <w:szCs w:val="18"/>
                <w:vertAlign w:val="superscript"/>
              </w:rPr>
              <w:t>, 2</w:t>
            </w:r>
          </w:p>
        </w:tc>
        <w:tc>
          <w:tcPr>
            <w:tcW w:w="1395" w:type="dxa"/>
            <w:shd w:val="clear" w:color="auto" w:fill="FFFFFF" w:themeFill="background1"/>
            <w:vAlign w:val="center"/>
          </w:tcPr>
          <w:p w14:paraId="60C3D1F2" w14:textId="54F83D4D" w:rsidR="00FE119A" w:rsidRPr="001B059F" w:rsidRDefault="00FE119A" w:rsidP="001B059F">
            <w:pPr>
              <w:jc w:val="center"/>
              <w:rPr>
                <w:rFonts w:ascii="Arial Narrow" w:hAnsi="Arial Narrow" w:cs="Arial"/>
                <w:sz w:val="18"/>
                <w:szCs w:val="18"/>
              </w:rPr>
            </w:pPr>
            <w:r w:rsidRPr="001B059F">
              <w:rPr>
                <w:rFonts w:ascii="Arial Narrow" w:hAnsi="Arial Narrow" w:cs="Arial"/>
                <w:sz w:val="18"/>
                <w:szCs w:val="18"/>
              </w:rPr>
              <w:t>65</w:t>
            </w:r>
          </w:p>
        </w:tc>
        <w:tc>
          <w:tcPr>
            <w:tcW w:w="1395" w:type="dxa"/>
            <w:shd w:val="clear" w:color="auto" w:fill="FFFFFF" w:themeFill="background1"/>
            <w:vAlign w:val="center"/>
          </w:tcPr>
          <w:p w14:paraId="50DE931D" w14:textId="52549B7F" w:rsidR="00FE119A" w:rsidRPr="001B059F" w:rsidRDefault="00FE119A" w:rsidP="001B059F">
            <w:pPr>
              <w:jc w:val="center"/>
              <w:rPr>
                <w:rFonts w:ascii="Arial Narrow" w:hAnsi="Arial Narrow" w:cs="Arial"/>
                <w:sz w:val="18"/>
                <w:szCs w:val="18"/>
              </w:rPr>
            </w:pPr>
            <w:r w:rsidRPr="001B059F">
              <w:rPr>
                <w:rFonts w:ascii="Arial Narrow" w:hAnsi="Arial Narrow" w:cs="Arial"/>
                <w:sz w:val="18"/>
                <w:szCs w:val="18"/>
              </w:rPr>
              <w:t>65</w:t>
            </w:r>
          </w:p>
        </w:tc>
      </w:tr>
    </w:tbl>
    <w:tbl>
      <w:tblPr>
        <w:tblStyle w:val="TableGrid1"/>
        <w:tblW w:w="9355" w:type="dxa"/>
        <w:tblInd w:w="5" w:type="dxa"/>
        <w:tblLook w:val="04A0" w:firstRow="1" w:lastRow="0" w:firstColumn="1" w:lastColumn="0" w:noHBand="0" w:noVBand="1"/>
      </w:tblPr>
      <w:tblGrid>
        <w:gridCol w:w="346"/>
        <w:gridCol w:w="9009"/>
      </w:tblGrid>
      <w:tr w:rsidR="00B07F27" w:rsidRPr="00FF406E" w14:paraId="626D61F5" w14:textId="77777777" w:rsidTr="004848D5">
        <w:trPr>
          <w:trHeight w:val="215"/>
        </w:trPr>
        <w:tc>
          <w:tcPr>
            <w:tcW w:w="346" w:type="dxa"/>
            <w:tcBorders>
              <w:top w:val="nil"/>
              <w:left w:val="nil"/>
              <w:bottom w:val="nil"/>
              <w:right w:val="nil"/>
            </w:tcBorders>
            <w:shd w:val="clear" w:color="auto" w:fill="FFFFFF" w:themeFill="background1"/>
          </w:tcPr>
          <w:p w14:paraId="65CA5629" w14:textId="77777777" w:rsidR="005F3C88" w:rsidRDefault="0010513D" w:rsidP="001B059F">
            <w:pPr>
              <w:rPr>
                <w:rFonts w:ascii="Arial Narrow" w:hAnsi="Arial Narrow" w:cs="Arial"/>
                <w:sz w:val="18"/>
                <w:szCs w:val="18"/>
                <w:vertAlign w:val="superscript"/>
              </w:rPr>
            </w:pPr>
            <w:r>
              <w:rPr>
                <w:rFonts w:ascii="Arial Narrow" w:hAnsi="Arial Narrow" w:cs="Arial"/>
                <w:sz w:val="18"/>
                <w:szCs w:val="18"/>
                <w:vertAlign w:val="superscript"/>
              </w:rPr>
              <w:t>1</w:t>
            </w:r>
          </w:p>
          <w:p w14:paraId="1E6DCF52" w14:textId="77777777" w:rsidR="00361D8E" w:rsidRDefault="00361D8E" w:rsidP="001B059F">
            <w:pPr>
              <w:rPr>
                <w:rFonts w:ascii="Arial Narrow" w:hAnsi="Arial Narrow" w:cs="Arial"/>
                <w:sz w:val="18"/>
                <w:szCs w:val="18"/>
                <w:vertAlign w:val="superscript"/>
              </w:rPr>
            </w:pPr>
          </w:p>
          <w:p w14:paraId="788BF633" w14:textId="77777777" w:rsidR="00361D8E" w:rsidRDefault="00361D8E" w:rsidP="001B059F">
            <w:pPr>
              <w:rPr>
                <w:rFonts w:ascii="Arial Narrow" w:hAnsi="Arial Narrow" w:cs="Arial"/>
                <w:sz w:val="18"/>
                <w:szCs w:val="18"/>
                <w:vertAlign w:val="superscript"/>
              </w:rPr>
            </w:pPr>
          </w:p>
          <w:p w14:paraId="1D6D24A7" w14:textId="77777777" w:rsidR="00361D8E" w:rsidRDefault="00361D8E" w:rsidP="001B059F">
            <w:pPr>
              <w:rPr>
                <w:rFonts w:ascii="Arial Narrow" w:hAnsi="Arial Narrow" w:cs="Arial"/>
                <w:sz w:val="18"/>
                <w:szCs w:val="18"/>
                <w:vertAlign w:val="superscript"/>
              </w:rPr>
            </w:pPr>
          </w:p>
          <w:p w14:paraId="36C3B046" w14:textId="77777777" w:rsidR="00361D8E" w:rsidRDefault="00361D8E" w:rsidP="001B059F">
            <w:pPr>
              <w:rPr>
                <w:rFonts w:ascii="Arial Narrow" w:hAnsi="Arial Narrow" w:cs="Arial"/>
                <w:sz w:val="18"/>
                <w:szCs w:val="18"/>
                <w:vertAlign w:val="superscript"/>
              </w:rPr>
            </w:pPr>
          </w:p>
          <w:p w14:paraId="3DA006A8" w14:textId="68C8F67B" w:rsidR="00361D8E" w:rsidRPr="00FF406E" w:rsidRDefault="00361D8E" w:rsidP="001B059F">
            <w:pPr>
              <w:rPr>
                <w:rFonts w:ascii="Arial Narrow" w:hAnsi="Arial Narrow" w:cs="Arial"/>
                <w:sz w:val="18"/>
                <w:szCs w:val="18"/>
              </w:rPr>
            </w:pPr>
            <w:r>
              <w:rPr>
                <w:rFonts w:ascii="Arial Narrow" w:hAnsi="Arial Narrow" w:cs="Arial"/>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58FA24F6" w14:textId="77777777" w:rsidR="005F3C88" w:rsidRDefault="00AA06D9" w:rsidP="001B059F">
            <w:pPr>
              <w:jc w:val="both"/>
              <w:rPr>
                <w:rFonts w:ascii="Arial Narrow" w:hAnsi="Arial Narrow" w:cs="Segoe UI"/>
                <w:sz w:val="18"/>
                <w:szCs w:val="18"/>
              </w:rPr>
            </w:pPr>
            <w:r w:rsidRPr="00FF406E">
              <w:rPr>
                <w:rFonts w:ascii="Arial Narrow" w:hAnsi="Arial Narrow" w:cs="Segoe UI"/>
                <w:sz w:val="18"/>
                <w:szCs w:val="18"/>
              </w:rPr>
              <w:t xml:space="preserve">The height and location of structures may be restricted by the limitations set forth in the Code of Federal Regulations (CFR) Title 14 Part 77: Safe, Efficient Use, and Preservation of the Navigable Airspace.  A notice of proposed construction FAA Form 7460-1 must be filed with the FAA for construction or alteration that impacts any of the imaginary surfaces as defined in 14 CFR Part </w:t>
            </w:r>
            <w:proofErr w:type="gramStart"/>
            <w:r w:rsidRPr="00FF406E">
              <w:rPr>
                <w:rFonts w:ascii="Arial Narrow" w:hAnsi="Arial Narrow" w:cs="Segoe UI"/>
                <w:sz w:val="18"/>
                <w:szCs w:val="18"/>
              </w:rPr>
              <w:t>77, or</w:t>
            </w:r>
            <w:proofErr w:type="gramEnd"/>
            <w:r w:rsidRPr="00FF406E">
              <w:rPr>
                <w:rFonts w:ascii="Arial Narrow" w:hAnsi="Arial Narrow" w:cs="Segoe UI"/>
                <w:sz w:val="18"/>
                <w:szCs w:val="18"/>
              </w:rPr>
              <w:t xml:space="preserve"> is more than 200 feet in height above the ground at its site at least 45 days prior to construction. The Aviation Department Planning Division may serve as a point of contact for information regarding building notification requirements and obstruction </w:t>
            </w:r>
            <w:proofErr w:type="gramStart"/>
            <w:r w:rsidRPr="00FF406E">
              <w:rPr>
                <w:rFonts w:ascii="Arial Narrow" w:hAnsi="Arial Narrow" w:cs="Segoe UI"/>
                <w:sz w:val="18"/>
                <w:szCs w:val="18"/>
              </w:rPr>
              <w:t>evaluation</w:t>
            </w:r>
            <w:proofErr w:type="gramEnd"/>
          </w:p>
          <w:p w14:paraId="3F2C329F" w14:textId="1C26E098" w:rsidR="00361D8E" w:rsidRPr="00FF406E" w:rsidRDefault="00361D8E" w:rsidP="001B059F">
            <w:pPr>
              <w:jc w:val="both"/>
              <w:rPr>
                <w:rFonts w:ascii="Arial Narrow" w:hAnsi="Arial Narrow" w:cs="Arial"/>
                <w:sz w:val="18"/>
                <w:szCs w:val="18"/>
              </w:rPr>
            </w:pPr>
            <w:r w:rsidRPr="001C7DEF">
              <w:rPr>
                <w:rFonts w:ascii="Arial Narrow" w:hAnsi="Arial Narrow" w:cs="Arial"/>
                <w:sz w:val="18"/>
                <w:szCs w:val="18"/>
              </w:rPr>
              <w:t xml:space="preserve">The maximum building height of any structure within 200 feet </w:t>
            </w:r>
            <w:r w:rsidR="007F3C87" w:rsidRPr="001C7DEF">
              <w:rPr>
                <w:rFonts w:ascii="Arial Narrow" w:hAnsi="Arial Narrow" w:cs="Arial"/>
                <w:sz w:val="18"/>
                <w:szCs w:val="18"/>
              </w:rPr>
              <w:t xml:space="preserve">from the lot line </w:t>
            </w:r>
            <w:r w:rsidRPr="001C7DEF">
              <w:rPr>
                <w:rFonts w:ascii="Arial Narrow" w:hAnsi="Arial Narrow" w:cs="Arial"/>
                <w:sz w:val="18"/>
                <w:szCs w:val="18"/>
              </w:rPr>
              <w:t xml:space="preserve">of residential uses or </w:t>
            </w:r>
            <w:r w:rsidRPr="00D52974">
              <w:rPr>
                <w:rFonts w:ascii="Arial Narrow" w:hAnsi="Arial Narrow" w:cs="Arial"/>
                <w:sz w:val="18"/>
                <w:szCs w:val="18"/>
              </w:rPr>
              <w:t xml:space="preserve">vacant land in a Neighborhood 1 Place Type is limited as follows: </w:t>
            </w:r>
            <w:r w:rsidR="00CF3EE3" w:rsidRPr="00D52974">
              <w:rPr>
                <w:rFonts w:ascii="Arial Narrow" w:hAnsi="Arial Narrow" w:cs="Arial"/>
                <w:sz w:val="18"/>
                <w:szCs w:val="18"/>
              </w:rPr>
              <w:t>Portions of a structure within the first 100 feet are limited to a maximum height of 50 feet. Portions of a structure located between 100 and 200 feet are limited to a maximum height of 65 feet. Beyond 200 feet, the building height is limited by the maximum height of the zoning district. Building heights for all portions of a structure shall be measured from the average grade established for the whole building.</w:t>
            </w:r>
            <w:r w:rsidRPr="00DC2C55">
              <w:rPr>
                <w:rFonts w:ascii="Arial Narrow" w:hAnsi="Arial Narrow" w:cs="Arial"/>
                <w:sz w:val="18"/>
                <w:szCs w:val="18"/>
              </w:rPr>
              <w:t xml:space="preserve"> This limitation does not apply to public parks of </w:t>
            </w:r>
            <w:r>
              <w:rPr>
                <w:rFonts w:ascii="Arial Narrow" w:hAnsi="Arial Narrow" w:cs="Arial"/>
                <w:sz w:val="18"/>
                <w:szCs w:val="18"/>
              </w:rPr>
              <w:t>three</w:t>
            </w:r>
            <w:r w:rsidRPr="00DC2C55">
              <w:rPr>
                <w:rFonts w:ascii="Arial Narrow" w:hAnsi="Arial Narrow" w:cs="Arial"/>
                <w:sz w:val="18"/>
                <w:szCs w:val="18"/>
              </w:rPr>
              <w:t xml:space="preserve"> acres or greater within a N</w:t>
            </w:r>
            <w:r>
              <w:rPr>
                <w:rFonts w:ascii="Arial Narrow" w:hAnsi="Arial Narrow" w:cs="Arial"/>
                <w:sz w:val="18"/>
                <w:szCs w:val="18"/>
              </w:rPr>
              <w:t xml:space="preserve">eighborhood </w:t>
            </w:r>
            <w:r w:rsidRPr="00DC2C55">
              <w:rPr>
                <w:rFonts w:ascii="Arial Narrow" w:hAnsi="Arial Narrow" w:cs="Arial"/>
                <w:sz w:val="18"/>
                <w:szCs w:val="18"/>
              </w:rPr>
              <w:t xml:space="preserve">1 Place Type, nor to </w:t>
            </w:r>
            <w:r>
              <w:rPr>
                <w:rFonts w:ascii="Arial Narrow" w:hAnsi="Arial Narrow" w:cs="Arial"/>
                <w:sz w:val="18"/>
                <w:szCs w:val="18"/>
              </w:rPr>
              <w:t xml:space="preserve">an area of </w:t>
            </w:r>
            <w:r w:rsidRPr="00DC2C55">
              <w:rPr>
                <w:rFonts w:ascii="Arial Narrow" w:hAnsi="Arial Narrow" w:cs="Arial"/>
                <w:sz w:val="18"/>
                <w:szCs w:val="18"/>
              </w:rPr>
              <w:t xml:space="preserve">two or fewer parcels </w:t>
            </w:r>
            <w:r>
              <w:rPr>
                <w:rFonts w:ascii="Arial Narrow" w:hAnsi="Arial Narrow" w:cs="Arial"/>
                <w:sz w:val="18"/>
                <w:szCs w:val="18"/>
              </w:rPr>
              <w:t xml:space="preserve">totaling no more than three acres </w:t>
            </w:r>
            <w:r w:rsidRPr="00DC2C55">
              <w:rPr>
                <w:rFonts w:ascii="Arial Narrow" w:hAnsi="Arial Narrow" w:cs="Arial"/>
                <w:sz w:val="18"/>
                <w:szCs w:val="18"/>
              </w:rPr>
              <w:t>within a N</w:t>
            </w:r>
            <w:r>
              <w:rPr>
                <w:rFonts w:ascii="Arial Narrow" w:hAnsi="Arial Narrow" w:cs="Arial"/>
                <w:sz w:val="18"/>
                <w:szCs w:val="18"/>
              </w:rPr>
              <w:t xml:space="preserve">eighborhood </w:t>
            </w:r>
            <w:r w:rsidRPr="00DC2C55">
              <w:rPr>
                <w:rFonts w:ascii="Arial Narrow" w:hAnsi="Arial Narrow" w:cs="Arial"/>
                <w:sz w:val="18"/>
                <w:szCs w:val="18"/>
              </w:rPr>
              <w:t xml:space="preserve">1 Place Type.  </w:t>
            </w:r>
          </w:p>
        </w:tc>
      </w:tr>
    </w:tbl>
    <w:p w14:paraId="36E38B10" w14:textId="754AEAB2" w:rsidR="000C5723" w:rsidRPr="006824F2" w:rsidRDefault="00920E0A" w:rsidP="001B059F">
      <w:pPr>
        <w:rPr>
          <w:rFonts w:ascii="Arial" w:hAnsi="Arial" w:cs="Arial"/>
          <w:sz w:val="18"/>
          <w:szCs w:val="18"/>
        </w:rPr>
      </w:pPr>
      <w:r>
        <w:rPr>
          <w:rFonts w:ascii="Arial" w:hAnsi="Arial" w:cs="Arial"/>
          <w:b/>
          <w:bCs/>
          <w:noProof/>
          <w:sz w:val="18"/>
          <w:szCs w:val="18"/>
        </w:rPr>
        <w:drawing>
          <wp:anchor distT="0" distB="0" distL="114300" distR="114300" simplePos="0" relativeHeight="251658244" behindDoc="0" locked="0" layoutInCell="1" allowOverlap="1" wp14:anchorId="40C45774" wp14:editId="0A6AA2AD">
            <wp:simplePos x="0" y="0"/>
            <wp:positionH relativeFrom="margin">
              <wp:align>right</wp:align>
            </wp:positionH>
            <wp:positionV relativeFrom="paragraph">
              <wp:posOffset>152400</wp:posOffset>
            </wp:positionV>
            <wp:extent cx="5937250" cy="204660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3360"/>
                    <a:stretch/>
                  </pic:blipFill>
                  <pic:spPr bwMode="auto">
                    <a:xfrm>
                      <a:off x="0" y="0"/>
                      <a:ext cx="5937250"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D1643C" w14:textId="77777777" w:rsidR="00305B7D" w:rsidRDefault="00305B7D">
      <w:pPr>
        <w:rPr>
          <w:rFonts w:ascii="Arial" w:hAnsi="Arial" w:cs="Arial"/>
          <w:b/>
          <w:bCs/>
          <w:sz w:val="18"/>
          <w:szCs w:val="18"/>
        </w:rPr>
      </w:pPr>
      <w:r>
        <w:rPr>
          <w:rFonts w:ascii="Arial" w:hAnsi="Arial" w:cs="Arial"/>
          <w:b/>
          <w:bCs/>
          <w:sz w:val="18"/>
          <w:szCs w:val="18"/>
        </w:rPr>
        <w:br w:type="page"/>
      </w:r>
    </w:p>
    <w:p w14:paraId="3A98A9BE" w14:textId="05FD91DC" w:rsidR="006824F2" w:rsidRDefault="00977949" w:rsidP="001B059F">
      <w:pPr>
        <w:rPr>
          <w:rFonts w:ascii="Arial" w:hAnsi="Arial" w:cs="Arial"/>
          <w:b/>
          <w:bCs/>
          <w:sz w:val="18"/>
          <w:szCs w:val="18"/>
        </w:rPr>
      </w:pPr>
      <w:r>
        <w:rPr>
          <w:rFonts w:ascii="Arial" w:hAnsi="Arial" w:cs="Arial"/>
          <w:b/>
          <w:bCs/>
          <w:sz w:val="18"/>
          <w:szCs w:val="18"/>
        </w:rPr>
        <w:lastRenderedPageBreak/>
        <w:t>E</w:t>
      </w:r>
      <w:r w:rsidR="006824F2" w:rsidRPr="006824F2">
        <w:rPr>
          <w:rFonts w:ascii="Arial" w:hAnsi="Arial" w:cs="Arial"/>
          <w:b/>
          <w:bCs/>
          <w:sz w:val="18"/>
          <w:szCs w:val="18"/>
        </w:rPr>
        <w:t xml:space="preserve">. </w:t>
      </w:r>
      <w:r w:rsidR="006824F2" w:rsidRPr="006824F2">
        <w:rPr>
          <w:rFonts w:ascii="Arial" w:hAnsi="Arial" w:cs="Arial"/>
          <w:b/>
          <w:bCs/>
          <w:sz w:val="18"/>
          <w:szCs w:val="18"/>
        </w:rPr>
        <w:tab/>
        <w:t xml:space="preserve">Building </w:t>
      </w:r>
      <w:r w:rsidR="002E27F1">
        <w:rPr>
          <w:rFonts w:ascii="Arial" w:hAnsi="Arial" w:cs="Arial"/>
          <w:b/>
          <w:bCs/>
          <w:sz w:val="18"/>
          <w:szCs w:val="18"/>
        </w:rPr>
        <w:t>Articulation</w:t>
      </w:r>
      <w:r w:rsidR="00A429E1">
        <w:rPr>
          <w:rFonts w:ascii="Arial" w:hAnsi="Arial" w:cs="Arial"/>
          <w:b/>
          <w:bCs/>
          <w:sz w:val="18"/>
          <w:szCs w:val="18"/>
        </w:rPr>
        <w:t xml:space="preserve"> </w:t>
      </w:r>
    </w:p>
    <w:p w14:paraId="1EDFD589" w14:textId="64E6F2A4" w:rsidR="00A94ACE" w:rsidRPr="00A94ACE" w:rsidRDefault="001B14C3" w:rsidP="001B059F">
      <w:pPr>
        <w:rPr>
          <w:rFonts w:ascii="Arial" w:hAnsi="Arial" w:cs="Arial"/>
          <w:sz w:val="18"/>
          <w:szCs w:val="18"/>
        </w:rPr>
      </w:pPr>
      <w:r>
        <w:rPr>
          <w:rFonts w:eastAsia="Calibri"/>
          <w:noProof/>
        </w:rPr>
        <w:drawing>
          <wp:anchor distT="0" distB="0" distL="114300" distR="114300" simplePos="0" relativeHeight="251658241" behindDoc="0" locked="0" layoutInCell="1" allowOverlap="1" wp14:anchorId="497F14C0" wp14:editId="7FECA6E0">
            <wp:simplePos x="0" y="0"/>
            <wp:positionH relativeFrom="column">
              <wp:posOffset>184244</wp:posOffset>
            </wp:positionH>
            <wp:positionV relativeFrom="paragraph">
              <wp:posOffset>393700</wp:posOffset>
            </wp:positionV>
            <wp:extent cx="5590540" cy="33458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l="7086" r="9280"/>
                    <a:stretch/>
                  </pic:blipFill>
                  <pic:spPr bwMode="auto">
                    <a:xfrm>
                      <a:off x="0" y="0"/>
                      <a:ext cx="5590540" cy="3345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4ACE" w:rsidRPr="00A94ACE">
        <w:rPr>
          <w:rFonts w:ascii="Arial" w:hAnsi="Arial" w:cs="Arial"/>
          <w:sz w:val="18"/>
          <w:szCs w:val="18"/>
        </w:rPr>
        <w:t xml:space="preserve">Building </w:t>
      </w:r>
      <w:r w:rsidR="001B059F">
        <w:rPr>
          <w:rFonts w:ascii="Arial" w:hAnsi="Arial" w:cs="Arial"/>
          <w:sz w:val="18"/>
          <w:szCs w:val="18"/>
        </w:rPr>
        <w:t>a</w:t>
      </w:r>
      <w:r w:rsidR="002E27F1">
        <w:rPr>
          <w:rFonts w:ascii="Arial" w:hAnsi="Arial" w:cs="Arial"/>
          <w:sz w:val="18"/>
          <w:szCs w:val="18"/>
        </w:rPr>
        <w:t>rticulation</w:t>
      </w:r>
      <w:r w:rsidR="00A94ACE" w:rsidRPr="00A94ACE">
        <w:rPr>
          <w:rFonts w:ascii="Arial" w:hAnsi="Arial" w:cs="Arial"/>
          <w:sz w:val="18"/>
          <w:szCs w:val="18"/>
        </w:rPr>
        <w:t xml:space="preserve"> standards govern the dimensions of building facade elements</w:t>
      </w:r>
      <w:r w:rsidR="00A94ACE">
        <w:rPr>
          <w:rFonts w:ascii="Arial" w:hAnsi="Arial" w:cs="Arial"/>
          <w:sz w:val="18"/>
          <w:szCs w:val="18"/>
        </w:rPr>
        <w:t xml:space="preserve"> and</w:t>
      </w:r>
      <w:r w:rsidR="00A94ACE" w:rsidRPr="00A94ACE">
        <w:rPr>
          <w:rFonts w:ascii="Arial" w:hAnsi="Arial" w:cs="Arial"/>
          <w:sz w:val="18"/>
          <w:szCs w:val="18"/>
        </w:rPr>
        <w:t xml:space="preserve"> entry features and are intended to facilitate the enhancement of a pedestrian-oriented environment.</w:t>
      </w:r>
      <w:r w:rsidR="00DA3C46">
        <w:rPr>
          <w:rFonts w:ascii="Arial" w:hAnsi="Arial" w:cs="Arial"/>
          <w:sz w:val="18"/>
          <w:szCs w:val="18"/>
        </w:rPr>
        <w:t xml:space="preserve"> </w:t>
      </w:r>
    </w:p>
    <w:p w14:paraId="1E82FDCA" w14:textId="72CAB0A1" w:rsidR="00BA7FA3" w:rsidRDefault="00BA7FA3" w:rsidP="001B059F">
      <w:pPr>
        <w:rPr>
          <w:rFonts w:ascii="Arial" w:hAnsi="Arial" w:cs="Arial"/>
          <w:sz w:val="18"/>
          <w:szCs w:val="18"/>
        </w:rPr>
      </w:pPr>
    </w:p>
    <w:p w14:paraId="3764EDA5" w14:textId="5A8375B8" w:rsidR="005A0D0E" w:rsidRDefault="005A0D0E" w:rsidP="00965895">
      <w:pPr>
        <w:jc w:val="center"/>
        <w:rPr>
          <w:rFonts w:ascii="Arial" w:hAnsi="Arial" w:cs="Arial"/>
          <w:sz w:val="18"/>
          <w:szCs w:val="18"/>
        </w:rPr>
      </w:pPr>
    </w:p>
    <w:tbl>
      <w:tblPr>
        <w:tblStyle w:val="TableGrid"/>
        <w:tblW w:w="9355" w:type="dxa"/>
        <w:tblLayout w:type="fixed"/>
        <w:tblLook w:val="04A0" w:firstRow="1" w:lastRow="0" w:firstColumn="1" w:lastColumn="0" w:noHBand="0" w:noVBand="1"/>
      </w:tblPr>
      <w:tblGrid>
        <w:gridCol w:w="355"/>
        <w:gridCol w:w="6210"/>
        <w:gridCol w:w="1395"/>
        <w:gridCol w:w="1395"/>
      </w:tblGrid>
      <w:tr w:rsidR="00143098" w:rsidRPr="001B059F" w14:paraId="1C6B54DD" w14:textId="77777777" w:rsidTr="00F5257C">
        <w:trPr>
          <w:tblHeader/>
        </w:trPr>
        <w:tc>
          <w:tcPr>
            <w:tcW w:w="9355" w:type="dxa"/>
            <w:gridSpan w:val="4"/>
            <w:shd w:val="clear" w:color="auto" w:fill="1F4E79" w:themeFill="accent5" w:themeFillShade="80"/>
            <w:vAlign w:val="center"/>
          </w:tcPr>
          <w:p w14:paraId="194F909B" w14:textId="18856C30" w:rsidR="00143098" w:rsidRPr="001B059F" w:rsidRDefault="00F27405"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6-4: </w:t>
            </w:r>
            <w:r w:rsidR="00143098">
              <w:rPr>
                <w:rFonts w:ascii="Arial Narrow" w:hAnsi="Arial Narrow" w:cs="Arial"/>
                <w:b/>
                <w:color w:val="FFFFFF" w:themeColor="background1"/>
                <w:sz w:val="18"/>
                <w:szCs w:val="18"/>
              </w:rPr>
              <w:t>Commercial Zoning Districts Building Articulation Standards</w:t>
            </w:r>
          </w:p>
        </w:tc>
      </w:tr>
      <w:tr w:rsidR="001C550B" w:rsidRPr="001B059F" w14:paraId="0FB4CF06" w14:textId="7298933A" w:rsidTr="001B059F">
        <w:trPr>
          <w:tblHeader/>
        </w:trPr>
        <w:tc>
          <w:tcPr>
            <w:tcW w:w="6565" w:type="dxa"/>
            <w:gridSpan w:val="2"/>
            <w:shd w:val="clear" w:color="auto" w:fill="1F4E79" w:themeFill="accent5" w:themeFillShade="80"/>
            <w:vAlign w:val="center"/>
          </w:tcPr>
          <w:p w14:paraId="07A147D5" w14:textId="47497896" w:rsidR="001C550B" w:rsidRPr="001B059F" w:rsidRDefault="001C550B" w:rsidP="001B059F">
            <w:pPr>
              <w:rPr>
                <w:rFonts w:ascii="Arial Narrow" w:hAnsi="Arial Narrow" w:cs="Arial"/>
                <w:b/>
                <w:bCs/>
                <w:color w:val="FFFFFF" w:themeColor="background1"/>
                <w:sz w:val="18"/>
                <w:szCs w:val="18"/>
              </w:rPr>
            </w:pPr>
          </w:p>
        </w:tc>
        <w:tc>
          <w:tcPr>
            <w:tcW w:w="1395" w:type="dxa"/>
            <w:shd w:val="clear" w:color="auto" w:fill="1F4E79" w:themeFill="accent5" w:themeFillShade="80"/>
          </w:tcPr>
          <w:p w14:paraId="48A8D309" w14:textId="6CBC15E8" w:rsidR="001C550B" w:rsidRPr="001B059F" w:rsidRDefault="001C550B"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395" w:type="dxa"/>
            <w:shd w:val="clear" w:color="auto" w:fill="1F4E79" w:themeFill="accent5" w:themeFillShade="80"/>
          </w:tcPr>
          <w:p w14:paraId="62550BE8" w14:textId="78EA35ED" w:rsidR="001C550B" w:rsidRPr="001B059F" w:rsidRDefault="001C550B"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1C550B" w:rsidRPr="001B059F" w14:paraId="67340538" w14:textId="77777777" w:rsidTr="001B059F">
        <w:trPr>
          <w:trHeight w:val="288"/>
        </w:trPr>
        <w:tc>
          <w:tcPr>
            <w:tcW w:w="355" w:type="dxa"/>
            <w:shd w:val="clear" w:color="auto" w:fill="DEEAF6" w:themeFill="accent5" w:themeFillTint="33"/>
            <w:vAlign w:val="center"/>
          </w:tcPr>
          <w:p w14:paraId="215F2293" w14:textId="3958F3E5"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9000" w:type="dxa"/>
            <w:gridSpan w:val="3"/>
            <w:shd w:val="clear" w:color="auto" w:fill="DEEAF6" w:themeFill="accent5" w:themeFillTint="33"/>
            <w:vAlign w:val="center"/>
          </w:tcPr>
          <w:p w14:paraId="08134B14" w14:textId="77DAAE00"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Minimum Building Length as a Percentage of Lot Width Along Frontage </w:t>
            </w:r>
            <w:r w:rsidR="00B557AF" w:rsidRPr="001B059F">
              <w:rPr>
                <w:rFonts w:ascii="Arial Narrow" w:hAnsi="Arial Narrow" w:cs="Arial"/>
                <w:sz w:val="18"/>
                <w:szCs w:val="18"/>
              </w:rPr>
              <w:t xml:space="preserve">(measured at frontage setback line) (%) </w:t>
            </w:r>
            <w:r w:rsidR="00B557AF" w:rsidRPr="001B059F">
              <w:rPr>
                <w:rFonts w:ascii="Arial Narrow" w:hAnsi="Arial Narrow" w:cs="Arial"/>
                <w:b/>
                <w:bCs/>
                <w:color w:val="000000" w:themeColor="text1"/>
                <w:sz w:val="18"/>
                <w:szCs w:val="18"/>
                <w:vertAlign w:val="superscript"/>
              </w:rPr>
              <w:t>1</w:t>
            </w:r>
            <w:r w:rsidR="00604372" w:rsidRPr="001C7DEF">
              <w:rPr>
                <w:rFonts w:ascii="Arial Narrow" w:hAnsi="Arial Narrow" w:cs="Arial"/>
                <w:b/>
                <w:bCs/>
                <w:color w:val="000000" w:themeColor="text1"/>
                <w:sz w:val="18"/>
                <w:szCs w:val="18"/>
                <w:vertAlign w:val="superscript"/>
              </w:rPr>
              <w:t>, 5</w:t>
            </w:r>
            <w:r w:rsidR="00BE123A" w:rsidRPr="001C7DEF">
              <w:rPr>
                <w:rFonts w:ascii="Arial Narrow" w:hAnsi="Arial Narrow" w:cs="Arial"/>
                <w:b/>
                <w:bCs/>
                <w:color w:val="000000" w:themeColor="text1"/>
                <w:sz w:val="18"/>
                <w:szCs w:val="18"/>
                <w:vertAlign w:val="superscript"/>
              </w:rPr>
              <w:t>, 6</w:t>
            </w:r>
          </w:p>
        </w:tc>
      </w:tr>
      <w:tr w:rsidR="00A86AD9" w:rsidRPr="001B059F" w14:paraId="38C2D1A8" w14:textId="77777777" w:rsidTr="001B059F">
        <w:trPr>
          <w:trHeight w:val="274"/>
        </w:trPr>
        <w:tc>
          <w:tcPr>
            <w:tcW w:w="355" w:type="dxa"/>
            <w:vMerge w:val="restart"/>
            <w:shd w:val="clear" w:color="auto" w:fill="DEEAF6" w:themeFill="accent5" w:themeFillTint="33"/>
            <w:vAlign w:val="center"/>
          </w:tcPr>
          <w:p w14:paraId="2E66915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44761DC" w14:textId="4C3D97B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018213C9" w14:textId="32CC9AE1"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c>
          <w:tcPr>
            <w:tcW w:w="1395" w:type="dxa"/>
            <w:shd w:val="clear" w:color="auto" w:fill="FFFFFF" w:themeFill="background1"/>
            <w:vAlign w:val="center"/>
          </w:tcPr>
          <w:p w14:paraId="763DB7D8" w14:textId="31D7E4DD"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r>
      <w:tr w:rsidR="00A86AD9" w:rsidRPr="001B059F" w14:paraId="3F2A72F0" w14:textId="77777777" w:rsidTr="001B059F">
        <w:trPr>
          <w:trHeight w:val="274"/>
        </w:trPr>
        <w:tc>
          <w:tcPr>
            <w:tcW w:w="355" w:type="dxa"/>
            <w:vMerge/>
            <w:shd w:val="clear" w:color="auto" w:fill="DEEAF6" w:themeFill="accent5" w:themeFillTint="33"/>
            <w:vAlign w:val="center"/>
          </w:tcPr>
          <w:p w14:paraId="7EB1BA3B"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4F1E689" w14:textId="71F2FD2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D9D9D9" w:themeFill="background1" w:themeFillShade="D9"/>
            <w:vAlign w:val="center"/>
          </w:tcPr>
          <w:p w14:paraId="6F25DAB3" w14:textId="11CC82DE"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A44096E" w14:textId="72ED39BA" w:rsidR="00A86AD9" w:rsidRPr="001B059F" w:rsidRDefault="00A86AD9" w:rsidP="001B059F">
            <w:pPr>
              <w:jc w:val="center"/>
              <w:rPr>
                <w:rFonts w:ascii="Arial Narrow" w:hAnsi="Arial Narrow" w:cs="Arial"/>
                <w:color w:val="000000" w:themeColor="text1"/>
                <w:sz w:val="18"/>
                <w:szCs w:val="18"/>
              </w:rPr>
            </w:pPr>
          </w:p>
        </w:tc>
      </w:tr>
      <w:tr w:rsidR="00A86AD9" w:rsidRPr="001B059F" w14:paraId="08459AC2" w14:textId="77777777" w:rsidTr="001B059F">
        <w:trPr>
          <w:trHeight w:val="274"/>
        </w:trPr>
        <w:tc>
          <w:tcPr>
            <w:tcW w:w="355" w:type="dxa"/>
            <w:vMerge/>
            <w:shd w:val="clear" w:color="auto" w:fill="DEEAF6" w:themeFill="accent5" w:themeFillTint="33"/>
            <w:vAlign w:val="center"/>
          </w:tcPr>
          <w:p w14:paraId="400F0DB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8840F2" w14:textId="22FD5D32"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38306300" w14:textId="4348AE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352BDBC" w14:textId="6DC54082" w:rsidR="00A86AD9" w:rsidRPr="001B059F" w:rsidRDefault="00A86AD9" w:rsidP="001B059F">
            <w:pPr>
              <w:jc w:val="center"/>
              <w:rPr>
                <w:rFonts w:ascii="Arial Narrow" w:hAnsi="Arial Narrow" w:cs="Arial"/>
                <w:color w:val="000000" w:themeColor="text1"/>
                <w:sz w:val="18"/>
                <w:szCs w:val="18"/>
              </w:rPr>
            </w:pPr>
          </w:p>
        </w:tc>
      </w:tr>
      <w:tr w:rsidR="00A86AD9" w:rsidRPr="001B059F" w14:paraId="1DAD6ADA" w14:textId="77777777" w:rsidTr="001B059F">
        <w:trPr>
          <w:trHeight w:val="274"/>
        </w:trPr>
        <w:tc>
          <w:tcPr>
            <w:tcW w:w="355" w:type="dxa"/>
            <w:vMerge/>
            <w:shd w:val="clear" w:color="auto" w:fill="DEEAF6" w:themeFill="accent5" w:themeFillTint="33"/>
            <w:vAlign w:val="center"/>
          </w:tcPr>
          <w:p w14:paraId="48C620F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14EC690" w14:textId="60B9DB76"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D9D9D9" w:themeFill="background1" w:themeFillShade="D9"/>
            <w:vAlign w:val="center"/>
          </w:tcPr>
          <w:p w14:paraId="76246417" w14:textId="53D21CE6"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D20C834" w14:textId="5659F328" w:rsidR="00A86AD9" w:rsidRPr="001B059F" w:rsidRDefault="00A86AD9" w:rsidP="001B059F">
            <w:pPr>
              <w:jc w:val="center"/>
              <w:rPr>
                <w:rFonts w:ascii="Arial Narrow" w:hAnsi="Arial Narrow" w:cs="Arial"/>
                <w:color w:val="000000" w:themeColor="text1"/>
                <w:sz w:val="18"/>
                <w:szCs w:val="18"/>
              </w:rPr>
            </w:pPr>
          </w:p>
        </w:tc>
      </w:tr>
      <w:tr w:rsidR="00A86AD9" w:rsidRPr="001B059F" w14:paraId="7D6DB2E7" w14:textId="77777777" w:rsidTr="001B059F">
        <w:trPr>
          <w:trHeight w:val="274"/>
        </w:trPr>
        <w:tc>
          <w:tcPr>
            <w:tcW w:w="355" w:type="dxa"/>
            <w:vMerge/>
            <w:shd w:val="clear" w:color="auto" w:fill="DEEAF6" w:themeFill="accent5" w:themeFillTint="33"/>
            <w:vAlign w:val="center"/>
          </w:tcPr>
          <w:p w14:paraId="448330A2"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0E8FFB2" w14:textId="5525251E"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25A6029E" w14:textId="52C5AB12"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CBF2EA7" w14:textId="3EAB7574" w:rsidR="00A86AD9" w:rsidRPr="001B059F" w:rsidRDefault="00A86AD9" w:rsidP="001B059F">
            <w:pPr>
              <w:jc w:val="center"/>
              <w:rPr>
                <w:rFonts w:ascii="Arial Narrow" w:hAnsi="Arial Narrow" w:cs="Arial"/>
                <w:color w:val="000000" w:themeColor="text1"/>
                <w:sz w:val="18"/>
                <w:szCs w:val="18"/>
              </w:rPr>
            </w:pPr>
          </w:p>
        </w:tc>
      </w:tr>
      <w:tr w:rsidR="00A86AD9" w:rsidRPr="001B059F" w14:paraId="249B3FD9" w14:textId="77777777" w:rsidTr="001B059F">
        <w:trPr>
          <w:trHeight w:val="274"/>
        </w:trPr>
        <w:tc>
          <w:tcPr>
            <w:tcW w:w="355" w:type="dxa"/>
            <w:vMerge/>
            <w:shd w:val="clear" w:color="auto" w:fill="DEEAF6" w:themeFill="accent5" w:themeFillTint="33"/>
            <w:vAlign w:val="center"/>
          </w:tcPr>
          <w:p w14:paraId="101BFAC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4753A08" w14:textId="0D0DD54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D9D9D9" w:themeFill="background1" w:themeFillShade="D9"/>
            <w:vAlign w:val="center"/>
          </w:tcPr>
          <w:p w14:paraId="50403752" w14:textId="42236114"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A972CB7" w14:textId="0440B9C5" w:rsidR="00A86AD9" w:rsidRPr="001B059F" w:rsidRDefault="00A86AD9" w:rsidP="001B059F">
            <w:pPr>
              <w:jc w:val="center"/>
              <w:rPr>
                <w:rFonts w:ascii="Arial Narrow" w:hAnsi="Arial Narrow" w:cs="Arial"/>
                <w:sz w:val="18"/>
                <w:szCs w:val="18"/>
              </w:rPr>
            </w:pPr>
          </w:p>
        </w:tc>
      </w:tr>
      <w:tr w:rsidR="00A86AD9" w:rsidRPr="001B059F" w14:paraId="4BB6655E" w14:textId="77777777" w:rsidTr="001B059F">
        <w:trPr>
          <w:trHeight w:val="274"/>
        </w:trPr>
        <w:tc>
          <w:tcPr>
            <w:tcW w:w="355" w:type="dxa"/>
            <w:vMerge/>
            <w:shd w:val="clear" w:color="auto" w:fill="DEEAF6" w:themeFill="accent5" w:themeFillTint="33"/>
            <w:vAlign w:val="center"/>
          </w:tcPr>
          <w:p w14:paraId="61BBDEE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F634311" w14:textId="40340C3B"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1E10ECBF"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0A5721BF" w14:textId="77777777" w:rsidR="00A86AD9" w:rsidRPr="001B059F" w:rsidRDefault="00A86AD9" w:rsidP="001B059F">
            <w:pPr>
              <w:jc w:val="center"/>
              <w:rPr>
                <w:rFonts w:ascii="Arial Narrow" w:hAnsi="Arial Narrow" w:cs="Arial"/>
                <w:sz w:val="18"/>
                <w:szCs w:val="18"/>
              </w:rPr>
            </w:pPr>
          </w:p>
        </w:tc>
      </w:tr>
      <w:tr w:rsidR="00A86AD9" w:rsidRPr="001B059F" w14:paraId="45354D72" w14:textId="77777777" w:rsidTr="001B059F">
        <w:trPr>
          <w:trHeight w:val="274"/>
        </w:trPr>
        <w:tc>
          <w:tcPr>
            <w:tcW w:w="355" w:type="dxa"/>
            <w:vMerge/>
            <w:shd w:val="clear" w:color="auto" w:fill="DEEAF6" w:themeFill="accent5" w:themeFillTint="33"/>
            <w:vAlign w:val="center"/>
          </w:tcPr>
          <w:p w14:paraId="13C2FE11"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98AAC" w14:textId="27C5FE4A"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2F69C0AD"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07117EAC" w14:textId="77777777" w:rsidR="00A86AD9" w:rsidRPr="001B059F" w:rsidRDefault="00A86AD9" w:rsidP="001B059F">
            <w:pPr>
              <w:jc w:val="center"/>
              <w:rPr>
                <w:rFonts w:ascii="Arial Narrow" w:hAnsi="Arial Narrow" w:cs="Arial"/>
                <w:sz w:val="18"/>
                <w:szCs w:val="18"/>
              </w:rPr>
            </w:pPr>
          </w:p>
        </w:tc>
      </w:tr>
      <w:tr w:rsidR="00A86AD9" w:rsidRPr="001B059F" w14:paraId="41939EDF" w14:textId="77777777" w:rsidTr="001B059F">
        <w:trPr>
          <w:trHeight w:val="274"/>
        </w:trPr>
        <w:tc>
          <w:tcPr>
            <w:tcW w:w="355" w:type="dxa"/>
            <w:vMerge/>
            <w:shd w:val="clear" w:color="auto" w:fill="DEEAF6" w:themeFill="accent5" w:themeFillTint="33"/>
            <w:vAlign w:val="center"/>
          </w:tcPr>
          <w:p w14:paraId="7505836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F8E84B1" w14:textId="71B921F7"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498573C2"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FB6C440" w14:textId="77777777" w:rsidR="00A86AD9" w:rsidRPr="001B059F" w:rsidRDefault="00A86AD9" w:rsidP="001B059F">
            <w:pPr>
              <w:jc w:val="center"/>
              <w:rPr>
                <w:rFonts w:ascii="Arial Narrow" w:hAnsi="Arial Narrow" w:cs="Arial"/>
                <w:sz w:val="18"/>
                <w:szCs w:val="18"/>
              </w:rPr>
            </w:pPr>
          </w:p>
        </w:tc>
      </w:tr>
      <w:tr w:rsidR="001C550B" w:rsidRPr="001B059F" w14:paraId="24BEAA24" w14:textId="2DAD7F8C" w:rsidTr="001B059F">
        <w:trPr>
          <w:trHeight w:val="288"/>
        </w:trPr>
        <w:tc>
          <w:tcPr>
            <w:tcW w:w="355" w:type="dxa"/>
            <w:shd w:val="clear" w:color="auto" w:fill="DEEAF6" w:themeFill="accent5" w:themeFillTint="33"/>
            <w:vAlign w:val="center"/>
          </w:tcPr>
          <w:p w14:paraId="7F4EAAE8" w14:textId="249159C1"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B</w:t>
            </w:r>
          </w:p>
        </w:tc>
        <w:tc>
          <w:tcPr>
            <w:tcW w:w="6210" w:type="dxa"/>
            <w:shd w:val="clear" w:color="auto" w:fill="DEEAF6" w:themeFill="accent5" w:themeFillTint="33"/>
            <w:vAlign w:val="center"/>
          </w:tcPr>
          <w:p w14:paraId="4DE11FE0" w14:textId="76D1A95A" w:rsidR="001C550B" w:rsidRPr="001B059F" w:rsidRDefault="001C550B" w:rsidP="001B059F">
            <w:pPr>
              <w:rPr>
                <w:rFonts w:ascii="Arial Narrow" w:hAnsi="Arial Narrow" w:cs="Arial"/>
                <w:b/>
                <w:bCs/>
                <w:sz w:val="18"/>
                <w:szCs w:val="18"/>
              </w:rPr>
            </w:pPr>
            <w:r w:rsidRPr="001B059F">
              <w:rPr>
                <w:rFonts w:ascii="Arial Narrow" w:hAnsi="Arial Narrow" w:cs="Arial"/>
                <w:b/>
                <w:bCs/>
                <w:sz w:val="18"/>
                <w:szCs w:val="18"/>
              </w:rPr>
              <w:t xml:space="preserve">Maximum Building Length Along a Frontage </w:t>
            </w:r>
            <w:r w:rsidRPr="001B059F">
              <w:rPr>
                <w:rFonts w:ascii="Arial Narrow" w:hAnsi="Arial Narrow" w:cs="Arial"/>
                <w:sz w:val="18"/>
                <w:szCs w:val="18"/>
              </w:rPr>
              <w:t>(feet)</w:t>
            </w:r>
            <w:r w:rsidRPr="001B059F">
              <w:rPr>
                <w:rFonts w:ascii="Arial Narrow" w:hAnsi="Arial Narrow" w:cs="Arial"/>
                <w:b/>
                <w:bCs/>
                <w:sz w:val="18"/>
                <w:szCs w:val="18"/>
              </w:rPr>
              <w:t xml:space="preserve"> </w:t>
            </w:r>
            <w:r w:rsidR="002F120B" w:rsidRPr="001B059F">
              <w:rPr>
                <w:rFonts w:ascii="Arial Narrow" w:hAnsi="Arial Narrow" w:cs="Arial"/>
                <w:b/>
                <w:bCs/>
                <w:color w:val="000000" w:themeColor="text1"/>
                <w:sz w:val="18"/>
                <w:szCs w:val="18"/>
                <w:vertAlign w:val="superscript"/>
              </w:rPr>
              <w:t>2</w:t>
            </w:r>
          </w:p>
        </w:tc>
        <w:tc>
          <w:tcPr>
            <w:tcW w:w="1395" w:type="dxa"/>
            <w:shd w:val="clear" w:color="auto" w:fill="FFFFFF" w:themeFill="background1"/>
            <w:vAlign w:val="center"/>
          </w:tcPr>
          <w:p w14:paraId="4A2C68D6" w14:textId="140298CA" w:rsidR="001C550B" w:rsidRPr="001B059F" w:rsidRDefault="001C550B" w:rsidP="001B059F">
            <w:pPr>
              <w:jc w:val="center"/>
              <w:rPr>
                <w:rFonts w:ascii="Arial Narrow" w:hAnsi="Arial Narrow" w:cs="Arial"/>
                <w:sz w:val="18"/>
                <w:szCs w:val="18"/>
              </w:rPr>
            </w:pPr>
            <w:r w:rsidRPr="001B059F">
              <w:rPr>
                <w:rFonts w:ascii="Arial Narrow" w:hAnsi="Arial Narrow" w:cs="Arial"/>
                <w:sz w:val="18"/>
                <w:szCs w:val="18"/>
              </w:rPr>
              <w:t>500</w:t>
            </w:r>
          </w:p>
        </w:tc>
        <w:tc>
          <w:tcPr>
            <w:tcW w:w="1395" w:type="dxa"/>
            <w:shd w:val="clear" w:color="auto" w:fill="FFFFFF" w:themeFill="background1"/>
            <w:vAlign w:val="center"/>
          </w:tcPr>
          <w:p w14:paraId="7402D6BA" w14:textId="634B548C" w:rsidR="001C550B" w:rsidRPr="001B059F" w:rsidRDefault="001C550B" w:rsidP="001B059F">
            <w:pPr>
              <w:jc w:val="center"/>
              <w:rPr>
                <w:rFonts w:ascii="Arial Narrow" w:hAnsi="Arial Narrow" w:cs="Arial"/>
                <w:sz w:val="18"/>
                <w:szCs w:val="18"/>
              </w:rPr>
            </w:pPr>
            <w:r w:rsidRPr="001B059F">
              <w:rPr>
                <w:rFonts w:ascii="Arial Narrow" w:hAnsi="Arial Narrow" w:cs="Arial"/>
                <w:sz w:val="18"/>
                <w:szCs w:val="18"/>
              </w:rPr>
              <w:t>650</w:t>
            </w:r>
          </w:p>
        </w:tc>
      </w:tr>
      <w:tr w:rsidR="001C550B" w:rsidRPr="001B059F" w14:paraId="5981CC0C" w14:textId="4D24D09F" w:rsidTr="001B059F">
        <w:trPr>
          <w:trHeight w:val="288"/>
        </w:trPr>
        <w:tc>
          <w:tcPr>
            <w:tcW w:w="355" w:type="dxa"/>
            <w:shd w:val="clear" w:color="auto" w:fill="DEEAF6" w:themeFill="accent5" w:themeFillTint="33"/>
            <w:vAlign w:val="center"/>
          </w:tcPr>
          <w:p w14:paraId="3B12C160" w14:textId="772D187A"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C</w:t>
            </w:r>
          </w:p>
        </w:tc>
        <w:tc>
          <w:tcPr>
            <w:tcW w:w="9000" w:type="dxa"/>
            <w:gridSpan w:val="3"/>
            <w:shd w:val="clear" w:color="auto" w:fill="DEEAF6" w:themeFill="accent5" w:themeFillTint="33"/>
            <w:vAlign w:val="center"/>
          </w:tcPr>
          <w:p w14:paraId="18643643" w14:textId="47CCCBB4"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Maximum Blank Wall Area - </w:t>
            </w:r>
            <w:r w:rsidR="00F27405">
              <w:rPr>
                <w:rFonts w:ascii="Arial Narrow" w:hAnsi="Arial Narrow" w:cs="Arial"/>
                <w:b/>
                <w:bCs/>
                <w:sz w:val="18"/>
                <w:szCs w:val="18"/>
              </w:rPr>
              <w:t xml:space="preserve">(Ground floor and upper </w:t>
            </w:r>
            <w:r w:rsidR="00224B1A">
              <w:rPr>
                <w:rFonts w:ascii="Arial Narrow" w:hAnsi="Arial Narrow" w:cs="Arial"/>
                <w:b/>
                <w:bCs/>
                <w:sz w:val="18"/>
                <w:szCs w:val="18"/>
              </w:rPr>
              <w:t>floor</w:t>
            </w:r>
            <w:r w:rsidR="00F27405">
              <w:rPr>
                <w:rFonts w:ascii="Arial Narrow" w:hAnsi="Arial Narrow" w:cs="Arial"/>
                <w:b/>
                <w:bCs/>
                <w:sz w:val="18"/>
                <w:szCs w:val="18"/>
              </w:rPr>
              <w:t xml:space="preserve">; </w:t>
            </w:r>
            <w:r w:rsidRPr="001B059F">
              <w:rPr>
                <w:rFonts w:ascii="Arial Narrow" w:hAnsi="Arial Narrow" w:cs="Arial"/>
                <w:b/>
                <w:bCs/>
                <w:sz w:val="18"/>
                <w:szCs w:val="18"/>
              </w:rPr>
              <w:t>Horizontal or Vertical</w:t>
            </w:r>
            <w:r w:rsidR="00196A19" w:rsidRPr="00260DC1">
              <w:rPr>
                <w:rFonts w:ascii="Arial Narrow" w:hAnsi="Arial Narrow" w:cs="Arial"/>
                <w:b/>
                <w:bCs/>
                <w:sz w:val="18"/>
                <w:szCs w:val="18"/>
              </w:rPr>
              <w:t xml:space="preserve">; Per </w:t>
            </w:r>
            <w:r w:rsidR="00196A19" w:rsidRPr="001C7DEF">
              <w:rPr>
                <w:rFonts w:ascii="Arial Narrow" w:hAnsi="Arial Narrow" w:cs="Arial"/>
                <w:b/>
                <w:bCs/>
                <w:sz w:val="18"/>
                <w:szCs w:val="18"/>
              </w:rPr>
              <w:t>building</w:t>
            </w:r>
            <w:r w:rsidR="00F27405">
              <w:rPr>
                <w:rFonts w:ascii="Arial Narrow" w:hAnsi="Arial Narrow" w:cs="Arial"/>
                <w:b/>
                <w:bCs/>
                <w:sz w:val="18"/>
                <w:szCs w:val="18"/>
              </w:rPr>
              <w:t>)</w:t>
            </w:r>
            <w:r w:rsidRPr="001B059F">
              <w:rPr>
                <w:rFonts w:ascii="Arial Narrow" w:hAnsi="Arial Narrow" w:cs="Arial"/>
                <w:b/>
                <w:bCs/>
                <w:sz w:val="18"/>
                <w:szCs w:val="18"/>
              </w:rPr>
              <w:t xml:space="preserve"> </w:t>
            </w:r>
            <w:r w:rsidRPr="001B059F">
              <w:rPr>
                <w:rFonts w:ascii="Arial Narrow" w:hAnsi="Arial Narrow" w:cs="Arial"/>
                <w:sz w:val="18"/>
                <w:szCs w:val="18"/>
              </w:rPr>
              <w:t>(feet)</w:t>
            </w:r>
          </w:p>
        </w:tc>
      </w:tr>
      <w:tr w:rsidR="00A86AD9" w:rsidRPr="001B059F" w14:paraId="2E78681C" w14:textId="57825B4A" w:rsidTr="001B059F">
        <w:trPr>
          <w:trHeight w:val="274"/>
        </w:trPr>
        <w:tc>
          <w:tcPr>
            <w:tcW w:w="355" w:type="dxa"/>
            <w:vMerge w:val="restart"/>
            <w:shd w:val="clear" w:color="auto" w:fill="DEEAF6" w:themeFill="accent5" w:themeFillTint="33"/>
            <w:vAlign w:val="center"/>
          </w:tcPr>
          <w:p w14:paraId="073F6317"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0ED656B" w14:textId="756172FC"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146CD6C8" w14:textId="3E66C1D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3EF51381" w14:textId="502223EE"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731CFFE0" w14:textId="5AFA0BBC" w:rsidTr="001B059F">
        <w:trPr>
          <w:trHeight w:val="274"/>
        </w:trPr>
        <w:tc>
          <w:tcPr>
            <w:tcW w:w="355" w:type="dxa"/>
            <w:vMerge/>
            <w:shd w:val="clear" w:color="auto" w:fill="DEEAF6" w:themeFill="accent5" w:themeFillTint="33"/>
            <w:vAlign w:val="center"/>
          </w:tcPr>
          <w:p w14:paraId="19642E1B"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C3ECF84" w14:textId="36852DA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FFFFFF" w:themeFill="background1"/>
            <w:vAlign w:val="center"/>
          </w:tcPr>
          <w:p w14:paraId="559FEB91" w14:textId="7A87A717"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45A11D43" w14:textId="6DC64A2E"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66F185B6" w14:textId="50EC77BE" w:rsidTr="001B059F">
        <w:trPr>
          <w:trHeight w:val="274"/>
        </w:trPr>
        <w:tc>
          <w:tcPr>
            <w:tcW w:w="355" w:type="dxa"/>
            <w:vMerge/>
            <w:shd w:val="clear" w:color="auto" w:fill="DEEAF6" w:themeFill="accent5" w:themeFillTint="33"/>
            <w:vAlign w:val="center"/>
          </w:tcPr>
          <w:p w14:paraId="7EF4B8F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12B49" w14:textId="5C88BE0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FFFFFF" w:themeFill="background1"/>
            <w:vAlign w:val="center"/>
          </w:tcPr>
          <w:p w14:paraId="07627364" w14:textId="526504D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1ABA9D27" w14:textId="30B92F00"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53A83C19" w14:textId="042B8E94" w:rsidTr="001B059F">
        <w:trPr>
          <w:trHeight w:val="274"/>
        </w:trPr>
        <w:tc>
          <w:tcPr>
            <w:tcW w:w="355" w:type="dxa"/>
            <w:vMerge/>
            <w:shd w:val="clear" w:color="auto" w:fill="DEEAF6" w:themeFill="accent5" w:themeFillTint="33"/>
            <w:vAlign w:val="center"/>
          </w:tcPr>
          <w:p w14:paraId="2CB32A90"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A394C5" w14:textId="0105A3EF"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FFFFFF" w:themeFill="background1"/>
            <w:vAlign w:val="center"/>
          </w:tcPr>
          <w:p w14:paraId="0A0A9950" w14:textId="64A95F2C"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16097A17" w14:textId="5ED0E0AD"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7CF32970" w14:textId="049D9249" w:rsidTr="001B059F">
        <w:trPr>
          <w:trHeight w:val="274"/>
        </w:trPr>
        <w:tc>
          <w:tcPr>
            <w:tcW w:w="355" w:type="dxa"/>
            <w:vMerge/>
            <w:shd w:val="clear" w:color="auto" w:fill="DEEAF6" w:themeFill="accent5" w:themeFillTint="33"/>
            <w:vAlign w:val="center"/>
          </w:tcPr>
          <w:p w14:paraId="2A006CA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8166119" w14:textId="506EB18F"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43C879BD" w14:textId="354B3E77" w:rsidR="00A86AD9" w:rsidRPr="001B059F" w:rsidRDefault="00A86AD9" w:rsidP="001B059F">
            <w:pPr>
              <w:jc w:val="center"/>
              <w:rPr>
                <w:rFonts w:ascii="Arial Narrow" w:hAnsi="Arial Narrow" w:cs="Arial"/>
                <w:color w:val="000000" w:themeColor="text1"/>
                <w:sz w:val="18"/>
                <w:szCs w:val="18"/>
                <w:highlight w:val="yellow"/>
              </w:rPr>
            </w:pPr>
          </w:p>
        </w:tc>
        <w:tc>
          <w:tcPr>
            <w:tcW w:w="1395" w:type="dxa"/>
            <w:shd w:val="clear" w:color="auto" w:fill="D9D9D9" w:themeFill="background1" w:themeFillShade="D9"/>
            <w:vAlign w:val="center"/>
          </w:tcPr>
          <w:p w14:paraId="2C01AA66" w14:textId="2A1A0470" w:rsidR="00A86AD9" w:rsidRPr="001B059F" w:rsidRDefault="00A86AD9" w:rsidP="001B059F">
            <w:pPr>
              <w:jc w:val="center"/>
              <w:rPr>
                <w:rFonts w:ascii="Arial Narrow" w:hAnsi="Arial Narrow" w:cs="Arial"/>
                <w:color w:val="000000" w:themeColor="text1"/>
                <w:sz w:val="18"/>
                <w:szCs w:val="18"/>
                <w:highlight w:val="yellow"/>
              </w:rPr>
            </w:pPr>
          </w:p>
        </w:tc>
      </w:tr>
      <w:tr w:rsidR="00A86AD9" w:rsidRPr="001B059F" w14:paraId="5663AC96" w14:textId="56F2E784" w:rsidTr="001B059F">
        <w:trPr>
          <w:trHeight w:val="274"/>
        </w:trPr>
        <w:tc>
          <w:tcPr>
            <w:tcW w:w="355" w:type="dxa"/>
            <w:vMerge/>
            <w:shd w:val="clear" w:color="auto" w:fill="DEEAF6" w:themeFill="accent5" w:themeFillTint="33"/>
            <w:vAlign w:val="center"/>
          </w:tcPr>
          <w:p w14:paraId="302D3A7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789AF77" w14:textId="2A9F1EF1"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FFFFFF" w:themeFill="background1"/>
            <w:vAlign w:val="center"/>
          </w:tcPr>
          <w:p w14:paraId="23E65550" w14:textId="3572BC59"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3FA89256" w14:textId="3C191DF5"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40</w:t>
            </w:r>
          </w:p>
        </w:tc>
      </w:tr>
      <w:tr w:rsidR="00A86AD9" w:rsidRPr="001B059F" w14:paraId="4B5DB9C7" w14:textId="77777777" w:rsidTr="001B059F">
        <w:trPr>
          <w:trHeight w:val="274"/>
        </w:trPr>
        <w:tc>
          <w:tcPr>
            <w:tcW w:w="355" w:type="dxa"/>
            <w:vMerge/>
            <w:shd w:val="clear" w:color="auto" w:fill="DEEAF6" w:themeFill="accent5" w:themeFillTint="33"/>
            <w:vAlign w:val="center"/>
          </w:tcPr>
          <w:p w14:paraId="49067685"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7FDB79E" w14:textId="63A8AFC1"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FFFFFF" w:themeFill="background1"/>
            <w:vAlign w:val="center"/>
          </w:tcPr>
          <w:p w14:paraId="7B79E011" w14:textId="5E3257D7"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0D95EACF" w14:textId="36D70F0F"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40</w:t>
            </w:r>
          </w:p>
        </w:tc>
      </w:tr>
      <w:tr w:rsidR="00A86AD9" w:rsidRPr="001B059F" w14:paraId="5AFB615B" w14:textId="77777777" w:rsidTr="001B059F">
        <w:trPr>
          <w:trHeight w:val="274"/>
        </w:trPr>
        <w:tc>
          <w:tcPr>
            <w:tcW w:w="355" w:type="dxa"/>
            <w:vMerge/>
            <w:shd w:val="clear" w:color="auto" w:fill="DEEAF6" w:themeFill="accent5" w:themeFillTint="33"/>
            <w:vAlign w:val="center"/>
          </w:tcPr>
          <w:p w14:paraId="7E9E6F23"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F1A8C26" w14:textId="596B726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FFFFFF" w:themeFill="background1"/>
            <w:vAlign w:val="center"/>
          </w:tcPr>
          <w:p w14:paraId="587F6026" w14:textId="3203E10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50</w:t>
            </w:r>
          </w:p>
        </w:tc>
        <w:tc>
          <w:tcPr>
            <w:tcW w:w="1395" w:type="dxa"/>
            <w:shd w:val="clear" w:color="auto" w:fill="FFFFFF" w:themeFill="background1"/>
            <w:vAlign w:val="center"/>
          </w:tcPr>
          <w:p w14:paraId="2998838C" w14:textId="728B3881"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50</w:t>
            </w:r>
          </w:p>
        </w:tc>
      </w:tr>
      <w:tr w:rsidR="00A86AD9" w:rsidRPr="001B059F" w14:paraId="210F19AF" w14:textId="77777777" w:rsidTr="001B059F">
        <w:trPr>
          <w:trHeight w:val="274"/>
        </w:trPr>
        <w:tc>
          <w:tcPr>
            <w:tcW w:w="355" w:type="dxa"/>
            <w:vMerge/>
            <w:shd w:val="clear" w:color="auto" w:fill="DEEAF6" w:themeFill="accent5" w:themeFillTint="33"/>
            <w:vAlign w:val="center"/>
          </w:tcPr>
          <w:p w14:paraId="354CA71C"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8B3B237" w14:textId="0A11AE5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FFFFFF" w:themeFill="background1"/>
            <w:vAlign w:val="center"/>
          </w:tcPr>
          <w:p w14:paraId="00C8C80B" w14:textId="428ED170"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50</w:t>
            </w:r>
          </w:p>
        </w:tc>
        <w:tc>
          <w:tcPr>
            <w:tcW w:w="1395" w:type="dxa"/>
            <w:shd w:val="clear" w:color="auto" w:fill="FFFFFF" w:themeFill="background1"/>
            <w:vAlign w:val="center"/>
          </w:tcPr>
          <w:p w14:paraId="31AEFC3A" w14:textId="7AD6316E"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50</w:t>
            </w:r>
          </w:p>
        </w:tc>
      </w:tr>
      <w:tr w:rsidR="001C550B" w:rsidRPr="001B059F" w14:paraId="27E09BB8" w14:textId="11CED821" w:rsidTr="001B059F">
        <w:trPr>
          <w:trHeight w:val="288"/>
        </w:trPr>
        <w:tc>
          <w:tcPr>
            <w:tcW w:w="355" w:type="dxa"/>
            <w:shd w:val="clear" w:color="auto" w:fill="DEEAF6" w:themeFill="accent5" w:themeFillTint="33"/>
            <w:vAlign w:val="center"/>
          </w:tcPr>
          <w:p w14:paraId="514A86A6" w14:textId="1810F895"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lastRenderedPageBreak/>
              <w:t>D</w:t>
            </w:r>
          </w:p>
        </w:tc>
        <w:tc>
          <w:tcPr>
            <w:tcW w:w="9000" w:type="dxa"/>
            <w:gridSpan w:val="3"/>
            <w:shd w:val="clear" w:color="auto" w:fill="DEEAF6" w:themeFill="accent5" w:themeFillTint="33"/>
            <w:vAlign w:val="center"/>
          </w:tcPr>
          <w:p w14:paraId="474623FC" w14:textId="4ECD2D77"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Minimum Ground Floor Height </w:t>
            </w:r>
            <w:r w:rsidRPr="001B059F">
              <w:rPr>
                <w:rFonts w:ascii="Arial Narrow" w:hAnsi="Arial Narrow" w:cs="Arial"/>
                <w:sz w:val="18"/>
                <w:szCs w:val="18"/>
              </w:rPr>
              <w:t>(</w:t>
            </w:r>
            <w:r w:rsidR="00B557AF" w:rsidRPr="001B059F">
              <w:rPr>
                <w:rFonts w:ascii="Arial Narrow" w:hAnsi="Arial Narrow" w:cs="Arial"/>
                <w:sz w:val="18"/>
                <w:szCs w:val="18"/>
              </w:rPr>
              <w:t>finished floor elevation to finished floor elevation) (feet)</w:t>
            </w:r>
            <w:r w:rsidR="00B557AF" w:rsidRPr="001B059F">
              <w:rPr>
                <w:rFonts w:ascii="Arial Narrow" w:hAnsi="Arial Narrow" w:cs="Arial"/>
                <w:color w:val="000000" w:themeColor="text1"/>
                <w:sz w:val="18"/>
                <w:szCs w:val="18"/>
                <w:vertAlign w:val="superscript"/>
              </w:rPr>
              <w:t xml:space="preserve"> </w:t>
            </w:r>
            <w:r w:rsidR="00B557AF" w:rsidRPr="001B059F">
              <w:rPr>
                <w:rFonts w:ascii="Arial Narrow" w:hAnsi="Arial Narrow" w:cs="Arial"/>
                <w:b/>
                <w:bCs/>
                <w:color w:val="000000" w:themeColor="text1"/>
                <w:sz w:val="18"/>
                <w:szCs w:val="18"/>
                <w:vertAlign w:val="superscript"/>
              </w:rPr>
              <w:t>3</w:t>
            </w:r>
          </w:p>
        </w:tc>
      </w:tr>
      <w:tr w:rsidR="00A14C78" w:rsidRPr="001B059F" w14:paraId="321A72CE" w14:textId="68DF44A6" w:rsidTr="001B059F">
        <w:trPr>
          <w:trHeight w:val="274"/>
        </w:trPr>
        <w:tc>
          <w:tcPr>
            <w:tcW w:w="355" w:type="dxa"/>
            <w:vMerge w:val="restart"/>
            <w:shd w:val="clear" w:color="auto" w:fill="DEEAF6" w:themeFill="accent5" w:themeFillTint="33"/>
            <w:vAlign w:val="center"/>
          </w:tcPr>
          <w:p w14:paraId="769029E8"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EC2A4FA" w14:textId="494D111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20889074" w14:textId="50413FA0"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16</w:t>
            </w:r>
            <w:r w:rsidR="00AD49A6">
              <w:rPr>
                <w:rFonts w:ascii="Arial Narrow" w:hAnsi="Arial Narrow" w:cs="Arial"/>
                <w:color w:val="000000" w:themeColor="text1"/>
                <w:sz w:val="18"/>
                <w:szCs w:val="18"/>
              </w:rPr>
              <w:t xml:space="preserve"> </w:t>
            </w:r>
            <w:r w:rsidR="00AD49A6">
              <w:rPr>
                <w:rFonts w:ascii="Arial Narrow" w:hAnsi="Arial Narrow" w:cs="Arial"/>
                <w:b/>
                <w:bCs/>
                <w:sz w:val="18"/>
                <w:szCs w:val="18"/>
                <w:vertAlign w:val="superscript"/>
              </w:rPr>
              <w:t>4</w:t>
            </w:r>
          </w:p>
        </w:tc>
        <w:tc>
          <w:tcPr>
            <w:tcW w:w="1395" w:type="dxa"/>
            <w:shd w:val="clear" w:color="auto" w:fill="FFFFFF" w:themeFill="background1"/>
            <w:vAlign w:val="center"/>
          </w:tcPr>
          <w:p w14:paraId="585986CB" w14:textId="2C5D10A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16</w:t>
            </w:r>
            <w:r w:rsidR="00AD49A6">
              <w:rPr>
                <w:rFonts w:ascii="Arial Narrow" w:hAnsi="Arial Narrow" w:cs="Arial"/>
                <w:color w:val="000000" w:themeColor="text1"/>
                <w:sz w:val="18"/>
                <w:szCs w:val="18"/>
              </w:rPr>
              <w:t xml:space="preserve"> </w:t>
            </w:r>
            <w:r w:rsidR="00AD49A6">
              <w:rPr>
                <w:rFonts w:ascii="Arial Narrow" w:hAnsi="Arial Narrow" w:cs="Arial"/>
                <w:b/>
                <w:bCs/>
                <w:sz w:val="18"/>
                <w:szCs w:val="18"/>
                <w:vertAlign w:val="superscript"/>
              </w:rPr>
              <w:t>4</w:t>
            </w:r>
          </w:p>
        </w:tc>
      </w:tr>
      <w:tr w:rsidR="00A14C78" w:rsidRPr="001B059F" w14:paraId="181E0FD0" w14:textId="7D950890" w:rsidTr="001B059F">
        <w:trPr>
          <w:trHeight w:val="274"/>
        </w:trPr>
        <w:tc>
          <w:tcPr>
            <w:tcW w:w="355" w:type="dxa"/>
            <w:vMerge/>
            <w:shd w:val="clear" w:color="auto" w:fill="DEEAF6" w:themeFill="accent5" w:themeFillTint="33"/>
            <w:vAlign w:val="center"/>
          </w:tcPr>
          <w:p w14:paraId="508F391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BB3194F" w14:textId="2C967375"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D9D9D9" w:themeFill="background1" w:themeFillShade="D9"/>
            <w:vAlign w:val="center"/>
          </w:tcPr>
          <w:p w14:paraId="0817E7A3" w14:textId="150918AA"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9766EF4"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30923E0" w14:textId="2F8B5D2F" w:rsidTr="001B059F">
        <w:trPr>
          <w:trHeight w:val="274"/>
        </w:trPr>
        <w:tc>
          <w:tcPr>
            <w:tcW w:w="355" w:type="dxa"/>
            <w:vMerge/>
            <w:shd w:val="clear" w:color="auto" w:fill="DEEAF6" w:themeFill="accent5" w:themeFillTint="33"/>
            <w:vAlign w:val="center"/>
          </w:tcPr>
          <w:p w14:paraId="23AED844"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4516FDC" w14:textId="722E8474"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3ABE567F" w14:textId="1903E709"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082A60D"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CB38ACC" w14:textId="7F28E941" w:rsidTr="001B059F">
        <w:trPr>
          <w:trHeight w:val="274"/>
        </w:trPr>
        <w:tc>
          <w:tcPr>
            <w:tcW w:w="355" w:type="dxa"/>
            <w:vMerge/>
            <w:shd w:val="clear" w:color="auto" w:fill="DEEAF6" w:themeFill="accent5" w:themeFillTint="33"/>
            <w:vAlign w:val="center"/>
          </w:tcPr>
          <w:p w14:paraId="31870B36"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0B204C5" w14:textId="56A629F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D9D9D9" w:themeFill="background1" w:themeFillShade="D9"/>
            <w:vAlign w:val="center"/>
          </w:tcPr>
          <w:p w14:paraId="3B90CA74" w14:textId="45C2FD5D"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F896D14"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D00A254" w14:textId="362A8BE2" w:rsidTr="001B059F">
        <w:trPr>
          <w:trHeight w:val="274"/>
        </w:trPr>
        <w:tc>
          <w:tcPr>
            <w:tcW w:w="355" w:type="dxa"/>
            <w:vMerge/>
            <w:shd w:val="clear" w:color="auto" w:fill="DEEAF6" w:themeFill="accent5" w:themeFillTint="33"/>
            <w:vAlign w:val="center"/>
          </w:tcPr>
          <w:p w14:paraId="1E962AE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EE098F6" w14:textId="3FA40ED1"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1790E728" w14:textId="647EC25B"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9451AFF"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47F35637" w14:textId="0B295D77" w:rsidTr="001B059F">
        <w:trPr>
          <w:trHeight w:val="274"/>
        </w:trPr>
        <w:tc>
          <w:tcPr>
            <w:tcW w:w="355" w:type="dxa"/>
            <w:vMerge/>
            <w:shd w:val="clear" w:color="auto" w:fill="DEEAF6" w:themeFill="accent5" w:themeFillTint="33"/>
            <w:vAlign w:val="center"/>
          </w:tcPr>
          <w:p w14:paraId="180F8863"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C603E38" w14:textId="13D942F7"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D9D9D9" w:themeFill="background1" w:themeFillShade="D9"/>
            <w:vAlign w:val="center"/>
          </w:tcPr>
          <w:p w14:paraId="44DC0688" w14:textId="58C11D26"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CF353E1"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59E942BF" w14:textId="77777777" w:rsidTr="001B059F">
        <w:trPr>
          <w:trHeight w:val="274"/>
        </w:trPr>
        <w:tc>
          <w:tcPr>
            <w:tcW w:w="355" w:type="dxa"/>
            <w:vMerge/>
            <w:shd w:val="clear" w:color="auto" w:fill="DEEAF6" w:themeFill="accent5" w:themeFillTint="33"/>
            <w:vAlign w:val="center"/>
          </w:tcPr>
          <w:p w14:paraId="117FB559"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B5CC842" w14:textId="278CDFE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617B7D44"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9818C1E"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7AB748A" w14:textId="77777777" w:rsidTr="001B059F">
        <w:trPr>
          <w:trHeight w:val="274"/>
        </w:trPr>
        <w:tc>
          <w:tcPr>
            <w:tcW w:w="355" w:type="dxa"/>
            <w:vMerge/>
            <w:shd w:val="clear" w:color="auto" w:fill="DEEAF6" w:themeFill="accent5" w:themeFillTint="33"/>
            <w:vAlign w:val="center"/>
          </w:tcPr>
          <w:p w14:paraId="2BDA8766"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9892666" w14:textId="6275AAC1"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1D9308CC"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CC549C2"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912439F" w14:textId="77777777" w:rsidTr="001B059F">
        <w:trPr>
          <w:trHeight w:val="274"/>
        </w:trPr>
        <w:tc>
          <w:tcPr>
            <w:tcW w:w="355" w:type="dxa"/>
            <w:vMerge/>
            <w:shd w:val="clear" w:color="auto" w:fill="DEEAF6" w:themeFill="accent5" w:themeFillTint="33"/>
            <w:vAlign w:val="center"/>
          </w:tcPr>
          <w:p w14:paraId="600DFA0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33EE539" w14:textId="57249D28"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6EEC7207"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7FDF6AD4" w14:textId="77777777" w:rsidR="00A14C78" w:rsidRPr="001B059F" w:rsidRDefault="00A14C78" w:rsidP="001B059F">
            <w:pPr>
              <w:jc w:val="center"/>
              <w:rPr>
                <w:rFonts w:ascii="Arial Narrow" w:hAnsi="Arial Narrow" w:cs="Arial"/>
                <w:color w:val="000000" w:themeColor="text1"/>
                <w:sz w:val="18"/>
                <w:szCs w:val="18"/>
              </w:rPr>
            </w:pPr>
          </w:p>
        </w:tc>
      </w:tr>
      <w:tr w:rsidR="001C550B" w:rsidRPr="001B059F" w14:paraId="020B7C7B" w14:textId="2DE5BAAD" w:rsidTr="001B059F">
        <w:tc>
          <w:tcPr>
            <w:tcW w:w="355" w:type="dxa"/>
            <w:shd w:val="clear" w:color="auto" w:fill="DEEAF6" w:themeFill="accent5" w:themeFillTint="33"/>
            <w:vAlign w:val="center"/>
          </w:tcPr>
          <w:p w14:paraId="54480A37" w14:textId="5E1D3422"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E</w:t>
            </w:r>
          </w:p>
        </w:tc>
        <w:tc>
          <w:tcPr>
            <w:tcW w:w="9000" w:type="dxa"/>
            <w:gridSpan w:val="3"/>
            <w:shd w:val="clear" w:color="auto" w:fill="DEEAF6" w:themeFill="accent5" w:themeFillTint="33"/>
            <w:vAlign w:val="center"/>
          </w:tcPr>
          <w:p w14:paraId="613753D1" w14:textId="1D9A379F" w:rsidR="001C550B" w:rsidRPr="001B059F" w:rsidRDefault="001C550B" w:rsidP="001B059F">
            <w:pPr>
              <w:rPr>
                <w:rFonts w:ascii="Arial Narrow" w:hAnsi="Arial Narrow" w:cs="Arial"/>
                <w:b/>
                <w:bCs/>
                <w:sz w:val="18"/>
                <w:szCs w:val="18"/>
              </w:rPr>
            </w:pPr>
            <w:r w:rsidRPr="001B059F">
              <w:rPr>
                <w:rFonts w:ascii="Arial Narrow" w:hAnsi="Arial Narrow" w:cs="Arial"/>
                <w:b/>
                <w:bCs/>
                <w:sz w:val="18"/>
                <w:szCs w:val="18"/>
              </w:rPr>
              <w:t xml:space="preserve">Maximum </w:t>
            </w:r>
            <w:r w:rsidR="00DB6119">
              <w:rPr>
                <w:rFonts w:ascii="Arial Narrow" w:hAnsi="Arial Narrow" w:cs="Arial"/>
                <w:b/>
                <w:bCs/>
                <w:sz w:val="18"/>
                <w:szCs w:val="18"/>
              </w:rPr>
              <w:t xml:space="preserve">Spacing for Required </w:t>
            </w:r>
            <w:r w:rsidRPr="001B059F">
              <w:rPr>
                <w:rFonts w:ascii="Arial Narrow" w:hAnsi="Arial Narrow" w:cs="Arial"/>
                <w:b/>
                <w:bCs/>
                <w:sz w:val="18"/>
                <w:szCs w:val="18"/>
              </w:rPr>
              <w:t>Prominent Entr</w:t>
            </w:r>
            <w:r w:rsidR="00DB6119">
              <w:rPr>
                <w:rFonts w:ascii="Arial Narrow" w:hAnsi="Arial Narrow" w:cs="Arial"/>
                <w:b/>
                <w:bCs/>
                <w:sz w:val="18"/>
                <w:szCs w:val="18"/>
              </w:rPr>
              <w:t>ances</w:t>
            </w:r>
            <w:r w:rsidRPr="001B059F">
              <w:rPr>
                <w:rFonts w:ascii="Arial Narrow" w:hAnsi="Arial Narrow" w:cs="Arial"/>
                <w:b/>
                <w:bCs/>
                <w:sz w:val="18"/>
                <w:szCs w:val="18"/>
              </w:rPr>
              <w:t xml:space="preserve"> </w:t>
            </w:r>
            <w:r w:rsidRPr="001B059F">
              <w:rPr>
                <w:rFonts w:ascii="Arial Narrow" w:hAnsi="Arial Narrow" w:cs="Arial"/>
                <w:sz w:val="18"/>
                <w:szCs w:val="18"/>
              </w:rPr>
              <w:t>(feet)</w:t>
            </w:r>
          </w:p>
        </w:tc>
      </w:tr>
      <w:tr w:rsidR="00A14C78" w:rsidRPr="001B059F" w14:paraId="340C40C5" w14:textId="22975205" w:rsidTr="001B059F">
        <w:trPr>
          <w:trHeight w:val="274"/>
        </w:trPr>
        <w:tc>
          <w:tcPr>
            <w:tcW w:w="355" w:type="dxa"/>
            <w:vMerge w:val="restart"/>
            <w:shd w:val="clear" w:color="auto" w:fill="DEEAF6" w:themeFill="accent5" w:themeFillTint="33"/>
            <w:vAlign w:val="center"/>
          </w:tcPr>
          <w:p w14:paraId="314830D5"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DB32F36" w14:textId="0DB07009"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40270589" w14:textId="617131BF"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22323C2C" w14:textId="5299F53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775BA49D" w14:textId="7C3B19DB" w:rsidTr="001B059F">
        <w:trPr>
          <w:trHeight w:val="274"/>
        </w:trPr>
        <w:tc>
          <w:tcPr>
            <w:tcW w:w="355" w:type="dxa"/>
            <w:vMerge/>
            <w:shd w:val="clear" w:color="auto" w:fill="DEEAF6" w:themeFill="accent5" w:themeFillTint="33"/>
            <w:vAlign w:val="center"/>
          </w:tcPr>
          <w:p w14:paraId="68562FD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51DA3E6" w14:textId="44C6CA9B"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FFFFFF" w:themeFill="background1"/>
            <w:vAlign w:val="center"/>
          </w:tcPr>
          <w:p w14:paraId="2CE564E0" w14:textId="4E8E43D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025BD768" w14:textId="3C81F51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997E76A" w14:textId="1863532D" w:rsidTr="001B059F">
        <w:trPr>
          <w:trHeight w:val="274"/>
        </w:trPr>
        <w:tc>
          <w:tcPr>
            <w:tcW w:w="355" w:type="dxa"/>
            <w:vMerge/>
            <w:shd w:val="clear" w:color="auto" w:fill="DEEAF6" w:themeFill="accent5" w:themeFillTint="33"/>
            <w:vAlign w:val="center"/>
          </w:tcPr>
          <w:p w14:paraId="6C62B6D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1C70091" w14:textId="4845915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FFFFFF" w:themeFill="background1"/>
            <w:vAlign w:val="center"/>
          </w:tcPr>
          <w:p w14:paraId="63C64D7F" w14:textId="4BDB45E9"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357AA723" w14:textId="6C339E6E"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60268A9" w14:textId="3D6AC6A0" w:rsidTr="001B059F">
        <w:trPr>
          <w:trHeight w:val="274"/>
        </w:trPr>
        <w:tc>
          <w:tcPr>
            <w:tcW w:w="355" w:type="dxa"/>
            <w:vMerge/>
            <w:shd w:val="clear" w:color="auto" w:fill="DEEAF6" w:themeFill="accent5" w:themeFillTint="33"/>
            <w:vAlign w:val="center"/>
          </w:tcPr>
          <w:p w14:paraId="08224680"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395A506" w14:textId="4D9B479C"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FFFFFF" w:themeFill="background1"/>
            <w:vAlign w:val="center"/>
          </w:tcPr>
          <w:p w14:paraId="66F45233" w14:textId="6592332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4452CAF5" w14:textId="29959C73"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CAF8093" w14:textId="3740E2E2" w:rsidTr="001B059F">
        <w:trPr>
          <w:trHeight w:val="274"/>
        </w:trPr>
        <w:tc>
          <w:tcPr>
            <w:tcW w:w="355" w:type="dxa"/>
            <w:vMerge/>
            <w:shd w:val="clear" w:color="auto" w:fill="DEEAF6" w:themeFill="accent5" w:themeFillTint="33"/>
            <w:vAlign w:val="center"/>
          </w:tcPr>
          <w:p w14:paraId="43EB78AA"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575F814" w14:textId="16AD4F8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66D9CD8D" w14:textId="7B4933B1"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F4CD5B0" w14:textId="4250FEF8" w:rsidR="00A14C78" w:rsidRPr="001B059F" w:rsidRDefault="00A14C78" w:rsidP="001B059F">
            <w:pPr>
              <w:jc w:val="center"/>
              <w:rPr>
                <w:rFonts w:ascii="Arial Narrow" w:hAnsi="Arial Narrow" w:cs="Arial"/>
                <w:color w:val="000000" w:themeColor="text1"/>
                <w:sz w:val="18"/>
                <w:szCs w:val="18"/>
              </w:rPr>
            </w:pPr>
          </w:p>
        </w:tc>
      </w:tr>
      <w:tr w:rsidR="00A14C78" w:rsidRPr="001B059F" w14:paraId="629EAD23" w14:textId="51AE95C1" w:rsidTr="001B059F">
        <w:trPr>
          <w:trHeight w:val="274"/>
        </w:trPr>
        <w:tc>
          <w:tcPr>
            <w:tcW w:w="355" w:type="dxa"/>
            <w:vMerge/>
            <w:shd w:val="clear" w:color="auto" w:fill="DEEAF6" w:themeFill="accent5" w:themeFillTint="33"/>
            <w:vAlign w:val="center"/>
          </w:tcPr>
          <w:p w14:paraId="5EE2CAEA"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3E465E4" w14:textId="11D0837A"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FFFFFF" w:themeFill="background1"/>
            <w:vAlign w:val="center"/>
          </w:tcPr>
          <w:p w14:paraId="3030FE75" w14:textId="084C42B5"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31B3FEA1" w14:textId="599371C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5691CD3E" w14:textId="77777777" w:rsidTr="001B059F">
        <w:trPr>
          <w:trHeight w:val="274"/>
        </w:trPr>
        <w:tc>
          <w:tcPr>
            <w:tcW w:w="355" w:type="dxa"/>
            <w:vMerge/>
            <w:shd w:val="clear" w:color="auto" w:fill="DEEAF6" w:themeFill="accent5" w:themeFillTint="33"/>
            <w:vAlign w:val="center"/>
          </w:tcPr>
          <w:p w14:paraId="4E152CA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D5FF38B" w14:textId="7CAEB90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050ED74B"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56609C7"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CE4213F" w14:textId="77777777" w:rsidTr="001B059F">
        <w:trPr>
          <w:trHeight w:val="274"/>
        </w:trPr>
        <w:tc>
          <w:tcPr>
            <w:tcW w:w="355" w:type="dxa"/>
            <w:vMerge/>
            <w:shd w:val="clear" w:color="auto" w:fill="DEEAF6" w:themeFill="accent5" w:themeFillTint="33"/>
            <w:vAlign w:val="center"/>
          </w:tcPr>
          <w:p w14:paraId="15A87A45"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B675C3D" w14:textId="55FD0C5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474A92AF"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2EA2D9A"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61F8D91" w14:textId="77777777" w:rsidTr="001B059F">
        <w:trPr>
          <w:trHeight w:val="274"/>
        </w:trPr>
        <w:tc>
          <w:tcPr>
            <w:tcW w:w="355" w:type="dxa"/>
            <w:vMerge/>
            <w:shd w:val="clear" w:color="auto" w:fill="DEEAF6" w:themeFill="accent5" w:themeFillTint="33"/>
            <w:vAlign w:val="center"/>
          </w:tcPr>
          <w:p w14:paraId="2E022508"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35373DB" w14:textId="67CE8A6A"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53906B21"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66AB145" w14:textId="77777777" w:rsidR="00A14C78" w:rsidRPr="001B059F" w:rsidRDefault="00A14C78" w:rsidP="001B059F">
            <w:pPr>
              <w:jc w:val="center"/>
              <w:rPr>
                <w:rFonts w:ascii="Arial Narrow" w:hAnsi="Arial Narrow" w:cs="Arial"/>
                <w:color w:val="000000" w:themeColor="text1"/>
                <w:sz w:val="18"/>
                <w:szCs w:val="18"/>
              </w:rPr>
            </w:pPr>
          </w:p>
        </w:tc>
      </w:tr>
    </w:tbl>
    <w:tbl>
      <w:tblPr>
        <w:tblStyle w:val="TableGrid1"/>
        <w:tblW w:w="9355" w:type="dxa"/>
        <w:tblInd w:w="5" w:type="dxa"/>
        <w:tblLook w:val="04A0" w:firstRow="1" w:lastRow="0" w:firstColumn="1" w:lastColumn="0" w:noHBand="0" w:noVBand="1"/>
      </w:tblPr>
      <w:tblGrid>
        <w:gridCol w:w="346"/>
        <w:gridCol w:w="9009"/>
      </w:tblGrid>
      <w:tr w:rsidR="00B07F27" w:rsidRPr="001B059F" w14:paraId="7E0A6A1B" w14:textId="77777777" w:rsidTr="004848D5">
        <w:trPr>
          <w:trHeight w:val="215"/>
        </w:trPr>
        <w:tc>
          <w:tcPr>
            <w:tcW w:w="346" w:type="dxa"/>
            <w:tcBorders>
              <w:top w:val="nil"/>
              <w:left w:val="nil"/>
              <w:bottom w:val="nil"/>
              <w:right w:val="nil"/>
            </w:tcBorders>
            <w:shd w:val="clear" w:color="auto" w:fill="FFFFFF" w:themeFill="background1"/>
          </w:tcPr>
          <w:p w14:paraId="0DA80BD6" w14:textId="77777777" w:rsidR="000A5D8B" w:rsidRPr="001B059F" w:rsidRDefault="000A5D8B" w:rsidP="001B059F">
            <w:pPr>
              <w:rPr>
                <w:rFonts w:ascii="Arial Narrow" w:hAnsi="Arial Narrow" w:cs="Arial"/>
                <w:b/>
                <w:bCs/>
                <w:sz w:val="18"/>
                <w:szCs w:val="18"/>
              </w:rPr>
            </w:pPr>
            <w:r w:rsidRPr="001B059F">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02DACC9D" w14:textId="1799EEA4" w:rsidR="000A5D8B" w:rsidRPr="001B059F" w:rsidRDefault="0024255E" w:rsidP="001B059F">
            <w:pPr>
              <w:rPr>
                <w:rFonts w:ascii="Arial Narrow" w:hAnsi="Arial Narrow" w:cs="Arial"/>
                <w:sz w:val="18"/>
                <w:szCs w:val="18"/>
              </w:rPr>
            </w:pPr>
            <w:r w:rsidRPr="001B059F">
              <w:rPr>
                <w:rFonts w:ascii="Arial Narrow" w:hAnsi="Arial Narrow" w:cs="Arial"/>
                <w:sz w:val="18"/>
                <w:szCs w:val="18"/>
              </w:rPr>
              <w:t xml:space="preserve">Where a minimum building length as a percentage of lot width applies to multiple frontages, the highest frontage classification in the hierarchy </w:t>
            </w:r>
            <w:r w:rsidR="00DC59B7">
              <w:rPr>
                <w:rFonts w:ascii="Arial Narrow" w:hAnsi="Arial Narrow" w:cs="Arial"/>
                <w:sz w:val="18"/>
                <w:szCs w:val="18"/>
              </w:rPr>
              <w:t>shall</w:t>
            </w:r>
            <w:r w:rsidRPr="001B059F">
              <w:rPr>
                <w:rFonts w:ascii="Arial Narrow" w:hAnsi="Arial Narrow" w:cs="Arial"/>
                <w:sz w:val="18"/>
                <w:szCs w:val="18"/>
              </w:rPr>
              <w:t xml:space="preserve"> meet the established standard. In the case of a lot with two frontages, the second frontage </w:t>
            </w:r>
            <w:r w:rsidR="00DC59B7">
              <w:rPr>
                <w:rFonts w:ascii="Arial Narrow" w:hAnsi="Arial Narrow" w:cs="Arial"/>
                <w:sz w:val="18"/>
                <w:szCs w:val="18"/>
              </w:rPr>
              <w:t>shall</w:t>
            </w:r>
            <w:r w:rsidRPr="001B059F">
              <w:rPr>
                <w:rFonts w:ascii="Arial Narrow" w:hAnsi="Arial Narrow" w:cs="Arial"/>
                <w:sz w:val="18"/>
                <w:szCs w:val="18"/>
              </w:rPr>
              <w:t xml:space="preserve"> only meet a standard of 40%. If there are more than two frontages subject to the standard, there is no minimum requirement for any frontage beyond the two highest frontages in the hierarchy. This requirement does not apply to</w:t>
            </w:r>
            <w:r w:rsidR="00A93C6A" w:rsidRPr="001B059F">
              <w:rPr>
                <w:rFonts w:ascii="Arial Narrow" w:hAnsi="Arial Narrow" w:cs="Arial"/>
                <w:sz w:val="18"/>
                <w:szCs w:val="18"/>
              </w:rPr>
              <w:t xml:space="preserve"> </w:t>
            </w:r>
            <w:r w:rsidR="00AA2C90" w:rsidRPr="001B059F">
              <w:rPr>
                <w:rFonts w:ascii="Arial Narrow" w:hAnsi="Arial Narrow" w:cs="Arial"/>
                <w:sz w:val="18"/>
                <w:szCs w:val="18"/>
              </w:rPr>
              <w:t>P</w:t>
            </w:r>
            <w:r w:rsidRPr="001B059F">
              <w:rPr>
                <w:rFonts w:ascii="Arial Narrow" w:hAnsi="Arial Narrow" w:cs="Arial"/>
                <w:sz w:val="18"/>
                <w:szCs w:val="18"/>
              </w:rPr>
              <w:t xml:space="preserve">arkway or </w:t>
            </w:r>
            <w:r w:rsidR="00AA2C90" w:rsidRPr="001B059F">
              <w:rPr>
                <w:rFonts w:ascii="Arial Narrow" w:hAnsi="Arial Narrow" w:cs="Arial"/>
                <w:sz w:val="18"/>
                <w:szCs w:val="18"/>
              </w:rPr>
              <w:t>L</w:t>
            </w:r>
            <w:r w:rsidRPr="001B059F">
              <w:rPr>
                <w:rFonts w:ascii="Arial Narrow" w:hAnsi="Arial Narrow" w:cs="Arial"/>
                <w:sz w:val="18"/>
                <w:szCs w:val="18"/>
              </w:rPr>
              <w:t xml:space="preserve">imited </w:t>
            </w:r>
            <w:r w:rsidR="00AA2C90" w:rsidRPr="001B059F">
              <w:rPr>
                <w:rFonts w:ascii="Arial Narrow" w:hAnsi="Arial Narrow" w:cs="Arial"/>
                <w:sz w:val="18"/>
                <w:szCs w:val="18"/>
              </w:rPr>
              <w:t>A</w:t>
            </w:r>
            <w:r w:rsidRPr="001B059F">
              <w:rPr>
                <w:rFonts w:ascii="Arial Narrow" w:hAnsi="Arial Narrow" w:cs="Arial"/>
                <w:sz w:val="18"/>
                <w:szCs w:val="18"/>
              </w:rPr>
              <w:t>ccess frontages.</w:t>
            </w:r>
          </w:p>
        </w:tc>
      </w:tr>
      <w:tr w:rsidR="00B07F27" w:rsidRPr="001B059F" w14:paraId="407F353F" w14:textId="77777777" w:rsidTr="004848D5">
        <w:trPr>
          <w:trHeight w:val="215"/>
        </w:trPr>
        <w:tc>
          <w:tcPr>
            <w:tcW w:w="346" w:type="dxa"/>
            <w:tcBorders>
              <w:top w:val="nil"/>
              <w:left w:val="nil"/>
              <w:bottom w:val="nil"/>
              <w:right w:val="nil"/>
            </w:tcBorders>
            <w:shd w:val="clear" w:color="auto" w:fill="FFFFFF" w:themeFill="background1"/>
          </w:tcPr>
          <w:p w14:paraId="530C4899" w14:textId="77777777" w:rsidR="000A5D8B" w:rsidRPr="001B059F" w:rsidRDefault="000A5D8B" w:rsidP="001B059F">
            <w:pPr>
              <w:rPr>
                <w:rFonts w:ascii="Arial Narrow" w:hAnsi="Arial Narrow" w:cs="Arial"/>
                <w:b/>
                <w:bCs/>
                <w:sz w:val="18"/>
                <w:szCs w:val="18"/>
              </w:rPr>
            </w:pPr>
            <w:r w:rsidRPr="001B059F">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1949FE69" w14:textId="069F8917" w:rsidR="000A5D8B" w:rsidRPr="001B059F" w:rsidRDefault="002F120B" w:rsidP="001B059F">
            <w:pPr>
              <w:jc w:val="both"/>
              <w:rPr>
                <w:rFonts w:ascii="Arial Narrow" w:hAnsi="Arial Narrow" w:cs="Arial"/>
                <w:sz w:val="18"/>
                <w:szCs w:val="18"/>
              </w:rPr>
            </w:pPr>
            <w:r w:rsidRPr="001B059F">
              <w:rPr>
                <w:rFonts w:ascii="Arial Narrow" w:hAnsi="Arial Narrow" w:cs="Arial"/>
                <w:sz w:val="18"/>
                <w:szCs w:val="18"/>
              </w:rPr>
              <w:t xml:space="preserve">Maximum building length along a frontage does not apply to any frontage located along a </w:t>
            </w:r>
            <w:proofErr w:type="gramStart"/>
            <w:r w:rsidRPr="001B059F">
              <w:rPr>
                <w:rFonts w:ascii="Arial Narrow" w:hAnsi="Arial Narrow" w:cs="Arial"/>
                <w:sz w:val="18"/>
                <w:szCs w:val="18"/>
              </w:rPr>
              <w:t xml:space="preserve">Limited Access </w:t>
            </w:r>
            <w:r w:rsidR="001B059F">
              <w:rPr>
                <w:rFonts w:ascii="Arial Narrow" w:hAnsi="Arial Narrow" w:cs="Arial"/>
                <w:sz w:val="18"/>
                <w:szCs w:val="18"/>
              </w:rPr>
              <w:t>r</w:t>
            </w:r>
            <w:r w:rsidRPr="001B059F">
              <w:rPr>
                <w:rFonts w:ascii="Arial Narrow" w:hAnsi="Arial Narrow" w:cs="Arial"/>
                <w:sz w:val="18"/>
                <w:szCs w:val="18"/>
              </w:rPr>
              <w:t>oad</w:t>
            </w:r>
            <w:proofErr w:type="gramEnd"/>
            <w:r w:rsidRPr="001B059F">
              <w:rPr>
                <w:rFonts w:ascii="Arial Narrow" w:hAnsi="Arial Narrow" w:cs="Arial"/>
                <w:sz w:val="18"/>
                <w:szCs w:val="18"/>
              </w:rPr>
              <w:t>.</w:t>
            </w:r>
            <w:r w:rsidR="00D5652C">
              <w:rPr>
                <w:rFonts w:ascii="Arial Narrow" w:hAnsi="Arial Narrow" w:cs="Arial"/>
                <w:sz w:val="18"/>
                <w:szCs w:val="18"/>
              </w:rPr>
              <w:t xml:space="preserve"> </w:t>
            </w:r>
            <w:r w:rsidR="00D5652C" w:rsidRPr="00CA0862">
              <w:rPr>
                <w:rFonts w:ascii="Arial Narrow" w:hAnsi="Arial Narrow" w:cs="Arial"/>
                <w:sz w:val="18"/>
                <w:szCs w:val="18"/>
              </w:rPr>
              <w:t xml:space="preserve">If any applicable minimum building length exceeds a maximum building length requirement, the maximum building length shall control. </w:t>
            </w:r>
            <w:r w:rsidRPr="001B059F">
              <w:rPr>
                <w:rFonts w:ascii="Arial Narrow" w:hAnsi="Arial Narrow" w:cs="Arial"/>
                <w:sz w:val="18"/>
                <w:szCs w:val="18"/>
              </w:rPr>
              <w:t xml:space="preserve">  </w:t>
            </w:r>
          </w:p>
        </w:tc>
      </w:tr>
      <w:tr w:rsidR="00B07F27" w:rsidRPr="001B059F" w14:paraId="37A5A3E2" w14:textId="77777777" w:rsidTr="004848D5">
        <w:trPr>
          <w:trHeight w:val="215"/>
        </w:trPr>
        <w:tc>
          <w:tcPr>
            <w:tcW w:w="346" w:type="dxa"/>
            <w:tcBorders>
              <w:top w:val="nil"/>
              <w:left w:val="nil"/>
              <w:bottom w:val="nil"/>
              <w:right w:val="nil"/>
            </w:tcBorders>
            <w:shd w:val="clear" w:color="auto" w:fill="FFFFFF" w:themeFill="background1"/>
          </w:tcPr>
          <w:p w14:paraId="49EE3147" w14:textId="55A19532" w:rsidR="000A5D8B" w:rsidRPr="001B059F" w:rsidRDefault="004D3C52" w:rsidP="001B059F">
            <w:pPr>
              <w:rPr>
                <w:rFonts w:ascii="Arial Narrow" w:hAnsi="Arial Narrow" w:cs="Arial"/>
                <w:b/>
                <w:bCs/>
                <w:sz w:val="18"/>
                <w:szCs w:val="18"/>
              </w:rPr>
            </w:pPr>
            <w:r w:rsidRPr="001B059F">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vAlign w:val="center"/>
          </w:tcPr>
          <w:p w14:paraId="51E548D5" w14:textId="63D31A58" w:rsidR="000A5D8B" w:rsidRPr="001B059F" w:rsidRDefault="00FC0B1B" w:rsidP="001B059F">
            <w:pPr>
              <w:rPr>
                <w:rFonts w:ascii="Arial Narrow" w:hAnsi="Arial Narrow" w:cs="Arial"/>
                <w:sz w:val="18"/>
                <w:szCs w:val="18"/>
              </w:rPr>
            </w:pPr>
            <w:r w:rsidRPr="001B059F">
              <w:rPr>
                <w:rFonts w:ascii="Arial Narrow" w:hAnsi="Arial Narrow" w:cs="Arial"/>
                <w:sz w:val="18"/>
                <w:szCs w:val="18"/>
              </w:rPr>
              <w:t>At least 70% of the total ground floor</w:t>
            </w:r>
            <w:r w:rsidR="0093012A">
              <w:rPr>
                <w:rFonts w:ascii="Arial Narrow" w:hAnsi="Arial Narrow" w:cs="Arial"/>
                <w:sz w:val="18"/>
                <w:szCs w:val="18"/>
              </w:rPr>
              <w:t xml:space="preserve"> for nonresidential uses and 30% for residential uses</w:t>
            </w:r>
            <w:r w:rsidRPr="001B059F">
              <w:rPr>
                <w:rFonts w:ascii="Arial Narrow" w:hAnsi="Arial Narrow" w:cs="Arial"/>
                <w:sz w:val="18"/>
                <w:szCs w:val="18"/>
              </w:rPr>
              <w:t>, measured as a percentage of the interior space, shall meet the minimum ground floor height requirement.</w:t>
            </w:r>
          </w:p>
        </w:tc>
      </w:tr>
      <w:tr w:rsidR="00AD49A6" w:rsidRPr="001B059F" w14:paraId="31886EE7" w14:textId="77777777" w:rsidTr="004848D5">
        <w:trPr>
          <w:trHeight w:val="215"/>
        </w:trPr>
        <w:tc>
          <w:tcPr>
            <w:tcW w:w="346" w:type="dxa"/>
            <w:tcBorders>
              <w:top w:val="nil"/>
              <w:left w:val="nil"/>
              <w:bottom w:val="nil"/>
              <w:right w:val="nil"/>
            </w:tcBorders>
            <w:shd w:val="clear" w:color="auto" w:fill="FFFFFF" w:themeFill="background1"/>
          </w:tcPr>
          <w:p w14:paraId="287E9662" w14:textId="136E0969" w:rsidR="00AD49A6" w:rsidRPr="001B059F" w:rsidRDefault="00AD49A6" w:rsidP="001B059F">
            <w:pPr>
              <w:rPr>
                <w:rFonts w:ascii="Arial Narrow" w:hAnsi="Arial Narrow" w:cs="Arial"/>
                <w:b/>
                <w:bCs/>
                <w:sz w:val="18"/>
                <w:szCs w:val="18"/>
                <w:vertAlign w:val="superscript"/>
              </w:rPr>
            </w:pPr>
            <w:r>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vAlign w:val="center"/>
          </w:tcPr>
          <w:p w14:paraId="1B5BF310" w14:textId="3CFCAA09" w:rsidR="00AD49A6" w:rsidRPr="001B059F" w:rsidRDefault="00AD49A6" w:rsidP="001B059F">
            <w:pPr>
              <w:rPr>
                <w:rFonts w:ascii="Arial Narrow" w:hAnsi="Arial Narrow" w:cs="Arial"/>
                <w:sz w:val="18"/>
                <w:szCs w:val="18"/>
              </w:rPr>
            </w:pPr>
            <w:r w:rsidRPr="0022586D">
              <w:rPr>
                <w:rFonts w:ascii="Arial Narrow" w:hAnsi="Arial Narrow" w:cs="Arial"/>
                <w:sz w:val="18"/>
                <w:szCs w:val="18"/>
              </w:rPr>
              <w:t>Minimum ground floor height</w:t>
            </w:r>
            <w:r>
              <w:rPr>
                <w:rFonts w:ascii="Arial Narrow" w:hAnsi="Arial Narrow" w:cs="Arial"/>
                <w:sz w:val="18"/>
                <w:szCs w:val="18"/>
              </w:rPr>
              <w:t xml:space="preserve"> may </w:t>
            </w:r>
            <w:r w:rsidRPr="0022586D">
              <w:rPr>
                <w:rFonts w:ascii="Arial Narrow" w:hAnsi="Arial Narrow" w:cs="Arial"/>
                <w:sz w:val="18"/>
                <w:szCs w:val="18"/>
              </w:rPr>
              <w:t xml:space="preserve">be reduced by the Zoning </w:t>
            </w:r>
            <w:r>
              <w:rPr>
                <w:rFonts w:ascii="Arial Narrow" w:hAnsi="Arial Narrow" w:cs="Arial"/>
                <w:sz w:val="18"/>
                <w:szCs w:val="18"/>
              </w:rPr>
              <w:t>A</w:t>
            </w:r>
            <w:r w:rsidRPr="0022586D">
              <w:rPr>
                <w:rFonts w:ascii="Arial Narrow" w:hAnsi="Arial Narrow" w:cs="Arial"/>
                <w:sz w:val="18"/>
                <w:szCs w:val="18"/>
              </w:rPr>
              <w:t xml:space="preserve">dministrator if there </w:t>
            </w:r>
            <w:proofErr w:type="gramStart"/>
            <w:r w:rsidRPr="0022586D">
              <w:rPr>
                <w:rFonts w:ascii="Arial Narrow" w:hAnsi="Arial Narrow" w:cs="Arial"/>
                <w:sz w:val="18"/>
                <w:szCs w:val="18"/>
              </w:rPr>
              <w:t>are</w:t>
            </w:r>
            <w:proofErr w:type="gramEnd"/>
            <w:r w:rsidRPr="0022586D">
              <w:rPr>
                <w:rFonts w:ascii="Arial Narrow" w:hAnsi="Arial Narrow" w:cs="Arial"/>
                <w:sz w:val="18"/>
                <w:szCs w:val="18"/>
              </w:rPr>
              <w:t xml:space="preserve"> site constraints that would cause practical difficulty.</w:t>
            </w:r>
          </w:p>
        </w:tc>
      </w:tr>
      <w:tr w:rsidR="009454A2" w:rsidRPr="001B059F" w14:paraId="537AD2AC" w14:textId="77777777" w:rsidTr="004848D5">
        <w:trPr>
          <w:trHeight w:val="215"/>
        </w:trPr>
        <w:tc>
          <w:tcPr>
            <w:tcW w:w="346" w:type="dxa"/>
            <w:tcBorders>
              <w:top w:val="nil"/>
              <w:left w:val="nil"/>
              <w:bottom w:val="nil"/>
              <w:right w:val="nil"/>
            </w:tcBorders>
            <w:shd w:val="clear" w:color="auto" w:fill="FFFFFF" w:themeFill="background1"/>
          </w:tcPr>
          <w:p w14:paraId="207C209B" w14:textId="1575774E" w:rsidR="009454A2" w:rsidRPr="001C7DEF" w:rsidRDefault="00604372" w:rsidP="001B059F">
            <w:pPr>
              <w:rPr>
                <w:rFonts w:ascii="Arial Narrow" w:hAnsi="Arial Narrow" w:cs="Arial"/>
                <w:b/>
                <w:bCs/>
                <w:sz w:val="18"/>
                <w:szCs w:val="18"/>
                <w:highlight w:val="yellow"/>
                <w:vertAlign w:val="superscript"/>
              </w:rPr>
            </w:pPr>
            <w:r w:rsidRPr="00260DC1">
              <w:rPr>
                <w:rFonts w:ascii="Arial Narrow" w:hAnsi="Arial Narrow" w:cs="Arial"/>
                <w:b/>
                <w:bCs/>
                <w:sz w:val="18"/>
                <w:szCs w:val="18"/>
                <w:vertAlign w:val="superscript"/>
              </w:rPr>
              <w:t>5</w:t>
            </w:r>
          </w:p>
        </w:tc>
        <w:tc>
          <w:tcPr>
            <w:tcW w:w="9009" w:type="dxa"/>
            <w:tcBorders>
              <w:top w:val="nil"/>
              <w:left w:val="nil"/>
              <w:bottom w:val="nil"/>
              <w:right w:val="nil"/>
            </w:tcBorders>
            <w:shd w:val="clear" w:color="auto" w:fill="FFFFFF" w:themeFill="background1"/>
            <w:vAlign w:val="center"/>
          </w:tcPr>
          <w:p w14:paraId="3760744F" w14:textId="25E43F8D" w:rsidR="009F2F91" w:rsidRPr="001C7DEF" w:rsidRDefault="009F2F91" w:rsidP="009F2F91">
            <w:pPr>
              <w:rPr>
                <w:rFonts w:ascii="Arial Narrow" w:hAnsi="Arial Narrow" w:cs="Arial"/>
                <w:sz w:val="18"/>
                <w:szCs w:val="18"/>
              </w:rPr>
            </w:pPr>
            <w:r w:rsidRPr="001C7DEF">
              <w:rPr>
                <w:rFonts w:ascii="Arial Narrow" w:hAnsi="Arial Narrow" w:cs="Arial"/>
                <w:sz w:val="18"/>
                <w:szCs w:val="18"/>
              </w:rPr>
              <w:t xml:space="preserve">On a site bounded by three or more street frontages, public open space that abuts a street frontage shall be counted as meeting building length for the purpose of </w:t>
            </w:r>
            <w:r w:rsidR="00343BF7" w:rsidRPr="001C7DEF">
              <w:rPr>
                <w:rFonts w:ascii="Arial Narrow" w:hAnsi="Arial Narrow" w:cs="Arial"/>
                <w:sz w:val="18"/>
                <w:szCs w:val="18"/>
              </w:rPr>
              <w:t>calculating</w:t>
            </w:r>
            <w:r w:rsidRPr="001C7DEF">
              <w:rPr>
                <w:rFonts w:ascii="Arial Narrow" w:hAnsi="Arial Narrow" w:cs="Arial"/>
                <w:sz w:val="18"/>
                <w:szCs w:val="18"/>
              </w:rPr>
              <w:t xml:space="preserve"> Minimum Building Length as a Percentage of Lot Width Along Frontage, subject to the following standards:</w:t>
            </w:r>
          </w:p>
          <w:p w14:paraId="0A5AC15C" w14:textId="381CAB5A"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This provision shall only be applied to a single street frontage.</w:t>
            </w:r>
          </w:p>
          <w:p w14:paraId="56B8A4E9" w14:textId="5D03DB4C"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 xml:space="preserve">The abutting public open space shall comply with any applicable public open space standards of Table 16-2: Design of Open </w:t>
            </w:r>
            <w:r w:rsidR="005C5960" w:rsidRPr="001C7DEF">
              <w:rPr>
                <w:rFonts w:ascii="Arial Narrow" w:hAnsi="Arial Narrow" w:cs="Arial"/>
                <w:sz w:val="18"/>
                <w:szCs w:val="18"/>
              </w:rPr>
              <w:t xml:space="preserve">       </w:t>
            </w:r>
            <w:r w:rsidRPr="001C7DEF">
              <w:rPr>
                <w:rFonts w:ascii="Arial Narrow" w:hAnsi="Arial Narrow" w:cs="Arial"/>
                <w:sz w:val="18"/>
                <w:szCs w:val="18"/>
              </w:rPr>
              <w:t>Space.</w:t>
            </w:r>
          </w:p>
          <w:p w14:paraId="049B6B38" w14:textId="2026EA92"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The abutting public open space is no more than an average of 24 inches above or below grade of the adjacent sidewalk.</w:t>
            </w:r>
          </w:p>
          <w:p w14:paraId="596CFE63" w14:textId="2D48E4F7"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The abutting public open space is a minimum of 50 feet in depth measured from the future right-of-way line.</w:t>
            </w:r>
          </w:p>
          <w:p w14:paraId="4567FAE6" w14:textId="5906E29F"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If no building abuts the public open space, or no building is located along the subject frontage, the established setback shall be determined as the terminus of any required build-to zone along the subject frontage.</w:t>
            </w:r>
          </w:p>
          <w:p w14:paraId="54FB9B1F" w14:textId="62E7643A" w:rsidR="009454A2"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Any provided off-street parking shall be located behind this determined established setback.</w:t>
            </w:r>
          </w:p>
        </w:tc>
      </w:tr>
      <w:tr w:rsidR="00913FE4" w:rsidRPr="001B059F" w14:paraId="0B19069C" w14:textId="77777777" w:rsidTr="004848D5">
        <w:trPr>
          <w:trHeight w:val="215"/>
        </w:trPr>
        <w:tc>
          <w:tcPr>
            <w:tcW w:w="346" w:type="dxa"/>
            <w:tcBorders>
              <w:top w:val="nil"/>
              <w:left w:val="nil"/>
              <w:bottom w:val="nil"/>
              <w:right w:val="nil"/>
            </w:tcBorders>
            <w:shd w:val="clear" w:color="auto" w:fill="FFFFFF" w:themeFill="background1"/>
          </w:tcPr>
          <w:p w14:paraId="1120DAC3" w14:textId="1E8FD4FC" w:rsidR="00913FE4" w:rsidRPr="001C7DEF" w:rsidRDefault="00913FE4" w:rsidP="001B059F">
            <w:pPr>
              <w:rPr>
                <w:rFonts w:ascii="Arial Narrow" w:hAnsi="Arial Narrow" w:cs="Arial"/>
                <w:b/>
                <w:bCs/>
                <w:sz w:val="18"/>
                <w:szCs w:val="18"/>
                <w:highlight w:val="yellow"/>
                <w:vertAlign w:val="superscript"/>
              </w:rPr>
            </w:pPr>
            <w:r w:rsidRPr="001C7DEF">
              <w:rPr>
                <w:rFonts w:ascii="Arial Narrow" w:hAnsi="Arial Narrow" w:cs="Arial"/>
                <w:b/>
                <w:bCs/>
                <w:sz w:val="18"/>
                <w:szCs w:val="18"/>
                <w:vertAlign w:val="superscript"/>
              </w:rPr>
              <w:t>6</w:t>
            </w:r>
          </w:p>
        </w:tc>
        <w:tc>
          <w:tcPr>
            <w:tcW w:w="9009" w:type="dxa"/>
            <w:tcBorders>
              <w:top w:val="nil"/>
              <w:left w:val="nil"/>
              <w:bottom w:val="nil"/>
              <w:right w:val="nil"/>
            </w:tcBorders>
            <w:shd w:val="clear" w:color="auto" w:fill="FFFFFF" w:themeFill="background1"/>
            <w:vAlign w:val="center"/>
          </w:tcPr>
          <w:p w14:paraId="347517A6" w14:textId="26FFF2FE" w:rsidR="00913FE4" w:rsidRPr="001C7DEF" w:rsidRDefault="00BE123A" w:rsidP="001B059F">
            <w:pPr>
              <w:rPr>
                <w:rFonts w:ascii="Arial Narrow" w:hAnsi="Arial Narrow" w:cs="Arial"/>
                <w:sz w:val="18"/>
                <w:szCs w:val="18"/>
              </w:rPr>
            </w:pPr>
            <w:r w:rsidRPr="001C7DEF">
              <w:rPr>
                <w:rFonts w:ascii="Arial Narrow" w:hAnsi="Arial Narrow" w:cs="Arial"/>
                <w:sz w:val="18"/>
                <w:szCs w:val="18"/>
              </w:rPr>
              <w:t xml:space="preserve">Required landscape yards are excluded from the lot width dimension for the purposes of calculating </w:t>
            </w:r>
            <w:r w:rsidR="00343BF7" w:rsidRPr="001C7DEF">
              <w:rPr>
                <w:rFonts w:ascii="Arial Narrow" w:hAnsi="Arial Narrow" w:cs="Arial"/>
                <w:sz w:val="18"/>
                <w:szCs w:val="18"/>
              </w:rPr>
              <w:t>Minimum Building Length as a Percentage of Lot Width Along Frontage</w:t>
            </w:r>
            <w:r w:rsidRPr="001C7DEF">
              <w:rPr>
                <w:rFonts w:ascii="Arial Narrow" w:hAnsi="Arial Narrow" w:cs="Arial"/>
                <w:sz w:val="18"/>
                <w:szCs w:val="18"/>
              </w:rPr>
              <w:t>.</w:t>
            </w:r>
          </w:p>
        </w:tc>
      </w:tr>
    </w:tbl>
    <w:p w14:paraId="6D49A560" w14:textId="1A59264E" w:rsidR="001B14C3" w:rsidRDefault="001B14C3" w:rsidP="001B059F">
      <w:pPr>
        <w:rPr>
          <w:rFonts w:ascii="Arial" w:hAnsi="Arial" w:cs="Arial"/>
          <w:b/>
          <w:bCs/>
          <w:sz w:val="18"/>
          <w:szCs w:val="18"/>
        </w:rPr>
      </w:pPr>
    </w:p>
    <w:p w14:paraId="691F34F5" w14:textId="77777777" w:rsidR="001B14C3" w:rsidRDefault="001B14C3">
      <w:pPr>
        <w:rPr>
          <w:rFonts w:ascii="Arial" w:hAnsi="Arial" w:cs="Arial"/>
          <w:b/>
          <w:bCs/>
          <w:sz w:val="18"/>
          <w:szCs w:val="18"/>
        </w:rPr>
      </w:pPr>
      <w:r>
        <w:rPr>
          <w:rFonts w:ascii="Arial" w:hAnsi="Arial" w:cs="Arial"/>
          <w:b/>
          <w:bCs/>
          <w:sz w:val="18"/>
          <w:szCs w:val="18"/>
        </w:rPr>
        <w:br w:type="page"/>
      </w:r>
    </w:p>
    <w:p w14:paraId="657A27E3" w14:textId="77777777" w:rsidR="00365AB1" w:rsidRDefault="00365AB1" w:rsidP="001B059F">
      <w:pPr>
        <w:rPr>
          <w:rFonts w:ascii="Arial" w:hAnsi="Arial" w:cs="Arial"/>
          <w:b/>
          <w:bCs/>
          <w:sz w:val="18"/>
          <w:szCs w:val="18"/>
        </w:rPr>
      </w:pPr>
    </w:p>
    <w:p w14:paraId="5213892E" w14:textId="3852443D" w:rsidR="00997392" w:rsidRDefault="00977949" w:rsidP="001B059F">
      <w:pPr>
        <w:rPr>
          <w:rFonts w:ascii="Arial" w:hAnsi="Arial" w:cs="Arial"/>
          <w:b/>
          <w:bCs/>
          <w:sz w:val="18"/>
          <w:szCs w:val="18"/>
        </w:rPr>
      </w:pPr>
      <w:r>
        <w:rPr>
          <w:rFonts w:ascii="Arial" w:hAnsi="Arial" w:cs="Arial"/>
          <w:b/>
          <w:bCs/>
          <w:sz w:val="18"/>
          <w:szCs w:val="18"/>
        </w:rPr>
        <w:t>F</w:t>
      </w:r>
      <w:r w:rsidR="00997392" w:rsidRPr="006824F2">
        <w:rPr>
          <w:rFonts w:ascii="Arial" w:hAnsi="Arial" w:cs="Arial"/>
          <w:b/>
          <w:bCs/>
          <w:sz w:val="18"/>
          <w:szCs w:val="18"/>
        </w:rPr>
        <w:t xml:space="preserve">. </w:t>
      </w:r>
      <w:r w:rsidR="00997392" w:rsidRPr="006824F2">
        <w:rPr>
          <w:rFonts w:ascii="Arial" w:hAnsi="Arial" w:cs="Arial"/>
          <w:b/>
          <w:bCs/>
          <w:sz w:val="18"/>
          <w:szCs w:val="18"/>
        </w:rPr>
        <w:tab/>
      </w:r>
      <w:r w:rsidR="00997392">
        <w:rPr>
          <w:rFonts w:ascii="Arial" w:hAnsi="Arial" w:cs="Arial"/>
          <w:b/>
          <w:bCs/>
          <w:sz w:val="18"/>
          <w:szCs w:val="18"/>
        </w:rPr>
        <w:t>Transparency</w:t>
      </w:r>
    </w:p>
    <w:p w14:paraId="5282807A" w14:textId="33650BE4" w:rsidR="00997392" w:rsidRPr="00A94ACE" w:rsidRDefault="00997392" w:rsidP="001B059F">
      <w:pPr>
        <w:rPr>
          <w:rFonts w:ascii="Arial" w:hAnsi="Arial" w:cs="Arial"/>
          <w:sz w:val="18"/>
          <w:szCs w:val="18"/>
        </w:rPr>
      </w:pPr>
      <w:r>
        <w:rPr>
          <w:rFonts w:ascii="Arial" w:hAnsi="Arial" w:cs="Arial"/>
          <w:sz w:val="18"/>
          <w:szCs w:val="18"/>
        </w:rPr>
        <w:t>Transparency</w:t>
      </w:r>
      <w:r w:rsidRPr="00A94ACE">
        <w:rPr>
          <w:rFonts w:ascii="Arial" w:hAnsi="Arial" w:cs="Arial"/>
          <w:sz w:val="18"/>
          <w:szCs w:val="18"/>
        </w:rPr>
        <w:t xml:space="preserve"> standards govern the </w:t>
      </w:r>
      <w:r>
        <w:rPr>
          <w:rFonts w:ascii="Arial" w:hAnsi="Arial" w:cs="Arial"/>
          <w:sz w:val="18"/>
          <w:szCs w:val="18"/>
        </w:rPr>
        <w:t xml:space="preserve">required amount of ground floor and upper </w:t>
      </w:r>
      <w:r w:rsidR="008B7352">
        <w:rPr>
          <w:rFonts w:ascii="Arial" w:hAnsi="Arial" w:cs="Arial"/>
          <w:sz w:val="18"/>
          <w:szCs w:val="18"/>
        </w:rPr>
        <w:t xml:space="preserve">floor </w:t>
      </w:r>
      <w:proofErr w:type="gramStart"/>
      <w:r>
        <w:rPr>
          <w:rFonts w:ascii="Arial" w:hAnsi="Arial" w:cs="Arial"/>
          <w:sz w:val="18"/>
          <w:szCs w:val="18"/>
        </w:rPr>
        <w:t>transparency</w:t>
      </w:r>
      <w:r w:rsidRPr="00A94ACE">
        <w:rPr>
          <w:rFonts w:ascii="Arial" w:hAnsi="Arial" w:cs="Arial"/>
          <w:sz w:val="18"/>
          <w:szCs w:val="18"/>
        </w:rPr>
        <w:t>, and</w:t>
      </w:r>
      <w:proofErr w:type="gramEnd"/>
      <w:r w:rsidRPr="00A94ACE">
        <w:rPr>
          <w:rFonts w:ascii="Arial" w:hAnsi="Arial" w:cs="Arial"/>
          <w:sz w:val="18"/>
          <w:szCs w:val="18"/>
        </w:rPr>
        <w:t xml:space="preserve"> are intended to facilitate the enhancement of a pedestrian-oriented environment.</w:t>
      </w:r>
    </w:p>
    <w:p w14:paraId="165EE8BE" w14:textId="77777777" w:rsidR="00997392" w:rsidRDefault="00997392" w:rsidP="001B059F">
      <w:pPr>
        <w:rPr>
          <w:rFonts w:ascii="Arial" w:hAnsi="Arial" w:cs="Arial"/>
          <w:b/>
          <w:bCs/>
          <w:sz w:val="18"/>
          <w:szCs w:val="18"/>
        </w:rPr>
      </w:pPr>
    </w:p>
    <w:tbl>
      <w:tblPr>
        <w:tblStyle w:val="TableGrid"/>
        <w:tblW w:w="9530" w:type="dxa"/>
        <w:tblLayout w:type="fixed"/>
        <w:tblLook w:val="04A0" w:firstRow="1" w:lastRow="0" w:firstColumn="1" w:lastColumn="0" w:noHBand="0" w:noVBand="1"/>
      </w:tblPr>
      <w:tblGrid>
        <w:gridCol w:w="355"/>
        <w:gridCol w:w="6655"/>
        <w:gridCol w:w="1260"/>
        <w:gridCol w:w="1260"/>
      </w:tblGrid>
      <w:tr w:rsidR="00143098" w:rsidRPr="001B059F" w14:paraId="0C4277AE" w14:textId="77777777" w:rsidTr="00F5257C">
        <w:trPr>
          <w:tblHeader/>
        </w:trPr>
        <w:tc>
          <w:tcPr>
            <w:tcW w:w="9530" w:type="dxa"/>
            <w:gridSpan w:val="4"/>
            <w:shd w:val="clear" w:color="auto" w:fill="1F4E79" w:themeFill="accent5" w:themeFillShade="80"/>
          </w:tcPr>
          <w:p w14:paraId="14F814CB" w14:textId="1C08AE3F" w:rsidR="00143098" w:rsidRPr="001B059F" w:rsidRDefault="00F27405"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6-5: </w:t>
            </w:r>
            <w:r w:rsidR="00143098">
              <w:rPr>
                <w:rFonts w:ascii="Arial Narrow" w:hAnsi="Arial Narrow" w:cs="Arial"/>
                <w:b/>
                <w:color w:val="FFFFFF" w:themeColor="background1"/>
                <w:sz w:val="18"/>
                <w:szCs w:val="18"/>
              </w:rPr>
              <w:t>Commercial Zoning Districts Transparency Standards</w:t>
            </w:r>
          </w:p>
        </w:tc>
      </w:tr>
      <w:tr w:rsidR="00A14C78" w:rsidRPr="001B059F" w14:paraId="46C44C58" w14:textId="0568A58E" w:rsidTr="001B059F">
        <w:trPr>
          <w:tblHeader/>
        </w:trPr>
        <w:tc>
          <w:tcPr>
            <w:tcW w:w="355" w:type="dxa"/>
            <w:shd w:val="clear" w:color="auto" w:fill="1F4E79" w:themeFill="accent5" w:themeFillShade="80"/>
          </w:tcPr>
          <w:p w14:paraId="35C687DC" w14:textId="77777777" w:rsidR="00A14C78" w:rsidRPr="001B059F" w:rsidRDefault="00A14C78" w:rsidP="001B059F">
            <w:pPr>
              <w:rPr>
                <w:rFonts w:ascii="Arial Narrow" w:hAnsi="Arial Narrow" w:cs="Arial"/>
                <w:b/>
                <w:bCs/>
                <w:color w:val="FFFFFF" w:themeColor="background1"/>
                <w:sz w:val="18"/>
                <w:szCs w:val="18"/>
              </w:rPr>
            </w:pPr>
          </w:p>
        </w:tc>
        <w:tc>
          <w:tcPr>
            <w:tcW w:w="6655" w:type="dxa"/>
            <w:shd w:val="clear" w:color="auto" w:fill="1F4E79" w:themeFill="accent5" w:themeFillShade="80"/>
          </w:tcPr>
          <w:p w14:paraId="713C452E" w14:textId="0B437405" w:rsidR="00A14C78" w:rsidRPr="001B059F" w:rsidRDefault="00A14C78" w:rsidP="001B059F">
            <w:pPr>
              <w:rPr>
                <w:rFonts w:ascii="Arial Narrow" w:hAnsi="Arial Narrow" w:cs="Arial"/>
                <w:b/>
                <w:bCs/>
                <w:color w:val="FFFFFF" w:themeColor="background1"/>
                <w:sz w:val="18"/>
                <w:szCs w:val="18"/>
              </w:rPr>
            </w:pPr>
          </w:p>
        </w:tc>
        <w:tc>
          <w:tcPr>
            <w:tcW w:w="1260" w:type="dxa"/>
            <w:shd w:val="clear" w:color="auto" w:fill="1F4E79" w:themeFill="accent5" w:themeFillShade="80"/>
          </w:tcPr>
          <w:p w14:paraId="3036F0E5" w14:textId="36D7F558" w:rsidR="00A14C78" w:rsidRPr="001B059F" w:rsidRDefault="00A14C78"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260" w:type="dxa"/>
            <w:shd w:val="clear" w:color="auto" w:fill="1F4E79" w:themeFill="accent5" w:themeFillShade="80"/>
          </w:tcPr>
          <w:p w14:paraId="1AA3EE50" w14:textId="18931977" w:rsidR="00A14C78" w:rsidRPr="001B059F" w:rsidRDefault="00A14C78"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A14C78" w:rsidRPr="001B059F" w14:paraId="39C29BE6" w14:textId="4017C954" w:rsidTr="001B059F">
        <w:tblPrEx>
          <w:jc w:val="center"/>
        </w:tblPrEx>
        <w:trPr>
          <w:trHeight w:val="288"/>
          <w:jc w:val="center"/>
        </w:trPr>
        <w:tc>
          <w:tcPr>
            <w:tcW w:w="355" w:type="dxa"/>
            <w:shd w:val="clear" w:color="auto" w:fill="DEEAF6" w:themeFill="accent5" w:themeFillTint="33"/>
            <w:vAlign w:val="center"/>
          </w:tcPr>
          <w:p w14:paraId="2FC7B1EB" w14:textId="5FC1F7B1" w:rsidR="00A14C78" w:rsidRPr="001B059F" w:rsidRDefault="00844C93"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9175" w:type="dxa"/>
            <w:gridSpan w:val="3"/>
            <w:shd w:val="clear" w:color="auto" w:fill="DEEAF6" w:themeFill="accent5" w:themeFillTint="33"/>
            <w:vAlign w:val="center"/>
          </w:tcPr>
          <w:p w14:paraId="6B937594" w14:textId="3D022AA5" w:rsidR="00A14C78" w:rsidRPr="001B059F" w:rsidRDefault="00A14C78" w:rsidP="001B059F">
            <w:pPr>
              <w:rPr>
                <w:rFonts w:ascii="Arial Narrow" w:hAnsi="Arial Narrow" w:cs="Arial"/>
                <w:sz w:val="18"/>
                <w:szCs w:val="18"/>
              </w:rPr>
            </w:pPr>
            <w:r w:rsidRPr="001B059F">
              <w:rPr>
                <w:rFonts w:ascii="Arial Narrow" w:hAnsi="Arial Narrow" w:cs="Arial"/>
                <w:b/>
                <w:bCs/>
                <w:sz w:val="18"/>
                <w:szCs w:val="18"/>
              </w:rPr>
              <w:t xml:space="preserve">Ground Floor Transparency </w:t>
            </w:r>
            <w:r w:rsidRPr="001B059F">
              <w:rPr>
                <w:rFonts w:ascii="Arial Narrow" w:hAnsi="Arial Narrow" w:cs="Arial"/>
                <w:sz w:val="18"/>
                <w:szCs w:val="18"/>
              </w:rPr>
              <w:t>(</w:t>
            </w:r>
            <w:r w:rsidR="00B557AF" w:rsidRPr="001B059F">
              <w:rPr>
                <w:rFonts w:ascii="Arial Narrow" w:hAnsi="Arial Narrow" w:cs="Arial"/>
                <w:sz w:val="18"/>
                <w:szCs w:val="18"/>
              </w:rPr>
              <w:t>% of wall area between 3’ and 10’ from grade</w:t>
            </w:r>
            <w:r w:rsidR="0011140C" w:rsidRPr="00260DC1">
              <w:rPr>
                <w:rFonts w:ascii="Arial Narrow" w:hAnsi="Arial Narrow" w:cs="Arial"/>
                <w:sz w:val="18"/>
                <w:szCs w:val="18"/>
              </w:rPr>
              <w:t>; Per building</w:t>
            </w:r>
            <w:r w:rsidR="00B557AF" w:rsidRPr="001B059F">
              <w:rPr>
                <w:rFonts w:ascii="Arial Narrow" w:hAnsi="Arial Narrow" w:cs="Arial"/>
                <w:sz w:val="18"/>
                <w:szCs w:val="18"/>
              </w:rPr>
              <w:t>)</w:t>
            </w:r>
          </w:p>
        </w:tc>
      </w:tr>
      <w:tr w:rsidR="00A14C78" w:rsidRPr="001B059F" w14:paraId="5C094A0E" w14:textId="13129558" w:rsidTr="001B059F">
        <w:trPr>
          <w:trHeight w:val="274"/>
        </w:trPr>
        <w:tc>
          <w:tcPr>
            <w:tcW w:w="355" w:type="dxa"/>
            <w:vMerge w:val="restart"/>
            <w:shd w:val="clear" w:color="auto" w:fill="DEEAF6" w:themeFill="accent5" w:themeFillTint="33"/>
            <w:vAlign w:val="center"/>
          </w:tcPr>
          <w:p w14:paraId="62E9483D"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79E3A1D0" w14:textId="57BC3ED8"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260" w:type="dxa"/>
            <w:shd w:val="clear" w:color="auto" w:fill="FFFFFF" w:themeFill="background1"/>
            <w:vAlign w:val="center"/>
          </w:tcPr>
          <w:p w14:paraId="3ADA194C" w14:textId="3B4AA40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c>
          <w:tcPr>
            <w:tcW w:w="1260" w:type="dxa"/>
            <w:shd w:val="clear" w:color="auto" w:fill="FFFFFF" w:themeFill="background1"/>
            <w:vAlign w:val="center"/>
          </w:tcPr>
          <w:p w14:paraId="4AF81E12" w14:textId="08AE7642"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r>
      <w:tr w:rsidR="00A14C78" w:rsidRPr="001B059F" w14:paraId="693FC1B5" w14:textId="2BA66EDC" w:rsidTr="001B059F">
        <w:trPr>
          <w:trHeight w:val="274"/>
        </w:trPr>
        <w:tc>
          <w:tcPr>
            <w:tcW w:w="355" w:type="dxa"/>
            <w:vMerge/>
            <w:shd w:val="clear" w:color="auto" w:fill="DEEAF6" w:themeFill="accent5" w:themeFillTint="33"/>
            <w:vAlign w:val="center"/>
          </w:tcPr>
          <w:p w14:paraId="22A6AB0F"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6B6AE5EE" w14:textId="50AD7FC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260" w:type="dxa"/>
            <w:shd w:val="clear" w:color="auto" w:fill="FFFFFF" w:themeFill="background1"/>
            <w:vAlign w:val="center"/>
          </w:tcPr>
          <w:p w14:paraId="6DA18A33" w14:textId="22DE8F80"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2AF7AAFD" w14:textId="72579185"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3EAEC165" w14:textId="7A67872B" w:rsidTr="001B059F">
        <w:trPr>
          <w:trHeight w:val="274"/>
        </w:trPr>
        <w:tc>
          <w:tcPr>
            <w:tcW w:w="355" w:type="dxa"/>
            <w:vMerge/>
            <w:shd w:val="clear" w:color="auto" w:fill="DEEAF6" w:themeFill="accent5" w:themeFillTint="33"/>
            <w:vAlign w:val="center"/>
          </w:tcPr>
          <w:p w14:paraId="51FD0FEC"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4DF72E45" w14:textId="3592DE9F"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260" w:type="dxa"/>
            <w:shd w:val="clear" w:color="auto" w:fill="FFFFFF" w:themeFill="background1"/>
            <w:vAlign w:val="center"/>
          </w:tcPr>
          <w:p w14:paraId="37226CA5" w14:textId="15330D5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70B985F6" w14:textId="744799EC"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B07031F" w14:textId="18552CA0" w:rsidTr="001B059F">
        <w:trPr>
          <w:trHeight w:val="274"/>
        </w:trPr>
        <w:tc>
          <w:tcPr>
            <w:tcW w:w="355" w:type="dxa"/>
            <w:vMerge/>
            <w:shd w:val="clear" w:color="auto" w:fill="DEEAF6" w:themeFill="accent5" w:themeFillTint="33"/>
            <w:vAlign w:val="center"/>
          </w:tcPr>
          <w:p w14:paraId="7900D721"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13E1628" w14:textId="617CF1E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260" w:type="dxa"/>
            <w:shd w:val="clear" w:color="auto" w:fill="FFFFFF" w:themeFill="background1"/>
            <w:vAlign w:val="center"/>
          </w:tcPr>
          <w:p w14:paraId="4703E222" w14:textId="3D79355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169DAC27" w14:textId="79D9463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51AEAE3" w14:textId="39E20639" w:rsidTr="001B059F">
        <w:trPr>
          <w:trHeight w:val="274"/>
        </w:trPr>
        <w:tc>
          <w:tcPr>
            <w:tcW w:w="355" w:type="dxa"/>
            <w:vMerge/>
            <w:shd w:val="clear" w:color="auto" w:fill="DEEAF6" w:themeFill="accent5" w:themeFillTint="33"/>
            <w:vAlign w:val="center"/>
          </w:tcPr>
          <w:p w14:paraId="32A8E813"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70FB51F" w14:textId="1159F0C9"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260" w:type="dxa"/>
            <w:shd w:val="clear" w:color="auto" w:fill="D9D9D9" w:themeFill="background1" w:themeFillShade="D9"/>
            <w:vAlign w:val="center"/>
          </w:tcPr>
          <w:p w14:paraId="69DD97F1" w14:textId="39686F37" w:rsidR="00A14C78" w:rsidRPr="001B059F" w:rsidRDefault="00A14C78" w:rsidP="001B059F">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2F157912" w14:textId="767F74A2" w:rsidR="00A14C78" w:rsidRPr="001B059F" w:rsidRDefault="00A14C78" w:rsidP="001B059F">
            <w:pPr>
              <w:jc w:val="center"/>
              <w:rPr>
                <w:rFonts w:ascii="Arial Narrow" w:hAnsi="Arial Narrow" w:cs="Arial"/>
                <w:color w:val="000000" w:themeColor="text1"/>
                <w:sz w:val="18"/>
                <w:szCs w:val="18"/>
              </w:rPr>
            </w:pPr>
          </w:p>
        </w:tc>
      </w:tr>
      <w:tr w:rsidR="00A14C78" w:rsidRPr="001B059F" w14:paraId="5B95F231" w14:textId="65D28280" w:rsidTr="001B059F">
        <w:trPr>
          <w:trHeight w:val="274"/>
        </w:trPr>
        <w:tc>
          <w:tcPr>
            <w:tcW w:w="355" w:type="dxa"/>
            <w:vMerge/>
            <w:shd w:val="clear" w:color="auto" w:fill="DEEAF6" w:themeFill="accent5" w:themeFillTint="33"/>
            <w:vAlign w:val="center"/>
          </w:tcPr>
          <w:p w14:paraId="611C5CA5"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24B20DB6" w14:textId="427700C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260" w:type="dxa"/>
            <w:shd w:val="clear" w:color="auto" w:fill="FFFFFF" w:themeFill="background1"/>
            <w:vAlign w:val="center"/>
          </w:tcPr>
          <w:p w14:paraId="4A19D1E4" w14:textId="6C2943AB"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57E555F8" w14:textId="7422CCCC"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37EA4B93" w14:textId="77777777" w:rsidTr="001B059F">
        <w:trPr>
          <w:trHeight w:val="274"/>
        </w:trPr>
        <w:tc>
          <w:tcPr>
            <w:tcW w:w="355" w:type="dxa"/>
            <w:vMerge/>
            <w:shd w:val="clear" w:color="auto" w:fill="DEEAF6" w:themeFill="accent5" w:themeFillTint="33"/>
            <w:vAlign w:val="center"/>
          </w:tcPr>
          <w:p w14:paraId="67031FDC"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3FEE0AE6" w14:textId="10ECC9B7"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260" w:type="dxa"/>
            <w:shd w:val="clear" w:color="auto" w:fill="FFFFFF" w:themeFill="background1"/>
            <w:vAlign w:val="center"/>
          </w:tcPr>
          <w:p w14:paraId="2A24FB4D" w14:textId="000FC598"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c>
          <w:tcPr>
            <w:tcW w:w="1260" w:type="dxa"/>
            <w:shd w:val="clear" w:color="auto" w:fill="FFFFFF" w:themeFill="background1"/>
            <w:vAlign w:val="center"/>
          </w:tcPr>
          <w:p w14:paraId="67C97DC1" w14:textId="73D2120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4344395" w14:textId="77777777" w:rsidTr="001B059F">
        <w:trPr>
          <w:trHeight w:val="274"/>
        </w:trPr>
        <w:tc>
          <w:tcPr>
            <w:tcW w:w="355" w:type="dxa"/>
            <w:vMerge/>
            <w:shd w:val="clear" w:color="auto" w:fill="DEEAF6" w:themeFill="accent5" w:themeFillTint="33"/>
            <w:vAlign w:val="center"/>
          </w:tcPr>
          <w:p w14:paraId="4C2DB87F"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8B9D3C9" w14:textId="5FC60EAC"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260" w:type="dxa"/>
            <w:shd w:val="clear" w:color="auto" w:fill="FFFFFF" w:themeFill="background1"/>
            <w:vAlign w:val="center"/>
          </w:tcPr>
          <w:p w14:paraId="6BFEB7E8" w14:textId="7E9D15DF"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c>
          <w:tcPr>
            <w:tcW w:w="1260" w:type="dxa"/>
            <w:shd w:val="clear" w:color="auto" w:fill="FFFFFF" w:themeFill="background1"/>
            <w:vAlign w:val="center"/>
          </w:tcPr>
          <w:p w14:paraId="25E24315" w14:textId="17EDB428"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10209A5" w14:textId="77777777" w:rsidTr="001B059F">
        <w:trPr>
          <w:trHeight w:val="274"/>
        </w:trPr>
        <w:tc>
          <w:tcPr>
            <w:tcW w:w="355" w:type="dxa"/>
            <w:vMerge/>
            <w:shd w:val="clear" w:color="auto" w:fill="DEEAF6" w:themeFill="accent5" w:themeFillTint="33"/>
            <w:vAlign w:val="center"/>
          </w:tcPr>
          <w:p w14:paraId="3219F329"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1C86E2FA" w14:textId="1390B91B"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260" w:type="dxa"/>
            <w:shd w:val="clear" w:color="auto" w:fill="D9D9D9" w:themeFill="background1" w:themeFillShade="D9"/>
            <w:vAlign w:val="center"/>
          </w:tcPr>
          <w:p w14:paraId="7DBE56BA" w14:textId="77777777" w:rsidR="00A14C78" w:rsidRPr="001B059F" w:rsidRDefault="00A14C78" w:rsidP="001B059F">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0A120978" w14:textId="77777777" w:rsidR="00A14C78" w:rsidRPr="001B059F" w:rsidRDefault="00A14C78" w:rsidP="001B059F">
            <w:pPr>
              <w:jc w:val="center"/>
              <w:rPr>
                <w:rFonts w:ascii="Arial Narrow" w:hAnsi="Arial Narrow" w:cs="Arial"/>
                <w:color w:val="000000" w:themeColor="text1"/>
                <w:sz w:val="18"/>
                <w:szCs w:val="18"/>
              </w:rPr>
            </w:pPr>
          </w:p>
        </w:tc>
      </w:tr>
      <w:tr w:rsidR="00211D44" w:rsidRPr="001B059F" w14:paraId="7CE8C14A" w14:textId="77777777" w:rsidTr="00F5257C">
        <w:tblPrEx>
          <w:jc w:val="center"/>
        </w:tblPrEx>
        <w:trPr>
          <w:trHeight w:val="288"/>
          <w:jc w:val="center"/>
        </w:trPr>
        <w:tc>
          <w:tcPr>
            <w:tcW w:w="355" w:type="dxa"/>
            <w:shd w:val="clear" w:color="auto" w:fill="DEEAF6" w:themeFill="accent5" w:themeFillTint="33"/>
            <w:vAlign w:val="center"/>
          </w:tcPr>
          <w:p w14:paraId="57A03F44" w14:textId="6F76D627" w:rsidR="00211D44" w:rsidRPr="001B059F" w:rsidRDefault="00211D44" w:rsidP="00F5257C">
            <w:pPr>
              <w:jc w:val="center"/>
              <w:rPr>
                <w:rFonts w:ascii="Arial Narrow" w:hAnsi="Arial Narrow" w:cs="Arial"/>
                <w:b/>
                <w:bCs/>
                <w:sz w:val="18"/>
                <w:szCs w:val="18"/>
              </w:rPr>
            </w:pPr>
            <w:r>
              <w:rPr>
                <w:rFonts w:ascii="Arial Narrow" w:hAnsi="Arial Narrow" w:cs="Arial"/>
                <w:b/>
                <w:bCs/>
                <w:sz w:val="18"/>
                <w:szCs w:val="18"/>
              </w:rPr>
              <w:t>B</w:t>
            </w:r>
          </w:p>
        </w:tc>
        <w:tc>
          <w:tcPr>
            <w:tcW w:w="9175" w:type="dxa"/>
            <w:gridSpan w:val="3"/>
            <w:shd w:val="clear" w:color="auto" w:fill="DEEAF6" w:themeFill="accent5" w:themeFillTint="33"/>
            <w:vAlign w:val="center"/>
          </w:tcPr>
          <w:p w14:paraId="39A7FEDA" w14:textId="020AAE89" w:rsidR="00211D44" w:rsidRPr="001B059F" w:rsidRDefault="00211D44" w:rsidP="00F5257C">
            <w:pPr>
              <w:rPr>
                <w:rFonts w:ascii="Arial Narrow" w:hAnsi="Arial Narrow" w:cs="Arial"/>
                <w:sz w:val="18"/>
                <w:szCs w:val="18"/>
              </w:rPr>
            </w:pPr>
            <w:r w:rsidRPr="001B059F">
              <w:rPr>
                <w:rFonts w:ascii="Arial Narrow" w:hAnsi="Arial Narrow" w:cs="Arial"/>
                <w:b/>
                <w:bCs/>
                <w:sz w:val="18"/>
                <w:szCs w:val="18"/>
              </w:rPr>
              <w:t xml:space="preserve">Upper </w:t>
            </w:r>
            <w:r w:rsidR="00224B1A">
              <w:rPr>
                <w:rFonts w:ascii="Arial Narrow" w:hAnsi="Arial Narrow" w:cs="Arial"/>
                <w:b/>
                <w:bCs/>
                <w:sz w:val="18"/>
                <w:szCs w:val="18"/>
              </w:rPr>
              <w:t>Floor</w:t>
            </w:r>
            <w:r w:rsidR="00224B1A" w:rsidRPr="001B059F">
              <w:rPr>
                <w:rFonts w:ascii="Arial Narrow" w:hAnsi="Arial Narrow" w:cs="Arial"/>
                <w:b/>
                <w:bCs/>
                <w:sz w:val="18"/>
                <w:szCs w:val="18"/>
              </w:rPr>
              <w:t xml:space="preserve"> </w:t>
            </w:r>
            <w:r w:rsidRPr="001B059F">
              <w:rPr>
                <w:rFonts w:ascii="Arial Narrow" w:hAnsi="Arial Narrow" w:cs="Arial"/>
                <w:b/>
                <w:bCs/>
                <w:sz w:val="18"/>
                <w:szCs w:val="18"/>
              </w:rPr>
              <w:t xml:space="preserve">Transparency </w:t>
            </w:r>
            <w:r w:rsidRPr="001B059F">
              <w:rPr>
                <w:rFonts w:ascii="Arial Narrow" w:hAnsi="Arial Narrow" w:cs="Arial"/>
                <w:sz w:val="18"/>
                <w:szCs w:val="18"/>
              </w:rPr>
              <w:t xml:space="preserve">(% of wall area </w:t>
            </w:r>
            <w:r w:rsidR="00F27405">
              <w:rPr>
                <w:rFonts w:ascii="Arial Narrow" w:hAnsi="Arial Narrow" w:cs="Arial"/>
                <w:sz w:val="18"/>
                <w:szCs w:val="18"/>
              </w:rPr>
              <w:t>per</w:t>
            </w:r>
            <w:r w:rsidR="00F27405" w:rsidRPr="001B059F">
              <w:rPr>
                <w:rFonts w:ascii="Arial Narrow" w:hAnsi="Arial Narrow" w:cs="Arial"/>
                <w:sz w:val="18"/>
                <w:szCs w:val="18"/>
              </w:rPr>
              <w:t xml:space="preserve"> </w:t>
            </w:r>
            <w:r w:rsidRPr="001B059F">
              <w:rPr>
                <w:rFonts w:ascii="Arial Narrow" w:hAnsi="Arial Narrow" w:cs="Arial"/>
                <w:sz w:val="18"/>
                <w:szCs w:val="18"/>
              </w:rPr>
              <w:t>story</w:t>
            </w:r>
            <w:r w:rsidR="0011140C" w:rsidRPr="001C7DEF">
              <w:rPr>
                <w:rFonts w:ascii="Arial Narrow" w:hAnsi="Arial Narrow" w:cs="Arial"/>
                <w:sz w:val="18"/>
                <w:szCs w:val="18"/>
              </w:rPr>
              <w:t>; Per building</w:t>
            </w:r>
            <w:r w:rsidRPr="001B059F">
              <w:rPr>
                <w:rFonts w:ascii="Arial Narrow" w:hAnsi="Arial Narrow" w:cs="Arial"/>
                <w:sz w:val="18"/>
                <w:szCs w:val="18"/>
              </w:rPr>
              <w:t>)</w:t>
            </w:r>
          </w:p>
        </w:tc>
      </w:tr>
      <w:tr w:rsidR="00211D44" w:rsidRPr="001B059F" w14:paraId="28EF2F6A" w14:textId="77777777" w:rsidTr="00F5257C">
        <w:trPr>
          <w:trHeight w:val="274"/>
        </w:trPr>
        <w:tc>
          <w:tcPr>
            <w:tcW w:w="355" w:type="dxa"/>
            <w:vMerge w:val="restart"/>
            <w:shd w:val="clear" w:color="auto" w:fill="DEEAF6" w:themeFill="accent5" w:themeFillTint="33"/>
            <w:vAlign w:val="center"/>
          </w:tcPr>
          <w:p w14:paraId="05A6434E" w14:textId="77777777" w:rsidR="00211D44" w:rsidRPr="001B059F" w:rsidRDefault="00211D44" w:rsidP="00F5257C">
            <w:pPr>
              <w:ind w:left="360"/>
              <w:jc w:val="center"/>
              <w:rPr>
                <w:rFonts w:ascii="Arial Narrow" w:hAnsi="Arial Narrow" w:cs="Arial"/>
                <w:sz w:val="18"/>
                <w:szCs w:val="18"/>
              </w:rPr>
            </w:pPr>
          </w:p>
        </w:tc>
        <w:tc>
          <w:tcPr>
            <w:tcW w:w="6655" w:type="dxa"/>
            <w:shd w:val="clear" w:color="auto" w:fill="DEEAF6" w:themeFill="accent5" w:themeFillTint="33"/>
            <w:vAlign w:val="center"/>
          </w:tcPr>
          <w:p w14:paraId="5670B41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260" w:type="dxa"/>
            <w:shd w:val="clear" w:color="auto" w:fill="FFFFFF" w:themeFill="background1"/>
            <w:vAlign w:val="center"/>
          </w:tcPr>
          <w:p w14:paraId="3CB8DAE0"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1AB19007"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7A370E6F" w14:textId="77777777" w:rsidTr="00F5257C">
        <w:trPr>
          <w:trHeight w:val="274"/>
        </w:trPr>
        <w:tc>
          <w:tcPr>
            <w:tcW w:w="355" w:type="dxa"/>
            <w:vMerge/>
            <w:shd w:val="clear" w:color="auto" w:fill="DEEAF6" w:themeFill="accent5" w:themeFillTint="33"/>
          </w:tcPr>
          <w:p w14:paraId="7AFACB4C"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25621FE"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260" w:type="dxa"/>
            <w:shd w:val="clear" w:color="auto" w:fill="FFFFFF" w:themeFill="background1"/>
            <w:vAlign w:val="center"/>
          </w:tcPr>
          <w:p w14:paraId="3D62B8A8"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0F52E565"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27D6D5F1" w14:textId="77777777" w:rsidTr="00F5257C">
        <w:trPr>
          <w:trHeight w:val="274"/>
        </w:trPr>
        <w:tc>
          <w:tcPr>
            <w:tcW w:w="355" w:type="dxa"/>
            <w:vMerge/>
            <w:shd w:val="clear" w:color="auto" w:fill="DEEAF6" w:themeFill="accent5" w:themeFillTint="33"/>
          </w:tcPr>
          <w:p w14:paraId="2D31A1C0"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64170C1A"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260" w:type="dxa"/>
            <w:shd w:val="clear" w:color="auto" w:fill="FFFFFF" w:themeFill="background1"/>
            <w:vAlign w:val="center"/>
          </w:tcPr>
          <w:p w14:paraId="63383AFA"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F3B7A7C"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6E97FA7" w14:textId="77777777" w:rsidTr="00F5257C">
        <w:trPr>
          <w:trHeight w:val="274"/>
        </w:trPr>
        <w:tc>
          <w:tcPr>
            <w:tcW w:w="355" w:type="dxa"/>
            <w:vMerge/>
            <w:shd w:val="clear" w:color="auto" w:fill="DEEAF6" w:themeFill="accent5" w:themeFillTint="33"/>
          </w:tcPr>
          <w:p w14:paraId="77DA51CB"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D80D162"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260" w:type="dxa"/>
            <w:shd w:val="clear" w:color="auto" w:fill="FFFFFF" w:themeFill="background1"/>
            <w:vAlign w:val="center"/>
          </w:tcPr>
          <w:p w14:paraId="21ED612A"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2AB54374"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7613ED83" w14:textId="77777777" w:rsidTr="00F5257C">
        <w:trPr>
          <w:trHeight w:val="274"/>
        </w:trPr>
        <w:tc>
          <w:tcPr>
            <w:tcW w:w="355" w:type="dxa"/>
            <w:vMerge/>
            <w:shd w:val="clear" w:color="auto" w:fill="DEEAF6" w:themeFill="accent5" w:themeFillTint="33"/>
          </w:tcPr>
          <w:p w14:paraId="46D2DA39"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220A8B29"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260" w:type="dxa"/>
            <w:shd w:val="clear" w:color="auto" w:fill="FFFFFF" w:themeFill="background1"/>
            <w:vAlign w:val="center"/>
          </w:tcPr>
          <w:p w14:paraId="09895E3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5EF3D69"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ACFDB4C" w14:textId="77777777" w:rsidTr="00F5257C">
        <w:trPr>
          <w:trHeight w:val="274"/>
        </w:trPr>
        <w:tc>
          <w:tcPr>
            <w:tcW w:w="355" w:type="dxa"/>
            <w:vMerge/>
            <w:shd w:val="clear" w:color="auto" w:fill="DEEAF6" w:themeFill="accent5" w:themeFillTint="33"/>
          </w:tcPr>
          <w:p w14:paraId="758BAAE8"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A286AEA"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260" w:type="dxa"/>
            <w:shd w:val="clear" w:color="auto" w:fill="FFFFFF" w:themeFill="background1"/>
            <w:vAlign w:val="center"/>
          </w:tcPr>
          <w:p w14:paraId="4B9A4463"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83E5856"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1442271A" w14:textId="77777777" w:rsidTr="00F5257C">
        <w:trPr>
          <w:trHeight w:val="274"/>
        </w:trPr>
        <w:tc>
          <w:tcPr>
            <w:tcW w:w="355" w:type="dxa"/>
            <w:vMerge/>
            <w:shd w:val="clear" w:color="auto" w:fill="DEEAF6" w:themeFill="accent5" w:themeFillTint="33"/>
          </w:tcPr>
          <w:p w14:paraId="631CB66B"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5F8F0F78"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260" w:type="dxa"/>
            <w:shd w:val="clear" w:color="auto" w:fill="FFFFFF" w:themeFill="background1"/>
            <w:vAlign w:val="center"/>
          </w:tcPr>
          <w:p w14:paraId="0E515E5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629BF63B"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38569D0F" w14:textId="77777777" w:rsidTr="00F5257C">
        <w:trPr>
          <w:trHeight w:val="274"/>
        </w:trPr>
        <w:tc>
          <w:tcPr>
            <w:tcW w:w="355" w:type="dxa"/>
            <w:vMerge/>
            <w:shd w:val="clear" w:color="auto" w:fill="DEEAF6" w:themeFill="accent5" w:themeFillTint="33"/>
          </w:tcPr>
          <w:p w14:paraId="48E2D8FA"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41AAC21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Parkway</w:t>
            </w:r>
          </w:p>
        </w:tc>
        <w:tc>
          <w:tcPr>
            <w:tcW w:w="1260" w:type="dxa"/>
            <w:shd w:val="clear" w:color="auto" w:fill="FFFFFF" w:themeFill="background1"/>
            <w:vAlign w:val="center"/>
          </w:tcPr>
          <w:p w14:paraId="4EE3D872"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15F3783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A23443B" w14:textId="77777777" w:rsidTr="00F5257C">
        <w:trPr>
          <w:trHeight w:val="274"/>
        </w:trPr>
        <w:tc>
          <w:tcPr>
            <w:tcW w:w="355" w:type="dxa"/>
            <w:vMerge/>
            <w:shd w:val="clear" w:color="auto" w:fill="DEEAF6" w:themeFill="accent5" w:themeFillTint="33"/>
          </w:tcPr>
          <w:p w14:paraId="6DD41732"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7C8AD5B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260" w:type="dxa"/>
            <w:shd w:val="clear" w:color="auto" w:fill="D9D9D9" w:themeFill="background1" w:themeFillShade="D9"/>
            <w:vAlign w:val="center"/>
          </w:tcPr>
          <w:p w14:paraId="7534E34E" w14:textId="77777777" w:rsidR="00211D44" w:rsidRPr="001B059F" w:rsidRDefault="00211D44" w:rsidP="00F5257C">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090118DB" w14:textId="77777777" w:rsidR="00211D44" w:rsidRPr="001B059F" w:rsidRDefault="00211D44" w:rsidP="00F5257C">
            <w:pPr>
              <w:jc w:val="center"/>
              <w:rPr>
                <w:rFonts w:ascii="Arial Narrow" w:hAnsi="Arial Narrow" w:cs="Arial"/>
                <w:color w:val="000000" w:themeColor="text1"/>
                <w:sz w:val="18"/>
                <w:szCs w:val="18"/>
              </w:rPr>
            </w:pPr>
          </w:p>
        </w:tc>
      </w:tr>
    </w:tbl>
    <w:p w14:paraId="251CB08A" w14:textId="1E1BBC40" w:rsidR="001B14C3" w:rsidRDefault="001B14C3" w:rsidP="001B059F">
      <w:pPr>
        <w:rPr>
          <w:rFonts w:ascii="Arial" w:hAnsi="Arial" w:cs="Arial"/>
          <w:b/>
          <w:bCs/>
          <w:sz w:val="18"/>
          <w:szCs w:val="18"/>
        </w:rPr>
      </w:pPr>
    </w:p>
    <w:p w14:paraId="2911A99C" w14:textId="77777777" w:rsidR="001B14C3" w:rsidRDefault="001B14C3">
      <w:pPr>
        <w:rPr>
          <w:rFonts w:ascii="Arial" w:hAnsi="Arial" w:cs="Arial"/>
          <w:b/>
          <w:bCs/>
          <w:sz w:val="18"/>
          <w:szCs w:val="18"/>
        </w:rPr>
      </w:pPr>
      <w:r>
        <w:rPr>
          <w:rFonts w:ascii="Arial" w:hAnsi="Arial" w:cs="Arial"/>
          <w:b/>
          <w:bCs/>
          <w:sz w:val="18"/>
          <w:szCs w:val="18"/>
        </w:rPr>
        <w:br w:type="page"/>
      </w:r>
    </w:p>
    <w:p w14:paraId="123F3688" w14:textId="77777777" w:rsidR="00365AB1" w:rsidRDefault="00365AB1" w:rsidP="001B059F">
      <w:pPr>
        <w:rPr>
          <w:rFonts w:ascii="Arial" w:hAnsi="Arial" w:cs="Arial"/>
          <w:b/>
          <w:bCs/>
          <w:sz w:val="18"/>
          <w:szCs w:val="18"/>
        </w:rPr>
      </w:pPr>
    </w:p>
    <w:p w14:paraId="6C78E0AA" w14:textId="169AEED8" w:rsidR="00CE2989" w:rsidRDefault="008D3860" w:rsidP="001B059F">
      <w:pPr>
        <w:rPr>
          <w:rFonts w:ascii="Arial" w:hAnsi="Arial" w:cs="Arial"/>
          <w:b/>
          <w:bCs/>
          <w:sz w:val="18"/>
          <w:szCs w:val="18"/>
        </w:rPr>
      </w:pPr>
      <w:r>
        <w:rPr>
          <w:rFonts w:ascii="Arial" w:hAnsi="Arial" w:cs="Arial"/>
          <w:b/>
          <w:bCs/>
          <w:sz w:val="18"/>
          <w:szCs w:val="18"/>
        </w:rPr>
        <w:t>G.</w:t>
      </w:r>
      <w:r>
        <w:rPr>
          <w:rFonts w:ascii="Arial" w:hAnsi="Arial" w:cs="Arial"/>
          <w:b/>
          <w:bCs/>
          <w:sz w:val="18"/>
          <w:szCs w:val="18"/>
        </w:rPr>
        <w:tab/>
      </w:r>
      <w:r w:rsidR="00BA7FA3" w:rsidRPr="00BA7FA3">
        <w:rPr>
          <w:rFonts w:ascii="Arial" w:hAnsi="Arial" w:cs="Arial"/>
          <w:b/>
          <w:bCs/>
          <w:sz w:val="18"/>
          <w:szCs w:val="18"/>
        </w:rPr>
        <w:t xml:space="preserve">Building </w:t>
      </w:r>
      <w:r w:rsidR="00BA7FA3">
        <w:rPr>
          <w:rFonts w:ascii="Arial" w:hAnsi="Arial" w:cs="Arial"/>
          <w:b/>
          <w:bCs/>
          <w:sz w:val="18"/>
          <w:szCs w:val="18"/>
        </w:rPr>
        <w:t>Design Standards</w:t>
      </w:r>
    </w:p>
    <w:p w14:paraId="56834C3B" w14:textId="26BD63CA" w:rsidR="002C068B" w:rsidRDefault="005032CF" w:rsidP="001B059F">
      <w:pPr>
        <w:rPr>
          <w:rFonts w:ascii="Arial" w:hAnsi="Arial" w:cs="Arial"/>
          <w:sz w:val="18"/>
          <w:szCs w:val="18"/>
        </w:rPr>
      </w:pPr>
      <w:r w:rsidRPr="003C2675">
        <w:rPr>
          <w:rFonts w:ascii="Arial" w:hAnsi="Arial" w:cs="Arial"/>
          <w:sz w:val="18"/>
          <w:szCs w:val="18"/>
        </w:rPr>
        <w:t xml:space="preserve">Design standards govern the fundamental elements of building </w:t>
      </w:r>
      <w:proofErr w:type="gramStart"/>
      <w:r w:rsidRPr="003C2675">
        <w:rPr>
          <w:rFonts w:ascii="Arial" w:hAnsi="Arial" w:cs="Arial"/>
          <w:sz w:val="18"/>
          <w:szCs w:val="18"/>
        </w:rPr>
        <w:t>design, and</w:t>
      </w:r>
      <w:proofErr w:type="gramEnd"/>
      <w:r w:rsidRPr="003C2675">
        <w:rPr>
          <w:rFonts w:ascii="Arial" w:hAnsi="Arial" w:cs="Arial"/>
          <w:sz w:val="18"/>
          <w:szCs w:val="18"/>
        </w:rPr>
        <w:t xml:space="preserve"> are intended to encourage the creation of a built environment that is aesthetically and functionally of a high-quality. </w:t>
      </w:r>
    </w:p>
    <w:p w14:paraId="5E016754" w14:textId="0630AA27" w:rsidR="00CA286F" w:rsidRDefault="00D05567" w:rsidP="002C068B">
      <w:pPr>
        <w:jc w:val="center"/>
        <w:rPr>
          <w:rFonts w:ascii="Arial" w:hAnsi="Arial" w:cs="Arial"/>
          <w:sz w:val="18"/>
          <w:szCs w:val="18"/>
        </w:rPr>
      </w:pPr>
      <w:r w:rsidRPr="001C7DEF">
        <w:rPr>
          <w:rFonts w:ascii="Arial" w:hAnsi="Arial" w:cs="Arial"/>
          <w:noProof/>
          <w:sz w:val="18"/>
          <w:szCs w:val="18"/>
        </w:rPr>
        <w:drawing>
          <wp:inline distT="0" distB="0" distL="0" distR="0" wp14:anchorId="5C3C6BFF" wp14:editId="4AC294BF">
            <wp:extent cx="5519875" cy="2996030"/>
            <wp:effectExtent l="0" t="0" r="508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1128" cy="3007565"/>
                    </a:xfrm>
                    <a:prstGeom prst="rect">
                      <a:avLst/>
                    </a:prstGeom>
                    <a:ln w="25400" cmpd="thickThin">
                      <a:noFill/>
                    </a:ln>
                  </pic:spPr>
                </pic:pic>
              </a:graphicData>
            </a:graphic>
          </wp:inline>
        </w:drawing>
      </w:r>
    </w:p>
    <w:tbl>
      <w:tblPr>
        <w:tblStyle w:val="TableGrid"/>
        <w:tblW w:w="9445" w:type="dxa"/>
        <w:tblLook w:val="04A0" w:firstRow="1" w:lastRow="0" w:firstColumn="1" w:lastColumn="0" w:noHBand="0" w:noVBand="1"/>
      </w:tblPr>
      <w:tblGrid>
        <w:gridCol w:w="6745"/>
        <w:gridCol w:w="1350"/>
        <w:gridCol w:w="1350"/>
      </w:tblGrid>
      <w:tr w:rsidR="00E42146" w:rsidRPr="001B059F" w14:paraId="2FED59EC" w14:textId="77777777" w:rsidTr="00F5257C">
        <w:trPr>
          <w:tblHeader/>
        </w:trPr>
        <w:tc>
          <w:tcPr>
            <w:tcW w:w="9445" w:type="dxa"/>
            <w:gridSpan w:val="3"/>
            <w:shd w:val="clear" w:color="auto" w:fill="1F4E79" w:themeFill="accent5" w:themeFillShade="80"/>
          </w:tcPr>
          <w:p w14:paraId="1FF25D2D" w14:textId="5B9C5A77" w:rsidR="00E42146" w:rsidRPr="001B059F" w:rsidRDefault="00F27405" w:rsidP="00F5257C">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6-6: </w:t>
            </w:r>
            <w:r w:rsidR="00E42146">
              <w:rPr>
                <w:rFonts w:ascii="Arial Narrow" w:hAnsi="Arial Narrow" w:cs="Arial"/>
                <w:b/>
                <w:color w:val="FFFFFF" w:themeColor="background1"/>
                <w:sz w:val="18"/>
                <w:szCs w:val="18"/>
              </w:rPr>
              <w:t>Commercial Zoning Districts Building Design Standards</w:t>
            </w:r>
          </w:p>
        </w:tc>
      </w:tr>
      <w:tr w:rsidR="00E42146" w:rsidRPr="001B059F" w14:paraId="7E495C17" w14:textId="77777777" w:rsidTr="00F5257C">
        <w:trPr>
          <w:tblHeader/>
        </w:trPr>
        <w:tc>
          <w:tcPr>
            <w:tcW w:w="6745" w:type="dxa"/>
            <w:shd w:val="clear" w:color="auto" w:fill="1F4E79" w:themeFill="accent5" w:themeFillShade="80"/>
          </w:tcPr>
          <w:p w14:paraId="3F9F6CA8" w14:textId="77777777" w:rsidR="00E42146" w:rsidRPr="001B059F" w:rsidRDefault="00E42146" w:rsidP="00F5257C">
            <w:pPr>
              <w:rPr>
                <w:rFonts w:ascii="Arial Narrow" w:hAnsi="Arial Narrow" w:cs="Arial"/>
                <w:color w:val="FFFFFF" w:themeColor="background1"/>
                <w:sz w:val="18"/>
                <w:szCs w:val="18"/>
              </w:rPr>
            </w:pPr>
          </w:p>
        </w:tc>
        <w:tc>
          <w:tcPr>
            <w:tcW w:w="1350" w:type="dxa"/>
            <w:shd w:val="clear" w:color="auto" w:fill="1F4E79" w:themeFill="accent5" w:themeFillShade="80"/>
          </w:tcPr>
          <w:p w14:paraId="62182C2A" w14:textId="77777777" w:rsidR="00E42146" w:rsidRPr="001B059F" w:rsidRDefault="00E42146"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CG</w:t>
            </w:r>
          </w:p>
        </w:tc>
        <w:tc>
          <w:tcPr>
            <w:tcW w:w="1350" w:type="dxa"/>
            <w:shd w:val="clear" w:color="auto" w:fill="1F4E79" w:themeFill="accent5" w:themeFillShade="80"/>
          </w:tcPr>
          <w:p w14:paraId="54633DDE" w14:textId="77777777" w:rsidR="00E42146" w:rsidRPr="001B059F" w:rsidRDefault="00E42146"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CR</w:t>
            </w:r>
          </w:p>
        </w:tc>
      </w:tr>
      <w:tr w:rsidR="00614563" w:rsidRPr="001B059F" w14:paraId="28067D37" w14:textId="77777777" w:rsidTr="00F5257C">
        <w:trPr>
          <w:trHeight w:val="274"/>
        </w:trPr>
        <w:tc>
          <w:tcPr>
            <w:tcW w:w="9445" w:type="dxa"/>
            <w:gridSpan w:val="3"/>
            <w:tcBorders>
              <w:bottom w:val="single" w:sz="4" w:space="0" w:color="auto"/>
            </w:tcBorders>
            <w:shd w:val="clear" w:color="auto" w:fill="DEEAF6" w:themeFill="accent5" w:themeFillTint="33"/>
            <w:vAlign w:val="center"/>
          </w:tcPr>
          <w:p w14:paraId="5DE7FDF5" w14:textId="77777777" w:rsidR="00614563" w:rsidRPr="001B059F" w:rsidRDefault="00614563" w:rsidP="00F5257C">
            <w:pPr>
              <w:rPr>
                <w:rFonts w:ascii="Arial Narrow" w:hAnsi="Arial Narrow" w:cs="Arial"/>
                <w:b/>
                <w:bCs/>
                <w:sz w:val="18"/>
                <w:szCs w:val="18"/>
              </w:rPr>
            </w:pPr>
            <w:bookmarkStart w:id="5" w:name="_Hlk68866571"/>
            <w:r w:rsidRPr="001B059F">
              <w:rPr>
                <w:rFonts w:ascii="Arial Narrow" w:hAnsi="Arial Narrow" w:cs="Arial"/>
                <w:b/>
                <w:bCs/>
                <w:sz w:val="18"/>
                <w:szCs w:val="18"/>
              </w:rPr>
              <w:t>Building Base and Entrance Design</w:t>
            </w:r>
          </w:p>
        </w:tc>
      </w:tr>
      <w:tr w:rsidR="00CF7409" w14:paraId="6DC1AF3C" w14:textId="77777777" w:rsidTr="001C7DEF">
        <w:trPr>
          <w:trHeight w:val="206"/>
        </w:trPr>
        <w:tc>
          <w:tcPr>
            <w:tcW w:w="6745" w:type="dxa"/>
            <w:shd w:val="clear" w:color="auto" w:fill="DEEAF6" w:themeFill="accent5" w:themeFillTint="33"/>
            <w:vAlign w:val="center"/>
          </w:tcPr>
          <w:p w14:paraId="4CD858AB" w14:textId="48A0CB3A" w:rsidR="007E0D1F" w:rsidRPr="001C7DEF" w:rsidRDefault="007E0D1F" w:rsidP="007E0D1F">
            <w:pPr>
              <w:rPr>
                <w:rFonts w:ascii="Arial Narrow" w:hAnsi="Arial Narrow" w:cs="Arial"/>
                <w:sz w:val="18"/>
                <w:szCs w:val="18"/>
              </w:rPr>
            </w:pPr>
            <w:r w:rsidRPr="001C7DEF">
              <w:rPr>
                <w:rFonts w:ascii="Arial Narrow" w:hAnsi="Arial Narrow" w:cs="Arial"/>
                <w:sz w:val="18"/>
                <w:szCs w:val="18"/>
              </w:rPr>
              <w:t xml:space="preserve">A frontage shall have a minimum of one prominent entrance, as defined in this Ordinance. The number of prominent entrances required shall be determined by the building length along the frontage and the maximum spacing in </w:t>
            </w:r>
            <w:r w:rsidR="001A7DC3" w:rsidRPr="001C7DEF">
              <w:rPr>
                <w:rFonts w:ascii="Arial Narrow" w:hAnsi="Arial Narrow" w:cs="Arial"/>
                <w:sz w:val="18"/>
                <w:szCs w:val="18"/>
              </w:rPr>
              <w:t>E</w:t>
            </w:r>
            <w:r w:rsidRPr="001C7DEF">
              <w:rPr>
                <w:rFonts w:ascii="Arial Narrow" w:hAnsi="Arial Narrow" w:cs="Arial"/>
                <w:sz w:val="18"/>
                <w:szCs w:val="18"/>
              </w:rPr>
              <w:t xml:space="preserve"> of Table </w:t>
            </w:r>
            <w:r w:rsidR="001A7DC3" w:rsidRPr="001C7DEF">
              <w:rPr>
                <w:rFonts w:ascii="Arial Narrow" w:hAnsi="Arial Narrow" w:cs="Arial"/>
                <w:sz w:val="18"/>
                <w:szCs w:val="18"/>
              </w:rPr>
              <w:t>6</w:t>
            </w:r>
            <w:r w:rsidRPr="001C7DEF">
              <w:rPr>
                <w:rFonts w:ascii="Arial Narrow" w:hAnsi="Arial Narrow" w:cs="Arial"/>
                <w:sz w:val="18"/>
                <w:szCs w:val="18"/>
              </w:rPr>
              <w:t>-4.</w:t>
            </w:r>
            <w:r w:rsidR="00333904" w:rsidRPr="001C7DEF">
              <w:rPr>
                <w:rFonts w:ascii="Arial Narrow" w:hAnsi="Arial Narrow" w:cs="Arial"/>
                <w:sz w:val="18"/>
                <w:szCs w:val="18"/>
              </w:rPr>
              <w:t xml:space="preserve"> No singular business shall be required to </w:t>
            </w:r>
            <w:r w:rsidR="004F2480" w:rsidRPr="001C7DEF">
              <w:rPr>
                <w:rFonts w:ascii="Arial Narrow" w:hAnsi="Arial Narrow" w:cs="Arial"/>
                <w:sz w:val="18"/>
                <w:szCs w:val="18"/>
              </w:rPr>
              <w:t>provide more than one prominent entrance.</w:t>
            </w:r>
          </w:p>
          <w:p w14:paraId="22CE82BF" w14:textId="77777777" w:rsidR="007E0D1F" w:rsidRPr="001C7DEF" w:rsidRDefault="007E0D1F" w:rsidP="007E0D1F">
            <w:pPr>
              <w:rPr>
                <w:rFonts w:ascii="Arial Narrow" w:hAnsi="Arial Narrow" w:cs="Arial"/>
                <w:sz w:val="18"/>
                <w:szCs w:val="18"/>
              </w:rPr>
            </w:pPr>
          </w:p>
          <w:p w14:paraId="677A9F11" w14:textId="77777777" w:rsidR="007E0D1F" w:rsidRPr="001C7DEF" w:rsidRDefault="007E0D1F" w:rsidP="007E0D1F">
            <w:pPr>
              <w:rPr>
                <w:rFonts w:ascii="Arial Narrow" w:hAnsi="Arial Narrow" w:cs="Arial"/>
                <w:sz w:val="18"/>
                <w:szCs w:val="18"/>
              </w:rPr>
            </w:pPr>
            <w:r w:rsidRPr="001C7DEF">
              <w:rPr>
                <w:rFonts w:ascii="Arial Narrow" w:hAnsi="Arial Narrow" w:cs="Arial"/>
                <w:sz w:val="18"/>
                <w:szCs w:val="18"/>
              </w:rPr>
              <w:t>In the case of a building located on a corner lot with two frontages, one prominent entrance located on the corner may count as a required prominent entrance for both frontages, subject to the following:</w:t>
            </w:r>
          </w:p>
          <w:p w14:paraId="66354C87" w14:textId="77777777" w:rsidR="007E0D1F" w:rsidRPr="001C7DEF" w:rsidRDefault="007E0D1F" w:rsidP="007E0D1F">
            <w:pPr>
              <w:rPr>
                <w:rFonts w:ascii="Arial Narrow" w:hAnsi="Arial Narrow" w:cs="Arial"/>
                <w:sz w:val="18"/>
                <w:szCs w:val="18"/>
              </w:rPr>
            </w:pPr>
          </w:p>
          <w:p w14:paraId="25C5D2D4" w14:textId="77777777" w:rsidR="007E0D1F" w:rsidRPr="007E0D1F" w:rsidRDefault="007E0D1F" w:rsidP="007E0D1F">
            <w:pPr>
              <w:rPr>
                <w:rFonts w:ascii="Arial Narrow" w:hAnsi="Arial Narrow" w:cs="Arial"/>
                <w:sz w:val="18"/>
                <w:szCs w:val="18"/>
              </w:rPr>
            </w:pPr>
            <w:r w:rsidRPr="001C7DEF">
              <w:rPr>
                <w:rFonts w:ascii="Arial Narrow" w:hAnsi="Arial Narrow" w:cs="Arial"/>
                <w:sz w:val="18"/>
                <w:szCs w:val="18"/>
              </w:rPr>
              <w:t>1.   A prominent corner entry shall include design features that reinforce intersections as key locations for pedestrian activity. Two of the following shall be included:</w:t>
            </w:r>
          </w:p>
          <w:p w14:paraId="3135C531"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a.   A chamfered or rounded corner design.</w:t>
            </w:r>
          </w:p>
          <w:p w14:paraId="76DAA8C9"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b.   Awnings, canopies, or other covered entry features. </w:t>
            </w:r>
          </w:p>
          <w:p w14:paraId="3D8A2BDE"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c.   Special paving, landscape, or lighting features.</w:t>
            </w:r>
          </w:p>
          <w:p w14:paraId="0675E5C8" w14:textId="78C1BF6F" w:rsidR="00CF7409" w:rsidRPr="001B059F" w:rsidRDefault="007E0D1F" w:rsidP="007E0D1F">
            <w:pPr>
              <w:rPr>
                <w:rFonts w:ascii="Arial Narrow" w:hAnsi="Arial Narrow" w:cs="Arial"/>
                <w:sz w:val="18"/>
                <w:szCs w:val="18"/>
              </w:rPr>
            </w:pPr>
            <w:r w:rsidRPr="007E0D1F">
              <w:rPr>
                <w:rFonts w:ascii="Arial Narrow" w:hAnsi="Arial Narrow" w:cs="Arial"/>
                <w:sz w:val="18"/>
                <w:szCs w:val="18"/>
              </w:rPr>
              <w:t xml:space="preserve">   d.   Unique architectural detailing that emphasizes the corner entry.</w:t>
            </w:r>
          </w:p>
        </w:tc>
        <w:tc>
          <w:tcPr>
            <w:tcW w:w="1350" w:type="dxa"/>
            <w:shd w:val="clear" w:color="auto" w:fill="auto"/>
            <w:vAlign w:val="center"/>
          </w:tcPr>
          <w:p w14:paraId="73FCEFDC" w14:textId="0CF2D19D" w:rsidR="00CF7409" w:rsidRPr="00704A02" w:rsidRDefault="00111E07" w:rsidP="00111E07">
            <w:pPr>
              <w:jc w:val="center"/>
              <w:rPr>
                <w:rFonts w:ascii="Wingdings" w:hAnsi="Wingdings" w:cs="Arial"/>
                <w:sz w:val="22"/>
                <w:szCs w:val="22"/>
              </w:rPr>
            </w:pPr>
            <w:r w:rsidRPr="00704A02">
              <w:rPr>
                <w:rFonts w:ascii="Wingdings" w:hAnsi="Wingdings" w:cs="Arial"/>
                <w:sz w:val="22"/>
                <w:szCs w:val="22"/>
              </w:rPr>
              <w:t></w:t>
            </w:r>
          </w:p>
        </w:tc>
        <w:tc>
          <w:tcPr>
            <w:tcW w:w="1350" w:type="dxa"/>
            <w:shd w:val="clear" w:color="auto" w:fill="D9D9D9" w:themeFill="background1" w:themeFillShade="D9"/>
            <w:vAlign w:val="center"/>
          </w:tcPr>
          <w:p w14:paraId="498AD2B1" w14:textId="5F335812" w:rsidR="00CF7409" w:rsidRPr="001C7DEF" w:rsidRDefault="00CF7409" w:rsidP="00111E07">
            <w:pPr>
              <w:jc w:val="center"/>
              <w:rPr>
                <w:rFonts w:ascii="Wingdings" w:hAnsi="Wingdings" w:cs="Arial"/>
                <w:sz w:val="22"/>
                <w:szCs w:val="22"/>
                <w:u w:val="single"/>
              </w:rPr>
            </w:pPr>
          </w:p>
        </w:tc>
      </w:tr>
      <w:tr w:rsidR="00614563" w14:paraId="79E98BA5" w14:textId="77777777" w:rsidTr="00920E0A">
        <w:trPr>
          <w:trHeight w:val="206"/>
        </w:trPr>
        <w:tc>
          <w:tcPr>
            <w:tcW w:w="6745" w:type="dxa"/>
            <w:shd w:val="clear" w:color="auto" w:fill="DEEAF6" w:themeFill="accent5" w:themeFillTint="33"/>
            <w:vAlign w:val="center"/>
          </w:tcPr>
          <w:p w14:paraId="1BFE7F53" w14:textId="549506DB" w:rsidR="00614563" w:rsidRPr="001C7DEF" w:rsidRDefault="00F5257C" w:rsidP="00F5257C">
            <w:pPr>
              <w:rPr>
                <w:rFonts w:ascii="Arial Narrow" w:hAnsi="Arial Narrow" w:cs="Arial"/>
                <w:sz w:val="18"/>
                <w:szCs w:val="18"/>
              </w:rPr>
            </w:pPr>
            <w:r w:rsidRPr="001C7DEF">
              <w:rPr>
                <w:rFonts w:ascii="Arial Narrow" w:hAnsi="Arial Narrow" w:cs="Arial"/>
                <w:sz w:val="18"/>
                <w:szCs w:val="18"/>
              </w:rPr>
              <w:t>A minimum of o</w:t>
            </w:r>
            <w:r w:rsidR="00614563" w:rsidRPr="001C7DEF">
              <w:rPr>
                <w:rFonts w:ascii="Arial Narrow" w:hAnsi="Arial Narrow" w:cs="Arial"/>
                <w:sz w:val="18"/>
                <w:szCs w:val="18"/>
              </w:rPr>
              <w:t xml:space="preserve">ne prominent entrance </w:t>
            </w:r>
            <w:r w:rsidR="00F27405" w:rsidRPr="001C7DEF">
              <w:rPr>
                <w:rFonts w:ascii="Arial Narrow" w:hAnsi="Arial Narrow" w:cs="Arial"/>
                <w:sz w:val="18"/>
                <w:szCs w:val="18"/>
              </w:rPr>
              <w:t>on the ground floor</w:t>
            </w:r>
            <w:r w:rsidR="00614563" w:rsidRPr="001C7DEF">
              <w:rPr>
                <w:rFonts w:ascii="Arial Narrow" w:hAnsi="Arial Narrow" w:cs="Arial"/>
                <w:sz w:val="18"/>
                <w:szCs w:val="18"/>
              </w:rPr>
              <w:t xml:space="preserve"> is required per building on a site. </w:t>
            </w:r>
          </w:p>
        </w:tc>
        <w:tc>
          <w:tcPr>
            <w:tcW w:w="1350" w:type="dxa"/>
            <w:shd w:val="clear" w:color="auto" w:fill="auto"/>
            <w:vAlign w:val="center"/>
          </w:tcPr>
          <w:p w14:paraId="0D674C8D" w14:textId="77777777" w:rsidR="00614563" w:rsidRPr="00704A02" w:rsidRDefault="00614563" w:rsidP="00F5257C">
            <w:pPr>
              <w:jc w:val="center"/>
              <w:rPr>
                <w:rFonts w:ascii="Arial" w:hAnsi="Arial" w:cs="Arial"/>
                <w:sz w:val="18"/>
                <w:szCs w:val="18"/>
              </w:rPr>
            </w:pPr>
            <w:r w:rsidRPr="00704A02">
              <w:rPr>
                <w:rFonts w:ascii="Wingdings" w:hAnsi="Wingdings" w:cs="Arial"/>
                <w:sz w:val="22"/>
                <w:szCs w:val="22"/>
              </w:rPr>
              <w:t></w:t>
            </w:r>
          </w:p>
        </w:tc>
        <w:tc>
          <w:tcPr>
            <w:tcW w:w="1350" w:type="dxa"/>
            <w:shd w:val="clear" w:color="auto" w:fill="auto"/>
            <w:vAlign w:val="center"/>
          </w:tcPr>
          <w:p w14:paraId="4EF075F1" w14:textId="77777777" w:rsidR="00614563" w:rsidRPr="00704A02" w:rsidRDefault="00614563" w:rsidP="00F5257C">
            <w:pPr>
              <w:jc w:val="center"/>
              <w:rPr>
                <w:rFonts w:ascii="Arial" w:hAnsi="Arial" w:cs="Arial"/>
                <w:sz w:val="18"/>
                <w:szCs w:val="18"/>
              </w:rPr>
            </w:pPr>
            <w:r w:rsidRPr="00704A02">
              <w:rPr>
                <w:rFonts w:ascii="Wingdings" w:hAnsi="Wingdings" w:cs="Arial"/>
                <w:sz w:val="22"/>
                <w:szCs w:val="22"/>
              </w:rPr>
              <w:t></w:t>
            </w:r>
          </w:p>
        </w:tc>
      </w:tr>
      <w:tr w:rsidR="00920E0A" w:rsidRPr="001B059F" w14:paraId="0F30BB24" w14:textId="77777777" w:rsidTr="00F5257C">
        <w:trPr>
          <w:trHeight w:val="602"/>
        </w:trPr>
        <w:tc>
          <w:tcPr>
            <w:tcW w:w="9445" w:type="dxa"/>
            <w:gridSpan w:val="3"/>
            <w:shd w:val="clear" w:color="auto" w:fill="DEEAF6" w:themeFill="accent5" w:themeFillTint="33"/>
            <w:vAlign w:val="center"/>
          </w:tcPr>
          <w:p w14:paraId="4E3981AD" w14:textId="77777777"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 xml:space="preserve">A minimum of one ground floor entrance along each frontage facing </w:t>
            </w:r>
            <w:r>
              <w:rPr>
                <w:rFonts w:ascii="Arial Narrow" w:hAnsi="Arial Narrow" w:cs="Arial"/>
                <w:sz w:val="18"/>
                <w:szCs w:val="18"/>
              </w:rPr>
              <w:t xml:space="preserve">façade, except for a Limited Access frontage or along a </w:t>
            </w:r>
            <w:r w:rsidRPr="001B059F">
              <w:rPr>
                <w:rFonts w:ascii="Arial Narrow" w:hAnsi="Arial Narrow" w:cs="Arial"/>
                <w:sz w:val="18"/>
                <w:szCs w:val="18"/>
              </w:rPr>
              <w:t xml:space="preserve">transit station, off-street public path, </w:t>
            </w:r>
            <w:r>
              <w:rPr>
                <w:rFonts w:ascii="Arial Narrow" w:hAnsi="Arial Narrow" w:cs="Arial"/>
                <w:sz w:val="18"/>
                <w:szCs w:val="18"/>
              </w:rPr>
              <w:t xml:space="preserve">or </w:t>
            </w:r>
            <w:r w:rsidRPr="001B059F">
              <w:rPr>
                <w:rFonts w:ascii="Arial Narrow" w:hAnsi="Arial Narrow" w:cs="Arial"/>
                <w:sz w:val="18"/>
                <w:szCs w:val="18"/>
              </w:rPr>
              <w:t>public park</w:t>
            </w:r>
            <w:r>
              <w:rPr>
                <w:rFonts w:ascii="Arial Narrow" w:hAnsi="Arial Narrow" w:cs="Arial"/>
                <w:sz w:val="18"/>
                <w:szCs w:val="18"/>
              </w:rPr>
              <w:t xml:space="preserve"> frontage,</w:t>
            </w:r>
            <w:r w:rsidRPr="001B059F">
              <w:rPr>
                <w:rFonts w:ascii="Arial Narrow" w:hAnsi="Arial Narrow" w:cs="Arial"/>
                <w:sz w:val="18"/>
                <w:szCs w:val="18"/>
              </w:rPr>
              <w:t xml:space="preserve"> </w:t>
            </w:r>
            <w:r w:rsidRPr="003C67EA">
              <w:rPr>
                <w:rFonts w:ascii="Arial Narrow" w:hAnsi="Arial Narrow" w:cs="Arial"/>
                <w:sz w:val="18"/>
                <w:szCs w:val="18"/>
              </w:rPr>
              <w:t>shall include a pedestrian connection between doors and adjacent pedestrian facilities</w:t>
            </w:r>
            <w:r w:rsidRPr="001B059F">
              <w:rPr>
                <w:rFonts w:ascii="Arial Narrow" w:hAnsi="Arial Narrow" w:cs="Arial"/>
                <w:sz w:val="18"/>
                <w:szCs w:val="18"/>
              </w:rPr>
              <w:t xml:space="preserve">, where such facilities are present or are required by this </w:t>
            </w:r>
            <w:r>
              <w:rPr>
                <w:rFonts w:ascii="Arial Narrow" w:hAnsi="Arial Narrow" w:cs="Arial"/>
                <w:sz w:val="18"/>
                <w:szCs w:val="18"/>
              </w:rPr>
              <w:t>O</w:t>
            </w:r>
            <w:r w:rsidRPr="001B059F">
              <w:rPr>
                <w:rFonts w:ascii="Arial Narrow" w:hAnsi="Arial Narrow" w:cs="Arial"/>
                <w:sz w:val="18"/>
                <w:szCs w:val="18"/>
              </w:rPr>
              <w:t xml:space="preserve">rdinance. </w:t>
            </w:r>
            <w:r>
              <w:rPr>
                <w:rFonts w:ascii="Arial Narrow" w:hAnsi="Arial Narrow" w:cs="Arial"/>
                <w:color w:val="000000" w:themeColor="text1"/>
                <w:sz w:val="18"/>
                <w:szCs w:val="18"/>
                <w:vertAlign w:val="superscript"/>
              </w:rPr>
              <w:t>1</w:t>
            </w:r>
          </w:p>
        </w:tc>
      </w:tr>
      <w:tr w:rsidR="00920E0A" w14:paraId="018D13E3" w14:textId="77777777" w:rsidTr="00F5257C">
        <w:trPr>
          <w:trHeight w:val="274"/>
        </w:trPr>
        <w:tc>
          <w:tcPr>
            <w:tcW w:w="6745" w:type="dxa"/>
            <w:shd w:val="clear" w:color="auto" w:fill="DEEAF6" w:themeFill="accent5" w:themeFillTint="33"/>
            <w:vAlign w:val="center"/>
          </w:tcPr>
          <w:p w14:paraId="5B882021"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104579D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45FFD81"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93C6919" w14:textId="77777777" w:rsidTr="00F5257C">
        <w:trPr>
          <w:trHeight w:val="274"/>
        </w:trPr>
        <w:tc>
          <w:tcPr>
            <w:tcW w:w="6745" w:type="dxa"/>
            <w:shd w:val="clear" w:color="auto" w:fill="DEEAF6" w:themeFill="accent5" w:themeFillTint="33"/>
            <w:vAlign w:val="center"/>
          </w:tcPr>
          <w:p w14:paraId="1C408CA9"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7360F4C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699B634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61E0601" w14:textId="77777777" w:rsidTr="00F5257C">
        <w:trPr>
          <w:trHeight w:val="274"/>
        </w:trPr>
        <w:tc>
          <w:tcPr>
            <w:tcW w:w="6745" w:type="dxa"/>
            <w:shd w:val="clear" w:color="auto" w:fill="DEEAF6" w:themeFill="accent5" w:themeFillTint="33"/>
            <w:vAlign w:val="center"/>
          </w:tcPr>
          <w:p w14:paraId="6D989070"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10EA06E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7D17D39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0E774C2" w14:textId="77777777" w:rsidTr="00F5257C">
        <w:trPr>
          <w:trHeight w:val="274"/>
        </w:trPr>
        <w:tc>
          <w:tcPr>
            <w:tcW w:w="6745" w:type="dxa"/>
            <w:shd w:val="clear" w:color="auto" w:fill="DEEAF6" w:themeFill="accent5" w:themeFillTint="33"/>
            <w:vAlign w:val="center"/>
          </w:tcPr>
          <w:p w14:paraId="18D9116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5A7E843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42A361B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F7FA133" w14:textId="77777777" w:rsidTr="00F5257C">
        <w:trPr>
          <w:trHeight w:val="274"/>
        </w:trPr>
        <w:tc>
          <w:tcPr>
            <w:tcW w:w="6745" w:type="dxa"/>
            <w:shd w:val="clear" w:color="auto" w:fill="DEEAF6" w:themeFill="accent5" w:themeFillTint="33"/>
            <w:vAlign w:val="center"/>
          </w:tcPr>
          <w:p w14:paraId="1A76E576"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5E4D8F12"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60769003" w14:textId="77777777" w:rsidR="00920E0A" w:rsidRPr="00704A02" w:rsidRDefault="00920E0A" w:rsidP="00F5257C">
            <w:pPr>
              <w:jc w:val="center"/>
              <w:rPr>
                <w:rFonts w:ascii="Arial" w:hAnsi="Arial" w:cs="Arial"/>
                <w:i/>
                <w:iCs/>
                <w:sz w:val="18"/>
                <w:szCs w:val="18"/>
              </w:rPr>
            </w:pPr>
          </w:p>
        </w:tc>
      </w:tr>
      <w:tr w:rsidR="00920E0A" w14:paraId="2E372309" w14:textId="77777777" w:rsidTr="00F5257C">
        <w:trPr>
          <w:trHeight w:val="274"/>
        </w:trPr>
        <w:tc>
          <w:tcPr>
            <w:tcW w:w="6745" w:type="dxa"/>
            <w:shd w:val="clear" w:color="auto" w:fill="DEEAF6" w:themeFill="accent5" w:themeFillTint="33"/>
            <w:vAlign w:val="center"/>
          </w:tcPr>
          <w:p w14:paraId="1E5800C3"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31220D8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26D17CF"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5936D04" w14:textId="77777777" w:rsidTr="00F5257C">
        <w:trPr>
          <w:trHeight w:val="274"/>
        </w:trPr>
        <w:tc>
          <w:tcPr>
            <w:tcW w:w="6745" w:type="dxa"/>
            <w:shd w:val="clear" w:color="auto" w:fill="DEEAF6" w:themeFill="accent5" w:themeFillTint="33"/>
            <w:vAlign w:val="center"/>
          </w:tcPr>
          <w:p w14:paraId="1447EB03"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260F9B4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3FC577D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5DB39032" w14:textId="77777777" w:rsidTr="00F5257C">
        <w:trPr>
          <w:trHeight w:val="274"/>
        </w:trPr>
        <w:tc>
          <w:tcPr>
            <w:tcW w:w="6745" w:type="dxa"/>
            <w:shd w:val="clear" w:color="auto" w:fill="DEEAF6" w:themeFill="accent5" w:themeFillTint="33"/>
            <w:vAlign w:val="center"/>
          </w:tcPr>
          <w:p w14:paraId="53C9FA3C"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0691AA1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D36E31D"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20C8A18" w14:textId="77777777" w:rsidTr="00F5257C">
        <w:trPr>
          <w:trHeight w:val="274"/>
        </w:trPr>
        <w:tc>
          <w:tcPr>
            <w:tcW w:w="6745" w:type="dxa"/>
            <w:shd w:val="clear" w:color="auto" w:fill="DEEAF6" w:themeFill="accent5" w:themeFillTint="33"/>
            <w:vAlign w:val="center"/>
          </w:tcPr>
          <w:p w14:paraId="4CAFC500"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0E256DFD"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4CF94658" w14:textId="77777777" w:rsidR="00920E0A" w:rsidRPr="00704A02" w:rsidRDefault="00920E0A" w:rsidP="00F5257C">
            <w:pPr>
              <w:jc w:val="center"/>
              <w:rPr>
                <w:rFonts w:ascii="Arial" w:hAnsi="Arial" w:cs="Arial"/>
                <w:i/>
                <w:iCs/>
                <w:sz w:val="18"/>
                <w:szCs w:val="18"/>
              </w:rPr>
            </w:pPr>
          </w:p>
        </w:tc>
      </w:tr>
    </w:tbl>
    <w:p w14:paraId="763C6554" w14:textId="1FC5D123" w:rsidR="00920E0A" w:rsidRDefault="00920E0A"/>
    <w:tbl>
      <w:tblPr>
        <w:tblStyle w:val="TableGrid"/>
        <w:tblW w:w="9445" w:type="dxa"/>
        <w:tblLook w:val="04A0" w:firstRow="1" w:lastRow="0" w:firstColumn="1" w:lastColumn="0" w:noHBand="0" w:noVBand="1"/>
      </w:tblPr>
      <w:tblGrid>
        <w:gridCol w:w="6745"/>
        <w:gridCol w:w="1350"/>
        <w:gridCol w:w="1350"/>
      </w:tblGrid>
      <w:tr w:rsidR="00920E0A" w:rsidRPr="001B059F" w14:paraId="77EA64F2" w14:textId="77777777" w:rsidTr="00F5257C">
        <w:trPr>
          <w:tblHeader/>
        </w:trPr>
        <w:tc>
          <w:tcPr>
            <w:tcW w:w="9445" w:type="dxa"/>
            <w:gridSpan w:val="3"/>
            <w:shd w:val="clear" w:color="auto" w:fill="1F4E79" w:themeFill="accent5" w:themeFillShade="80"/>
          </w:tcPr>
          <w:p w14:paraId="49164F3B" w14:textId="77777777" w:rsidR="00920E0A" w:rsidRPr="001B059F" w:rsidRDefault="00920E0A" w:rsidP="00F5257C">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Table 6-6: Commercial Zoning Districts Building Design Standards</w:t>
            </w:r>
          </w:p>
        </w:tc>
      </w:tr>
      <w:tr w:rsidR="00920E0A" w:rsidRPr="001B059F" w14:paraId="3AB931EE" w14:textId="77777777" w:rsidTr="00F5257C">
        <w:trPr>
          <w:tblHeader/>
        </w:trPr>
        <w:tc>
          <w:tcPr>
            <w:tcW w:w="6745" w:type="dxa"/>
            <w:shd w:val="clear" w:color="auto" w:fill="1F4E79" w:themeFill="accent5" w:themeFillShade="80"/>
          </w:tcPr>
          <w:p w14:paraId="762F81EF" w14:textId="77777777" w:rsidR="00920E0A" w:rsidRPr="001B059F" w:rsidRDefault="00920E0A" w:rsidP="00F5257C">
            <w:pPr>
              <w:rPr>
                <w:rFonts w:ascii="Arial Narrow" w:hAnsi="Arial Narrow" w:cs="Arial"/>
                <w:color w:val="FFFFFF" w:themeColor="background1"/>
                <w:sz w:val="18"/>
                <w:szCs w:val="18"/>
              </w:rPr>
            </w:pPr>
          </w:p>
        </w:tc>
        <w:tc>
          <w:tcPr>
            <w:tcW w:w="1350" w:type="dxa"/>
            <w:shd w:val="clear" w:color="auto" w:fill="1F4E79" w:themeFill="accent5" w:themeFillShade="80"/>
          </w:tcPr>
          <w:p w14:paraId="1798AEEE" w14:textId="77777777" w:rsidR="00920E0A" w:rsidRPr="001B059F" w:rsidRDefault="00920E0A"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CG</w:t>
            </w:r>
          </w:p>
        </w:tc>
        <w:tc>
          <w:tcPr>
            <w:tcW w:w="1350" w:type="dxa"/>
            <w:shd w:val="clear" w:color="auto" w:fill="1F4E79" w:themeFill="accent5" w:themeFillShade="80"/>
          </w:tcPr>
          <w:p w14:paraId="577B92BD" w14:textId="77777777" w:rsidR="00920E0A" w:rsidRPr="001B059F" w:rsidRDefault="00920E0A"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CR</w:t>
            </w:r>
          </w:p>
        </w:tc>
      </w:tr>
      <w:tr w:rsidR="00920E0A" w:rsidRPr="001B059F" w14:paraId="3FA05EB9" w14:textId="77777777" w:rsidTr="00F5257C">
        <w:trPr>
          <w:trHeight w:val="629"/>
        </w:trPr>
        <w:tc>
          <w:tcPr>
            <w:tcW w:w="9445" w:type="dxa"/>
            <w:gridSpan w:val="3"/>
            <w:shd w:val="clear" w:color="auto" w:fill="DEEAF6" w:themeFill="accent5" w:themeFillTint="33"/>
            <w:vAlign w:val="center"/>
          </w:tcPr>
          <w:p w14:paraId="061A7252" w14:textId="236509F9"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 xml:space="preserve">Where a building contains multiple tenant spaces on the ground floor abutting a frontage, </w:t>
            </w:r>
            <w:r w:rsidRPr="003C67EA">
              <w:rPr>
                <w:rFonts w:ascii="Arial Narrow" w:hAnsi="Arial Narrow" w:cs="Arial"/>
                <w:sz w:val="18"/>
                <w:szCs w:val="18"/>
              </w:rPr>
              <w:t>each tenant space shall have a prominent entrance including a pedestrian connection between doors and adjacent pedestrian facilities, where</w:t>
            </w:r>
            <w:r w:rsidRPr="001B059F">
              <w:rPr>
                <w:rFonts w:ascii="Arial Narrow" w:hAnsi="Arial Narrow" w:cs="Arial"/>
                <w:sz w:val="18"/>
                <w:szCs w:val="18"/>
              </w:rPr>
              <w:t xml:space="preserve"> such facilities are present or are required by this </w:t>
            </w:r>
            <w:r>
              <w:rPr>
                <w:rFonts w:ascii="Arial Narrow" w:hAnsi="Arial Narrow" w:cs="Arial"/>
                <w:sz w:val="18"/>
                <w:szCs w:val="18"/>
              </w:rPr>
              <w:t>O</w:t>
            </w:r>
            <w:r w:rsidRPr="001B059F">
              <w:rPr>
                <w:rFonts w:ascii="Arial Narrow" w:hAnsi="Arial Narrow" w:cs="Arial"/>
                <w:sz w:val="18"/>
                <w:szCs w:val="18"/>
              </w:rPr>
              <w:t xml:space="preserve">rdinance. </w:t>
            </w:r>
            <w:r w:rsidRPr="001B059F">
              <w:rPr>
                <w:rFonts w:ascii="Arial Narrow" w:hAnsi="Arial Narrow" w:cs="Arial"/>
                <w:color w:val="000000" w:themeColor="text1"/>
                <w:sz w:val="18"/>
                <w:szCs w:val="18"/>
                <w:vertAlign w:val="superscript"/>
              </w:rPr>
              <w:t>2</w:t>
            </w:r>
          </w:p>
        </w:tc>
      </w:tr>
      <w:tr w:rsidR="00920E0A" w14:paraId="12B5114D" w14:textId="77777777" w:rsidTr="00F5257C">
        <w:trPr>
          <w:trHeight w:val="274"/>
        </w:trPr>
        <w:tc>
          <w:tcPr>
            <w:tcW w:w="6745" w:type="dxa"/>
            <w:shd w:val="clear" w:color="auto" w:fill="DEEAF6" w:themeFill="accent5" w:themeFillTint="33"/>
            <w:vAlign w:val="center"/>
          </w:tcPr>
          <w:p w14:paraId="065EBC1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7B63ADBA"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A0CA8D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F946FFA" w14:textId="77777777" w:rsidTr="00F5257C">
        <w:trPr>
          <w:trHeight w:val="274"/>
        </w:trPr>
        <w:tc>
          <w:tcPr>
            <w:tcW w:w="6745" w:type="dxa"/>
            <w:shd w:val="clear" w:color="auto" w:fill="DEEAF6" w:themeFill="accent5" w:themeFillTint="33"/>
            <w:vAlign w:val="center"/>
          </w:tcPr>
          <w:p w14:paraId="4765735D"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1A07A01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194412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9E4C7B1" w14:textId="77777777" w:rsidTr="00F5257C">
        <w:trPr>
          <w:trHeight w:val="274"/>
        </w:trPr>
        <w:tc>
          <w:tcPr>
            <w:tcW w:w="6745" w:type="dxa"/>
            <w:shd w:val="clear" w:color="auto" w:fill="DEEAF6" w:themeFill="accent5" w:themeFillTint="33"/>
            <w:vAlign w:val="center"/>
          </w:tcPr>
          <w:p w14:paraId="1C98987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251F0F5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39C2FD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2571BBB" w14:textId="77777777" w:rsidTr="00F5257C">
        <w:trPr>
          <w:trHeight w:val="274"/>
        </w:trPr>
        <w:tc>
          <w:tcPr>
            <w:tcW w:w="6745" w:type="dxa"/>
            <w:shd w:val="clear" w:color="auto" w:fill="DEEAF6" w:themeFill="accent5" w:themeFillTint="33"/>
            <w:vAlign w:val="center"/>
          </w:tcPr>
          <w:p w14:paraId="28CD90B1"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7134A36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0B6D7CBD"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37459CE" w14:textId="77777777" w:rsidTr="00F5257C">
        <w:trPr>
          <w:trHeight w:val="274"/>
        </w:trPr>
        <w:tc>
          <w:tcPr>
            <w:tcW w:w="6745" w:type="dxa"/>
            <w:shd w:val="clear" w:color="auto" w:fill="DEEAF6" w:themeFill="accent5" w:themeFillTint="33"/>
            <w:vAlign w:val="center"/>
          </w:tcPr>
          <w:p w14:paraId="62CF89D5"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4EE7935C"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250D1F3E" w14:textId="77777777" w:rsidR="00920E0A" w:rsidRPr="00704A02" w:rsidRDefault="00920E0A" w:rsidP="00F5257C">
            <w:pPr>
              <w:jc w:val="center"/>
              <w:rPr>
                <w:rFonts w:ascii="Arial" w:hAnsi="Arial" w:cs="Arial"/>
                <w:i/>
                <w:iCs/>
                <w:sz w:val="18"/>
                <w:szCs w:val="18"/>
              </w:rPr>
            </w:pPr>
          </w:p>
        </w:tc>
      </w:tr>
      <w:tr w:rsidR="00920E0A" w14:paraId="6A5AD6E8" w14:textId="77777777" w:rsidTr="00F5257C">
        <w:trPr>
          <w:trHeight w:val="274"/>
        </w:trPr>
        <w:tc>
          <w:tcPr>
            <w:tcW w:w="6745" w:type="dxa"/>
            <w:shd w:val="clear" w:color="auto" w:fill="DEEAF6" w:themeFill="accent5" w:themeFillTint="33"/>
            <w:vAlign w:val="center"/>
          </w:tcPr>
          <w:p w14:paraId="21A5E3DE"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74237FAE"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0E633B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50BD9BE0" w14:textId="77777777" w:rsidTr="00F5257C">
        <w:trPr>
          <w:trHeight w:val="274"/>
        </w:trPr>
        <w:tc>
          <w:tcPr>
            <w:tcW w:w="6745" w:type="dxa"/>
            <w:shd w:val="clear" w:color="auto" w:fill="DEEAF6" w:themeFill="accent5" w:themeFillTint="33"/>
            <w:vAlign w:val="center"/>
          </w:tcPr>
          <w:p w14:paraId="39F383E8"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4E183E4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319682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6C57FB1D" w14:textId="77777777" w:rsidTr="00F5257C">
        <w:trPr>
          <w:trHeight w:val="274"/>
        </w:trPr>
        <w:tc>
          <w:tcPr>
            <w:tcW w:w="6745" w:type="dxa"/>
            <w:shd w:val="clear" w:color="auto" w:fill="DEEAF6" w:themeFill="accent5" w:themeFillTint="33"/>
            <w:vAlign w:val="center"/>
          </w:tcPr>
          <w:p w14:paraId="1511B5F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637DC90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6B95C94A"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270A665" w14:textId="77777777" w:rsidTr="00F5257C">
        <w:trPr>
          <w:trHeight w:val="274"/>
        </w:trPr>
        <w:tc>
          <w:tcPr>
            <w:tcW w:w="6745" w:type="dxa"/>
            <w:shd w:val="clear" w:color="auto" w:fill="DEEAF6" w:themeFill="accent5" w:themeFillTint="33"/>
            <w:vAlign w:val="center"/>
          </w:tcPr>
          <w:p w14:paraId="064982A5"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4D25B833"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3B186893" w14:textId="77777777" w:rsidR="00920E0A" w:rsidRPr="00704A02" w:rsidRDefault="00920E0A" w:rsidP="00F5257C">
            <w:pPr>
              <w:jc w:val="center"/>
              <w:rPr>
                <w:rFonts w:ascii="Arial" w:hAnsi="Arial" w:cs="Arial"/>
                <w:i/>
                <w:iCs/>
                <w:sz w:val="18"/>
                <w:szCs w:val="18"/>
              </w:rPr>
            </w:pPr>
          </w:p>
        </w:tc>
      </w:tr>
      <w:tr w:rsidR="00920E0A" w:rsidRPr="001B059F" w14:paraId="3A0A7CB6" w14:textId="77777777" w:rsidTr="00F5257C">
        <w:trPr>
          <w:trHeight w:val="530"/>
        </w:trPr>
        <w:tc>
          <w:tcPr>
            <w:tcW w:w="9445" w:type="dxa"/>
            <w:gridSpan w:val="3"/>
            <w:shd w:val="clear" w:color="auto" w:fill="DEEAF6" w:themeFill="accent5" w:themeFillTint="33"/>
            <w:vAlign w:val="center"/>
          </w:tcPr>
          <w:p w14:paraId="26AC461D" w14:textId="77777777"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Pedestrian-oriented ground-floor designs are encouraged, including arcades, galleries, colonnades, outdoor dining areas, and outdoor plazas. When integrated into the overall building design, such features are considered to meet any required build-to percentage.</w:t>
            </w:r>
          </w:p>
        </w:tc>
      </w:tr>
      <w:tr w:rsidR="00920E0A" w14:paraId="3277696F" w14:textId="77777777" w:rsidTr="00F5257C">
        <w:trPr>
          <w:trHeight w:val="274"/>
        </w:trPr>
        <w:tc>
          <w:tcPr>
            <w:tcW w:w="6745" w:type="dxa"/>
            <w:shd w:val="clear" w:color="auto" w:fill="DEEAF6" w:themeFill="accent5" w:themeFillTint="33"/>
            <w:vAlign w:val="center"/>
          </w:tcPr>
          <w:p w14:paraId="3F5F121B"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3D46744B"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2E83CF5"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7AAF5908" w14:textId="77777777" w:rsidTr="00F5257C">
        <w:trPr>
          <w:trHeight w:val="274"/>
        </w:trPr>
        <w:tc>
          <w:tcPr>
            <w:tcW w:w="6745" w:type="dxa"/>
            <w:shd w:val="clear" w:color="auto" w:fill="DEEAF6" w:themeFill="accent5" w:themeFillTint="33"/>
            <w:vAlign w:val="center"/>
          </w:tcPr>
          <w:p w14:paraId="2A14866A"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7075681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63276DE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A0E0A16" w14:textId="77777777" w:rsidTr="00F5257C">
        <w:trPr>
          <w:trHeight w:val="274"/>
        </w:trPr>
        <w:tc>
          <w:tcPr>
            <w:tcW w:w="6745" w:type="dxa"/>
            <w:shd w:val="clear" w:color="auto" w:fill="DEEAF6" w:themeFill="accent5" w:themeFillTint="33"/>
            <w:vAlign w:val="center"/>
          </w:tcPr>
          <w:p w14:paraId="33F7714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36C0B37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19B0ADF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2BE5657" w14:textId="77777777" w:rsidTr="00F5257C">
        <w:trPr>
          <w:trHeight w:val="274"/>
        </w:trPr>
        <w:tc>
          <w:tcPr>
            <w:tcW w:w="6745" w:type="dxa"/>
            <w:shd w:val="clear" w:color="auto" w:fill="DEEAF6" w:themeFill="accent5" w:themeFillTint="33"/>
            <w:vAlign w:val="center"/>
          </w:tcPr>
          <w:p w14:paraId="77A5BA6A"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2BED7F34"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135A9C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724A68D" w14:textId="77777777" w:rsidTr="00F5257C">
        <w:trPr>
          <w:trHeight w:val="274"/>
        </w:trPr>
        <w:tc>
          <w:tcPr>
            <w:tcW w:w="6745" w:type="dxa"/>
            <w:shd w:val="clear" w:color="auto" w:fill="DEEAF6" w:themeFill="accent5" w:themeFillTint="33"/>
            <w:vAlign w:val="center"/>
          </w:tcPr>
          <w:p w14:paraId="2B02F96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2C27E926"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122817C5" w14:textId="77777777" w:rsidR="00920E0A" w:rsidRPr="00704A02" w:rsidRDefault="00920E0A" w:rsidP="00F5257C">
            <w:pPr>
              <w:jc w:val="center"/>
              <w:rPr>
                <w:rFonts w:ascii="Arial" w:hAnsi="Arial" w:cs="Arial"/>
                <w:i/>
                <w:iCs/>
                <w:sz w:val="18"/>
                <w:szCs w:val="18"/>
              </w:rPr>
            </w:pPr>
          </w:p>
        </w:tc>
      </w:tr>
      <w:tr w:rsidR="00920E0A" w14:paraId="40D164D2" w14:textId="77777777" w:rsidTr="00F5257C">
        <w:trPr>
          <w:trHeight w:val="274"/>
        </w:trPr>
        <w:tc>
          <w:tcPr>
            <w:tcW w:w="6745" w:type="dxa"/>
            <w:shd w:val="clear" w:color="auto" w:fill="DEEAF6" w:themeFill="accent5" w:themeFillTint="33"/>
            <w:vAlign w:val="center"/>
          </w:tcPr>
          <w:p w14:paraId="44163BB9"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23FE138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653F19E5"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769DF68" w14:textId="77777777" w:rsidTr="00F5257C">
        <w:trPr>
          <w:trHeight w:val="274"/>
        </w:trPr>
        <w:tc>
          <w:tcPr>
            <w:tcW w:w="6745" w:type="dxa"/>
            <w:shd w:val="clear" w:color="auto" w:fill="DEEAF6" w:themeFill="accent5" w:themeFillTint="33"/>
            <w:vAlign w:val="center"/>
          </w:tcPr>
          <w:p w14:paraId="3C15A514"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256AD37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E3F8F51"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49F8831" w14:textId="77777777" w:rsidTr="00F5257C">
        <w:trPr>
          <w:trHeight w:val="274"/>
        </w:trPr>
        <w:tc>
          <w:tcPr>
            <w:tcW w:w="6745" w:type="dxa"/>
            <w:shd w:val="clear" w:color="auto" w:fill="DEEAF6" w:themeFill="accent5" w:themeFillTint="33"/>
            <w:vAlign w:val="center"/>
          </w:tcPr>
          <w:p w14:paraId="73AC6F78"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393D54DE"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0ED8F4F"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399551D" w14:textId="77777777" w:rsidTr="00F5257C">
        <w:trPr>
          <w:trHeight w:val="274"/>
        </w:trPr>
        <w:tc>
          <w:tcPr>
            <w:tcW w:w="6745" w:type="dxa"/>
            <w:shd w:val="clear" w:color="auto" w:fill="DEEAF6" w:themeFill="accent5" w:themeFillTint="33"/>
            <w:vAlign w:val="center"/>
          </w:tcPr>
          <w:p w14:paraId="6738860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7E79E7A2"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25B81F66" w14:textId="77777777" w:rsidR="00920E0A" w:rsidRPr="00704A02" w:rsidRDefault="00920E0A" w:rsidP="00F5257C">
            <w:pPr>
              <w:jc w:val="center"/>
              <w:rPr>
                <w:rFonts w:ascii="Arial" w:hAnsi="Arial" w:cs="Arial"/>
                <w:i/>
                <w:iCs/>
                <w:sz w:val="18"/>
                <w:szCs w:val="18"/>
              </w:rPr>
            </w:pPr>
          </w:p>
        </w:tc>
      </w:tr>
    </w:tbl>
    <w:tbl>
      <w:tblPr>
        <w:tblStyle w:val="TableGrid1"/>
        <w:tblW w:w="9355" w:type="dxa"/>
        <w:tblInd w:w="5" w:type="dxa"/>
        <w:tblLook w:val="04A0" w:firstRow="1" w:lastRow="0" w:firstColumn="1" w:lastColumn="0" w:noHBand="0" w:noVBand="1"/>
      </w:tblPr>
      <w:tblGrid>
        <w:gridCol w:w="346"/>
        <w:gridCol w:w="9009"/>
      </w:tblGrid>
      <w:tr w:rsidR="00457E3D" w:rsidRPr="001B059F" w14:paraId="2D19D729" w14:textId="77777777" w:rsidTr="004848D5">
        <w:trPr>
          <w:trHeight w:val="215"/>
        </w:trPr>
        <w:tc>
          <w:tcPr>
            <w:tcW w:w="346" w:type="dxa"/>
            <w:tcBorders>
              <w:top w:val="nil"/>
              <w:left w:val="nil"/>
              <w:bottom w:val="nil"/>
              <w:right w:val="nil"/>
            </w:tcBorders>
            <w:shd w:val="clear" w:color="auto" w:fill="FFFFFF" w:themeFill="background1"/>
          </w:tcPr>
          <w:bookmarkEnd w:id="5"/>
          <w:p w14:paraId="37B332A3" w14:textId="6917D058" w:rsidR="001B43EB" w:rsidRPr="003C67EA" w:rsidRDefault="0010513D" w:rsidP="001B059F">
            <w:pPr>
              <w:rPr>
                <w:rFonts w:ascii="Arial Narrow" w:hAnsi="Arial Narrow" w:cs="Arial"/>
                <w:b/>
                <w:bCs/>
                <w:sz w:val="18"/>
                <w:szCs w:val="18"/>
              </w:rPr>
            </w:pPr>
            <w:r w:rsidRPr="003C67EA">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70AA6FC7" w14:textId="5FA9E3CD" w:rsidR="001B43EB" w:rsidRPr="001B059F" w:rsidRDefault="00BC5C35" w:rsidP="001B059F">
            <w:pPr>
              <w:rPr>
                <w:rFonts w:ascii="Arial Narrow" w:hAnsi="Arial Narrow" w:cs="Arial"/>
                <w:sz w:val="18"/>
                <w:szCs w:val="18"/>
              </w:rPr>
            </w:pPr>
            <w:r w:rsidRPr="003C67EA">
              <w:rPr>
                <w:rFonts w:ascii="Arial Narrow" w:hAnsi="Arial Narrow" w:cs="Arial"/>
                <w:sz w:val="18"/>
                <w:szCs w:val="18"/>
              </w:rPr>
              <w:t>The Zoning Administrator may waive this requirement if they determine that the nature of the use does not require such pedestrian connections, for example warehouse and distribution centers, airports, truck and rail freight terminals, and other similar uses.</w:t>
            </w:r>
          </w:p>
        </w:tc>
      </w:tr>
    </w:tbl>
    <w:p w14:paraId="77A2254E" w14:textId="77777777" w:rsidR="001B43EB" w:rsidRDefault="001B43EB" w:rsidP="001B059F">
      <w:pPr>
        <w:rPr>
          <w:rFonts w:ascii="Arial" w:hAnsi="Arial" w:cs="Arial"/>
          <w:sz w:val="18"/>
          <w:szCs w:val="18"/>
        </w:rPr>
      </w:pPr>
    </w:p>
    <w:p w14:paraId="33589F98" w14:textId="4FBCBF14" w:rsidR="00533E0E" w:rsidRDefault="00533E0E" w:rsidP="001B059F">
      <w:pPr>
        <w:rPr>
          <w:rFonts w:ascii="Arial" w:hAnsi="Arial" w:cs="Arial"/>
          <w:b/>
          <w:bCs/>
          <w:sz w:val="18"/>
          <w:szCs w:val="18"/>
        </w:rPr>
      </w:pPr>
      <w:r>
        <w:rPr>
          <w:rFonts w:ascii="Arial" w:hAnsi="Arial" w:cs="Arial"/>
          <w:b/>
          <w:bCs/>
          <w:sz w:val="18"/>
          <w:szCs w:val="18"/>
        </w:rPr>
        <w:t>H</w:t>
      </w:r>
      <w:r w:rsidR="005C3515">
        <w:rPr>
          <w:rFonts w:ascii="Arial" w:hAnsi="Arial" w:cs="Arial"/>
          <w:b/>
          <w:bCs/>
          <w:sz w:val="18"/>
          <w:szCs w:val="18"/>
        </w:rPr>
        <w:t xml:space="preserve">. </w:t>
      </w:r>
      <w:r w:rsidR="005C3515">
        <w:rPr>
          <w:rFonts w:ascii="Arial" w:hAnsi="Arial" w:cs="Arial"/>
          <w:b/>
          <w:bCs/>
          <w:sz w:val="18"/>
          <w:szCs w:val="18"/>
        </w:rPr>
        <w:tab/>
      </w:r>
      <w:r w:rsidR="00C5165F" w:rsidRPr="00C5165F">
        <w:rPr>
          <w:rFonts w:ascii="Arial" w:hAnsi="Arial" w:cs="Arial"/>
          <w:b/>
          <w:bCs/>
          <w:sz w:val="18"/>
          <w:szCs w:val="18"/>
        </w:rPr>
        <w:t xml:space="preserve">Building </w:t>
      </w:r>
      <w:r w:rsidR="005C3515">
        <w:rPr>
          <w:rFonts w:ascii="Arial" w:hAnsi="Arial" w:cs="Arial"/>
          <w:b/>
          <w:bCs/>
          <w:sz w:val="18"/>
          <w:szCs w:val="18"/>
        </w:rPr>
        <w:t>M</w:t>
      </w:r>
      <w:r w:rsidR="00C5165F" w:rsidRPr="00C5165F">
        <w:rPr>
          <w:rFonts w:ascii="Arial" w:hAnsi="Arial" w:cs="Arial"/>
          <w:b/>
          <w:bCs/>
          <w:sz w:val="18"/>
          <w:szCs w:val="18"/>
        </w:rPr>
        <w:t>aterials</w:t>
      </w:r>
    </w:p>
    <w:p w14:paraId="142B25F8" w14:textId="6A3802FF" w:rsidR="003D7CA4" w:rsidRDefault="00CF7F1B" w:rsidP="0010513D">
      <w:pPr>
        <w:autoSpaceDE w:val="0"/>
        <w:autoSpaceDN w:val="0"/>
        <w:adjustRightInd w:val="0"/>
        <w:rPr>
          <w:rFonts w:ascii="Arial" w:hAnsi="Arial" w:cs="Arial"/>
          <w:b/>
          <w:sz w:val="18"/>
          <w:szCs w:val="18"/>
        </w:rPr>
      </w:pPr>
      <w:r>
        <w:rPr>
          <w:rFonts w:ascii="Arial" w:hAnsi="Arial" w:cs="Arial"/>
          <w:sz w:val="18"/>
          <w:szCs w:val="18"/>
        </w:rPr>
        <w:t>T</w:t>
      </w:r>
      <w:r w:rsidRPr="006B6EA7">
        <w:rPr>
          <w:rFonts w:ascii="Arial" w:hAnsi="Arial" w:cs="Arial"/>
          <w:sz w:val="18"/>
          <w:szCs w:val="18"/>
        </w:rPr>
        <w:t>he following building materials are limited to 25% of each façade</w:t>
      </w:r>
      <w:r>
        <w:rPr>
          <w:rFonts w:ascii="Arial" w:hAnsi="Arial" w:cs="Arial"/>
          <w:sz w:val="18"/>
          <w:szCs w:val="18"/>
        </w:rPr>
        <w:t xml:space="preserve"> along a frontage. </w:t>
      </w:r>
      <w:r w:rsidRPr="006B6EA7">
        <w:rPr>
          <w:rFonts w:ascii="Arial" w:hAnsi="Arial" w:cs="Arial"/>
          <w:sz w:val="18"/>
          <w:szCs w:val="18"/>
        </w:rPr>
        <w:t>They may also be used as a component of construction when not a surface finish material without limitation.</w:t>
      </w:r>
    </w:p>
    <w:p w14:paraId="770C33D2" w14:textId="77777777" w:rsidR="0010513D" w:rsidRDefault="0010513D" w:rsidP="00857890">
      <w:pPr>
        <w:autoSpaceDE w:val="0"/>
        <w:autoSpaceDN w:val="0"/>
        <w:adjustRightInd w:val="0"/>
        <w:ind w:left="360"/>
        <w:rPr>
          <w:rFonts w:ascii="Arial" w:hAnsi="Arial" w:cs="Arial"/>
          <w:b/>
          <w:sz w:val="18"/>
          <w:szCs w:val="18"/>
        </w:rPr>
      </w:pPr>
    </w:p>
    <w:p w14:paraId="1A4F6EAC" w14:textId="617C4266" w:rsidR="00530393" w:rsidRDefault="00530393" w:rsidP="00857890">
      <w:pPr>
        <w:autoSpaceDE w:val="0"/>
        <w:autoSpaceDN w:val="0"/>
        <w:adjustRightInd w:val="0"/>
        <w:ind w:left="360"/>
        <w:rPr>
          <w:rFonts w:ascii="Arial" w:hAnsi="Arial" w:cs="Arial"/>
          <w:sz w:val="18"/>
          <w:szCs w:val="18"/>
        </w:rPr>
      </w:pPr>
      <w:r>
        <w:rPr>
          <w:rFonts w:ascii="Arial" w:hAnsi="Arial" w:cs="Arial"/>
          <w:b/>
          <w:sz w:val="18"/>
          <w:szCs w:val="18"/>
        </w:rPr>
        <w:t>1</w:t>
      </w:r>
      <w:r w:rsidRPr="00CB1CCE">
        <w:rPr>
          <w:rFonts w:ascii="Arial" w:hAnsi="Arial" w:cs="Arial"/>
          <w:b/>
          <w:sz w:val="18"/>
          <w:szCs w:val="18"/>
        </w:rPr>
        <w:t>.</w:t>
      </w:r>
      <w:r w:rsidRPr="00CB1CCE">
        <w:rPr>
          <w:rFonts w:ascii="Arial" w:hAnsi="Arial" w:cs="Arial"/>
          <w:sz w:val="18"/>
          <w:szCs w:val="18"/>
        </w:rPr>
        <w:tab/>
      </w:r>
      <w:r>
        <w:rPr>
          <w:rFonts w:ascii="Arial" w:hAnsi="Arial" w:cs="Arial"/>
          <w:sz w:val="18"/>
          <w:szCs w:val="18"/>
        </w:rPr>
        <w:t xml:space="preserve">Corrugated metal siding; however, </w:t>
      </w:r>
      <w:r w:rsidR="000265C1">
        <w:rPr>
          <w:rFonts w:ascii="Arial" w:hAnsi="Arial" w:cs="Arial"/>
          <w:sz w:val="18"/>
          <w:szCs w:val="18"/>
        </w:rPr>
        <w:t xml:space="preserve">the </w:t>
      </w:r>
      <w:r>
        <w:rPr>
          <w:rFonts w:ascii="Arial" w:hAnsi="Arial" w:cs="Arial"/>
          <w:sz w:val="18"/>
          <w:szCs w:val="18"/>
        </w:rPr>
        <w:t>r</w:t>
      </w:r>
      <w:r w:rsidRPr="0054162C">
        <w:rPr>
          <w:rFonts w:ascii="Arial" w:hAnsi="Arial" w:cs="Arial"/>
          <w:sz w:val="18"/>
          <w:szCs w:val="18"/>
        </w:rPr>
        <w:t xml:space="preserve">euse of </w:t>
      </w:r>
      <w:proofErr w:type="gramStart"/>
      <w:r w:rsidRPr="0054162C">
        <w:rPr>
          <w:rFonts w:ascii="Arial" w:hAnsi="Arial" w:cs="Arial"/>
          <w:sz w:val="18"/>
          <w:szCs w:val="18"/>
        </w:rPr>
        <w:t>pre-fabricated</w:t>
      </w:r>
      <w:proofErr w:type="gramEnd"/>
      <w:r w:rsidRPr="0054162C">
        <w:rPr>
          <w:rFonts w:ascii="Arial" w:hAnsi="Arial" w:cs="Arial"/>
          <w:sz w:val="18"/>
          <w:szCs w:val="18"/>
        </w:rPr>
        <w:t xml:space="preserve"> shipping containers</w:t>
      </w:r>
      <w:r>
        <w:rPr>
          <w:rFonts w:ascii="Arial" w:hAnsi="Arial" w:cs="Arial"/>
          <w:sz w:val="18"/>
          <w:szCs w:val="18"/>
        </w:rPr>
        <w:t xml:space="preserve"> is permitted and</w:t>
      </w:r>
      <w:r w:rsidR="000265C1">
        <w:rPr>
          <w:rFonts w:ascii="Arial" w:hAnsi="Arial" w:cs="Arial"/>
          <w:sz w:val="18"/>
          <w:szCs w:val="18"/>
        </w:rPr>
        <w:t xml:space="preserve"> is</w:t>
      </w:r>
      <w:r>
        <w:rPr>
          <w:rFonts w:ascii="Arial" w:hAnsi="Arial" w:cs="Arial"/>
          <w:sz w:val="18"/>
          <w:szCs w:val="18"/>
        </w:rPr>
        <w:t xml:space="preserve"> not subject to this limitation</w:t>
      </w:r>
      <w:r w:rsidRPr="0054162C">
        <w:rPr>
          <w:rFonts w:ascii="Arial" w:hAnsi="Arial" w:cs="Arial"/>
          <w:sz w:val="18"/>
          <w:szCs w:val="18"/>
        </w:rPr>
        <w:t>, subject to compliance with the building code and other applicable codes</w:t>
      </w:r>
    </w:p>
    <w:p w14:paraId="65A7BBDA" w14:textId="77777777" w:rsidR="00533E0E" w:rsidRPr="00CB1CCE" w:rsidRDefault="00533E0E" w:rsidP="0010513D">
      <w:pPr>
        <w:autoSpaceDE w:val="0"/>
        <w:autoSpaceDN w:val="0"/>
        <w:adjustRightInd w:val="0"/>
        <w:rPr>
          <w:rFonts w:ascii="Arial" w:hAnsi="Arial" w:cs="Arial"/>
          <w:sz w:val="18"/>
          <w:szCs w:val="18"/>
        </w:rPr>
      </w:pPr>
    </w:p>
    <w:p w14:paraId="6EDE85B7" w14:textId="187633D7" w:rsidR="00533E0E" w:rsidRPr="00CB1CC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2</w:t>
      </w:r>
      <w:r w:rsidR="00533E0E" w:rsidRPr="00CB1CCE">
        <w:rPr>
          <w:rFonts w:ascii="Arial" w:hAnsi="Arial" w:cs="Arial"/>
          <w:b/>
          <w:sz w:val="18"/>
          <w:szCs w:val="18"/>
        </w:rPr>
        <w:t>.</w:t>
      </w:r>
      <w:r w:rsidR="00533E0E" w:rsidRPr="00CB1CCE">
        <w:rPr>
          <w:rFonts w:ascii="Arial" w:hAnsi="Arial" w:cs="Arial"/>
          <w:sz w:val="18"/>
          <w:szCs w:val="18"/>
        </w:rPr>
        <w:tab/>
      </w:r>
      <w:r w:rsidR="00533E0E">
        <w:rPr>
          <w:rFonts w:ascii="Arial" w:hAnsi="Arial" w:cs="Arial"/>
          <w:sz w:val="18"/>
          <w:szCs w:val="18"/>
        </w:rPr>
        <w:t>Plain concrete masonry units (CMU)</w:t>
      </w:r>
    </w:p>
    <w:p w14:paraId="69BCB06B" w14:textId="77777777" w:rsidR="00533E0E" w:rsidRPr="00CB1CCE" w:rsidRDefault="00533E0E" w:rsidP="001B059F">
      <w:pPr>
        <w:autoSpaceDE w:val="0"/>
        <w:autoSpaceDN w:val="0"/>
        <w:adjustRightInd w:val="0"/>
        <w:ind w:left="360"/>
        <w:rPr>
          <w:rFonts w:ascii="Arial" w:hAnsi="Arial" w:cs="Arial"/>
          <w:sz w:val="18"/>
          <w:szCs w:val="18"/>
        </w:rPr>
      </w:pPr>
    </w:p>
    <w:p w14:paraId="06C8EB4A" w14:textId="17B5AD2C" w:rsidR="00533E0E" w:rsidRPr="00CB1CC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3</w:t>
      </w:r>
      <w:r w:rsidR="00533E0E">
        <w:rPr>
          <w:rFonts w:ascii="Arial" w:hAnsi="Arial" w:cs="Arial"/>
          <w:b/>
          <w:sz w:val="18"/>
          <w:szCs w:val="18"/>
        </w:rPr>
        <w:t>.</w:t>
      </w:r>
      <w:r w:rsidR="00533E0E" w:rsidRPr="00CB1CCE">
        <w:rPr>
          <w:rFonts w:ascii="Arial" w:hAnsi="Arial" w:cs="Arial"/>
          <w:sz w:val="18"/>
          <w:szCs w:val="18"/>
        </w:rPr>
        <w:tab/>
        <w:t>Plastic</w:t>
      </w:r>
    </w:p>
    <w:p w14:paraId="64F7375E" w14:textId="77777777" w:rsidR="00533E0E" w:rsidRPr="00CB1CCE" w:rsidRDefault="00533E0E" w:rsidP="001B059F">
      <w:pPr>
        <w:autoSpaceDE w:val="0"/>
        <w:autoSpaceDN w:val="0"/>
        <w:adjustRightInd w:val="0"/>
        <w:ind w:left="360"/>
        <w:rPr>
          <w:rFonts w:ascii="Arial" w:hAnsi="Arial" w:cs="Arial"/>
          <w:sz w:val="18"/>
          <w:szCs w:val="18"/>
        </w:rPr>
      </w:pPr>
    </w:p>
    <w:p w14:paraId="7B1407E8" w14:textId="049077AD" w:rsidR="00533E0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4</w:t>
      </w:r>
      <w:r w:rsidR="00533E0E" w:rsidRPr="00CB1CCE">
        <w:rPr>
          <w:rFonts w:ascii="Arial" w:hAnsi="Arial" w:cs="Arial"/>
          <w:b/>
          <w:sz w:val="18"/>
          <w:szCs w:val="18"/>
        </w:rPr>
        <w:t>.</w:t>
      </w:r>
      <w:r w:rsidR="00533E0E" w:rsidRPr="00CB1CCE">
        <w:rPr>
          <w:rFonts w:ascii="Arial" w:hAnsi="Arial" w:cs="Arial"/>
          <w:sz w:val="18"/>
          <w:szCs w:val="18"/>
        </w:rPr>
        <w:tab/>
      </w:r>
      <w:r w:rsidR="00533E0E">
        <w:rPr>
          <w:rFonts w:ascii="Arial" w:hAnsi="Arial" w:cs="Arial"/>
          <w:sz w:val="18"/>
          <w:szCs w:val="18"/>
        </w:rPr>
        <w:t>T-111 composite plywood siding</w:t>
      </w:r>
    </w:p>
    <w:p w14:paraId="4A804BA9" w14:textId="77777777" w:rsidR="00533E0E" w:rsidRDefault="00533E0E" w:rsidP="001B059F">
      <w:pPr>
        <w:autoSpaceDE w:val="0"/>
        <w:autoSpaceDN w:val="0"/>
        <w:adjustRightInd w:val="0"/>
        <w:ind w:left="360"/>
        <w:rPr>
          <w:rFonts w:ascii="Arial" w:hAnsi="Arial" w:cs="Arial"/>
          <w:sz w:val="18"/>
          <w:szCs w:val="18"/>
        </w:rPr>
      </w:pPr>
    </w:p>
    <w:p w14:paraId="36E38051" w14:textId="2E0F26F5" w:rsidR="00533E0E" w:rsidRPr="00737D83" w:rsidRDefault="00857890" w:rsidP="001B059F">
      <w:pPr>
        <w:autoSpaceDE w:val="0"/>
        <w:autoSpaceDN w:val="0"/>
        <w:adjustRightInd w:val="0"/>
        <w:ind w:left="360"/>
        <w:rPr>
          <w:rFonts w:ascii="Arial" w:hAnsi="Arial" w:cs="Arial"/>
          <w:sz w:val="18"/>
          <w:szCs w:val="18"/>
        </w:rPr>
      </w:pPr>
      <w:r>
        <w:rPr>
          <w:rFonts w:ascii="Arial" w:hAnsi="Arial" w:cs="Arial"/>
          <w:b/>
          <w:bCs/>
          <w:sz w:val="18"/>
          <w:szCs w:val="18"/>
        </w:rPr>
        <w:t>5</w:t>
      </w:r>
      <w:r w:rsidR="00533E0E" w:rsidRPr="00382A74">
        <w:rPr>
          <w:rFonts w:ascii="Arial" w:hAnsi="Arial" w:cs="Arial"/>
          <w:b/>
          <w:bCs/>
          <w:sz w:val="18"/>
          <w:szCs w:val="18"/>
        </w:rPr>
        <w:t>.</w:t>
      </w:r>
      <w:r w:rsidR="00533E0E">
        <w:rPr>
          <w:rFonts w:ascii="Arial" w:hAnsi="Arial" w:cs="Arial"/>
          <w:sz w:val="18"/>
          <w:szCs w:val="18"/>
        </w:rPr>
        <w:tab/>
        <w:t>Vinyl</w:t>
      </w:r>
    </w:p>
    <w:p w14:paraId="11359C0C" w14:textId="77777777" w:rsidR="00D64D84" w:rsidRDefault="00D64D84" w:rsidP="001B059F">
      <w:pPr>
        <w:rPr>
          <w:rFonts w:ascii="Arial" w:hAnsi="Arial" w:cs="Arial"/>
          <w:b/>
          <w:bCs/>
          <w:sz w:val="18"/>
          <w:szCs w:val="18"/>
        </w:rPr>
      </w:pPr>
    </w:p>
    <w:p w14:paraId="27054C01" w14:textId="578275FB" w:rsidR="005C3515"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6.4</w:t>
      </w:r>
      <w:r w:rsidR="00F11682">
        <w:rPr>
          <w:rFonts w:ascii="Arial" w:hAnsi="Arial" w:cs="Arial"/>
          <w:b/>
          <w:bCs/>
          <w:sz w:val="18"/>
          <w:szCs w:val="18"/>
        </w:rPr>
        <w:t xml:space="preserve">   </w:t>
      </w:r>
      <w:r w:rsidR="00333A4F">
        <w:rPr>
          <w:rFonts w:ascii="Arial" w:hAnsi="Arial" w:cs="Arial"/>
          <w:b/>
          <w:bCs/>
          <w:sz w:val="18"/>
          <w:szCs w:val="18"/>
        </w:rPr>
        <w:t>OPEN SPACE REQUIREMENTS</w:t>
      </w:r>
    </w:p>
    <w:p w14:paraId="5A5759F0" w14:textId="17564DFB" w:rsidR="00125578" w:rsidRDefault="00125578" w:rsidP="001B059F">
      <w:pPr>
        <w:rPr>
          <w:rFonts w:ascii="Arial" w:hAnsi="Arial" w:cs="Arial"/>
          <w:sz w:val="18"/>
          <w:szCs w:val="18"/>
        </w:rPr>
      </w:pPr>
    </w:p>
    <w:p w14:paraId="0CF4F678" w14:textId="5B7F0909" w:rsidR="00605F61" w:rsidRDefault="008A3299" w:rsidP="001B059F">
      <w:pPr>
        <w:rPr>
          <w:rFonts w:ascii="Arial" w:hAnsi="Arial" w:cs="Arial"/>
          <w:sz w:val="18"/>
          <w:szCs w:val="18"/>
        </w:rPr>
      </w:pPr>
      <w:r w:rsidRPr="00ED4CB3">
        <w:rPr>
          <w:rFonts w:ascii="Arial" w:hAnsi="Arial" w:cs="Arial"/>
          <w:b/>
          <w:bCs/>
          <w:sz w:val="18"/>
          <w:szCs w:val="18"/>
        </w:rPr>
        <w:t>A.</w:t>
      </w:r>
      <w:r w:rsidRPr="00ED4CB3">
        <w:rPr>
          <w:rFonts w:ascii="Arial" w:hAnsi="Arial" w:cs="Arial"/>
          <w:b/>
          <w:bCs/>
          <w:sz w:val="18"/>
          <w:szCs w:val="18"/>
        </w:rPr>
        <w:tab/>
      </w:r>
      <w:r w:rsidR="00605F61" w:rsidRPr="00ED4CB3">
        <w:rPr>
          <w:rFonts w:ascii="Arial" w:hAnsi="Arial" w:cs="Arial"/>
          <w:sz w:val="18"/>
          <w:szCs w:val="18"/>
        </w:rPr>
        <w:t xml:space="preserve">New </w:t>
      </w:r>
      <w:r w:rsidR="00D55092" w:rsidRPr="00ED4CB3">
        <w:rPr>
          <w:rFonts w:ascii="Arial" w:hAnsi="Arial" w:cs="Arial"/>
          <w:sz w:val="18"/>
          <w:szCs w:val="18"/>
        </w:rPr>
        <w:t xml:space="preserve">construction of a principal building </w:t>
      </w:r>
      <w:r w:rsidR="00B67AFD" w:rsidRPr="00ED4CB3">
        <w:rPr>
          <w:rFonts w:ascii="Arial" w:hAnsi="Arial" w:cs="Arial"/>
          <w:sz w:val="18"/>
          <w:szCs w:val="18"/>
        </w:rPr>
        <w:t xml:space="preserve">of 1,000 square feet or greater </w:t>
      </w:r>
      <w:r w:rsidR="00605F61" w:rsidRPr="00ED4CB3">
        <w:rPr>
          <w:rFonts w:ascii="Arial" w:hAnsi="Arial" w:cs="Arial"/>
          <w:sz w:val="18"/>
          <w:szCs w:val="18"/>
        </w:rPr>
        <w:t>and</w:t>
      </w:r>
      <w:r w:rsidR="00B67AFD" w:rsidRPr="00ED4CB3">
        <w:rPr>
          <w:rFonts w:ascii="Arial" w:hAnsi="Arial" w:cs="Arial"/>
          <w:sz w:val="18"/>
          <w:szCs w:val="18"/>
        </w:rPr>
        <w:t>/or</w:t>
      </w:r>
      <w:r w:rsidR="00605F61" w:rsidRPr="00ED4CB3">
        <w:rPr>
          <w:rFonts w:ascii="Arial" w:hAnsi="Arial" w:cs="Arial"/>
          <w:sz w:val="18"/>
          <w:szCs w:val="18"/>
        </w:rPr>
        <w:t xml:space="preserve"> expansion of a </w:t>
      </w:r>
      <w:r w:rsidR="00D55092" w:rsidRPr="00ED4CB3">
        <w:rPr>
          <w:rFonts w:ascii="Arial" w:hAnsi="Arial" w:cs="Arial"/>
          <w:sz w:val="18"/>
          <w:szCs w:val="18"/>
        </w:rPr>
        <w:t xml:space="preserve">principal </w:t>
      </w:r>
      <w:r w:rsidR="00605F61" w:rsidRPr="00ED4CB3">
        <w:rPr>
          <w:rFonts w:ascii="Arial" w:hAnsi="Arial" w:cs="Arial"/>
          <w:sz w:val="18"/>
          <w:szCs w:val="18"/>
        </w:rPr>
        <w:t>building</w:t>
      </w:r>
      <w:r w:rsidR="00605F61" w:rsidRPr="00E61E23" w:rsidDel="00E61E23">
        <w:rPr>
          <w:rFonts w:ascii="Arial" w:hAnsi="Arial" w:cs="Arial"/>
          <w:sz w:val="18"/>
          <w:szCs w:val="18"/>
        </w:rPr>
        <w:t xml:space="preserve"> </w:t>
      </w:r>
      <w:r w:rsidR="0053501F">
        <w:rPr>
          <w:rFonts w:ascii="Arial" w:hAnsi="Arial" w:cs="Arial"/>
          <w:sz w:val="18"/>
          <w:szCs w:val="18"/>
        </w:rPr>
        <w:t xml:space="preserve">by </w:t>
      </w:r>
      <w:r w:rsidR="007E0B93">
        <w:rPr>
          <w:rFonts w:ascii="Arial" w:hAnsi="Arial" w:cs="Arial"/>
          <w:sz w:val="18"/>
          <w:szCs w:val="18"/>
        </w:rPr>
        <w:t>5,000</w:t>
      </w:r>
      <w:r w:rsidR="0053501F">
        <w:rPr>
          <w:rFonts w:ascii="Arial" w:hAnsi="Arial" w:cs="Arial"/>
          <w:sz w:val="18"/>
          <w:szCs w:val="18"/>
        </w:rPr>
        <w:t xml:space="preserve"> square feet or 20% of the building area, whichever is less,</w:t>
      </w:r>
      <w:r w:rsidR="00605F61">
        <w:rPr>
          <w:rFonts w:ascii="Arial" w:hAnsi="Arial" w:cs="Arial"/>
          <w:sz w:val="18"/>
          <w:szCs w:val="18"/>
        </w:rPr>
        <w:t xml:space="preserve"> is</w:t>
      </w:r>
      <w:r w:rsidR="00605F61" w:rsidRPr="00125578">
        <w:rPr>
          <w:rFonts w:ascii="Arial" w:hAnsi="Arial" w:cs="Arial"/>
          <w:sz w:val="18"/>
          <w:szCs w:val="18"/>
        </w:rPr>
        <w:t xml:space="preserve"> required to provide on-site open space, except for</w:t>
      </w:r>
      <w:r w:rsidR="00605F61">
        <w:rPr>
          <w:rFonts w:ascii="Arial" w:hAnsi="Arial" w:cs="Arial"/>
          <w:sz w:val="18"/>
          <w:szCs w:val="18"/>
        </w:rPr>
        <w:t xml:space="preserve"> d</w:t>
      </w:r>
      <w:r w:rsidR="00605F61" w:rsidRPr="00125578">
        <w:rPr>
          <w:rFonts w:ascii="Arial" w:hAnsi="Arial" w:cs="Arial"/>
          <w:sz w:val="18"/>
          <w:szCs w:val="18"/>
        </w:rPr>
        <w:t xml:space="preserve">evelopment on </w:t>
      </w:r>
      <w:r w:rsidR="00605F61">
        <w:rPr>
          <w:rFonts w:ascii="Arial" w:hAnsi="Arial" w:cs="Arial"/>
          <w:sz w:val="18"/>
          <w:szCs w:val="18"/>
        </w:rPr>
        <w:t>sites</w:t>
      </w:r>
      <w:r w:rsidR="00605F61" w:rsidRPr="00125578">
        <w:rPr>
          <w:rFonts w:ascii="Arial" w:hAnsi="Arial" w:cs="Arial"/>
          <w:sz w:val="18"/>
          <w:szCs w:val="18"/>
        </w:rPr>
        <w:t xml:space="preserve"> of one-half acre or less in size</w:t>
      </w:r>
      <w:r w:rsidR="00605F61">
        <w:rPr>
          <w:rFonts w:ascii="Arial" w:hAnsi="Arial" w:cs="Arial"/>
          <w:sz w:val="18"/>
          <w:szCs w:val="18"/>
        </w:rPr>
        <w:t>.</w:t>
      </w:r>
    </w:p>
    <w:p w14:paraId="7DAE9018" w14:textId="77777777" w:rsidR="008A3299" w:rsidRDefault="008A3299" w:rsidP="001B059F">
      <w:pPr>
        <w:rPr>
          <w:rFonts w:ascii="Arial" w:hAnsi="Arial" w:cs="Arial"/>
          <w:b/>
          <w:bCs/>
          <w:sz w:val="18"/>
          <w:szCs w:val="18"/>
        </w:rPr>
      </w:pPr>
    </w:p>
    <w:p w14:paraId="030E0C53" w14:textId="62B7D795" w:rsidR="00125578" w:rsidRPr="00125578" w:rsidRDefault="00DD2C00" w:rsidP="001B059F">
      <w:pPr>
        <w:rPr>
          <w:rFonts w:ascii="Arial" w:hAnsi="Arial" w:cs="Arial"/>
          <w:sz w:val="18"/>
          <w:szCs w:val="18"/>
        </w:rPr>
      </w:pPr>
      <w:r>
        <w:rPr>
          <w:rFonts w:ascii="Arial" w:hAnsi="Arial" w:cs="Arial"/>
          <w:b/>
          <w:bCs/>
          <w:sz w:val="18"/>
          <w:szCs w:val="18"/>
        </w:rPr>
        <w:t>B</w:t>
      </w:r>
      <w:r w:rsidR="007237F5" w:rsidRPr="007237F5">
        <w:rPr>
          <w:rFonts w:ascii="Arial" w:hAnsi="Arial" w:cs="Arial"/>
          <w:b/>
          <w:bCs/>
          <w:sz w:val="18"/>
          <w:szCs w:val="18"/>
        </w:rPr>
        <w:t xml:space="preserve">. </w:t>
      </w:r>
      <w:r w:rsidR="007237F5" w:rsidRPr="007237F5">
        <w:rPr>
          <w:rFonts w:ascii="Arial" w:hAnsi="Arial" w:cs="Arial"/>
          <w:b/>
          <w:bCs/>
          <w:sz w:val="18"/>
          <w:szCs w:val="18"/>
        </w:rPr>
        <w:tab/>
      </w:r>
      <w:r w:rsidR="00605F61">
        <w:rPr>
          <w:rFonts w:ascii="Arial" w:hAnsi="Arial" w:cs="Arial"/>
          <w:sz w:val="18"/>
          <w:szCs w:val="18"/>
        </w:rPr>
        <w:t>The design</w:t>
      </w:r>
      <w:r w:rsidR="00605F61" w:rsidRPr="00125578">
        <w:rPr>
          <w:rFonts w:ascii="Arial" w:hAnsi="Arial" w:cs="Arial"/>
          <w:sz w:val="18"/>
          <w:szCs w:val="18"/>
        </w:rPr>
        <w:t xml:space="preserve"> of</w:t>
      </w:r>
      <w:r w:rsidR="00605F61">
        <w:rPr>
          <w:rFonts w:ascii="Arial" w:hAnsi="Arial" w:cs="Arial"/>
          <w:sz w:val="18"/>
          <w:szCs w:val="18"/>
        </w:rPr>
        <w:t xml:space="preserve"> o</w:t>
      </w:r>
      <w:r w:rsidR="00605F61" w:rsidRPr="00125578">
        <w:rPr>
          <w:rFonts w:ascii="Arial" w:hAnsi="Arial" w:cs="Arial"/>
          <w:sz w:val="18"/>
          <w:szCs w:val="18"/>
        </w:rPr>
        <w:t xml:space="preserve">pen </w:t>
      </w:r>
      <w:r w:rsidR="00605F61">
        <w:rPr>
          <w:rFonts w:ascii="Arial" w:hAnsi="Arial" w:cs="Arial"/>
          <w:sz w:val="18"/>
          <w:szCs w:val="18"/>
        </w:rPr>
        <w:t>s</w:t>
      </w:r>
      <w:r w:rsidR="00605F61" w:rsidRPr="00125578">
        <w:rPr>
          <w:rFonts w:ascii="Arial" w:hAnsi="Arial" w:cs="Arial"/>
          <w:sz w:val="18"/>
          <w:szCs w:val="18"/>
        </w:rPr>
        <w:t>pace</w:t>
      </w:r>
      <w:r w:rsidR="00605F61">
        <w:rPr>
          <w:rFonts w:ascii="Arial" w:hAnsi="Arial" w:cs="Arial"/>
          <w:sz w:val="18"/>
          <w:szCs w:val="18"/>
        </w:rPr>
        <w:t xml:space="preserve"> </w:t>
      </w:r>
      <w:r w:rsidR="00605F61" w:rsidRPr="00125578">
        <w:rPr>
          <w:rFonts w:ascii="Arial" w:hAnsi="Arial" w:cs="Arial"/>
          <w:sz w:val="18"/>
          <w:szCs w:val="18"/>
        </w:rPr>
        <w:t>shall meet the design requirements</w:t>
      </w:r>
      <w:r w:rsidR="00605F61">
        <w:rPr>
          <w:rFonts w:ascii="Arial" w:hAnsi="Arial" w:cs="Arial"/>
          <w:sz w:val="18"/>
          <w:szCs w:val="18"/>
        </w:rPr>
        <w:t xml:space="preserve"> </w:t>
      </w:r>
      <w:r w:rsidR="00605F61" w:rsidRPr="00125578">
        <w:rPr>
          <w:rFonts w:ascii="Arial" w:hAnsi="Arial" w:cs="Arial"/>
          <w:sz w:val="18"/>
          <w:szCs w:val="18"/>
        </w:rPr>
        <w:t xml:space="preserve">of </w:t>
      </w:r>
      <w:r w:rsidR="00605F61">
        <w:rPr>
          <w:rFonts w:ascii="Arial" w:hAnsi="Arial" w:cs="Arial"/>
          <w:sz w:val="18"/>
          <w:szCs w:val="18"/>
        </w:rPr>
        <w:t>Section 16.</w:t>
      </w:r>
      <w:r w:rsidR="00EE5E7C">
        <w:rPr>
          <w:rFonts w:ascii="Arial" w:hAnsi="Arial" w:cs="Arial"/>
          <w:sz w:val="18"/>
          <w:szCs w:val="18"/>
        </w:rPr>
        <w:t>5</w:t>
      </w:r>
      <w:r w:rsidR="00605F61">
        <w:rPr>
          <w:rFonts w:ascii="Arial" w:hAnsi="Arial" w:cs="Arial"/>
          <w:sz w:val="18"/>
          <w:szCs w:val="18"/>
        </w:rPr>
        <w:t>.</w:t>
      </w:r>
    </w:p>
    <w:p w14:paraId="1E0DAE78" w14:textId="77777777" w:rsidR="00A71A31" w:rsidRDefault="00A71A31" w:rsidP="001B059F">
      <w:pPr>
        <w:rPr>
          <w:rFonts w:ascii="Arial" w:hAnsi="Arial" w:cs="Arial"/>
          <w:sz w:val="18"/>
          <w:szCs w:val="18"/>
        </w:rPr>
      </w:pPr>
    </w:p>
    <w:p w14:paraId="7A55474C" w14:textId="77777777" w:rsidR="001C7DEF" w:rsidRDefault="001C7DEF">
      <w:pPr>
        <w:rPr>
          <w:rFonts w:ascii="Arial" w:hAnsi="Arial" w:cs="Arial"/>
          <w:b/>
          <w:bCs/>
          <w:sz w:val="18"/>
          <w:szCs w:val="18"/>
        </w:rPr>
      </w:pPr>
      <w:r>
        <w:rPr>
          <w:rFonts w:ascii="Arial" w:hAnsi="Arial" w:cs="Arial"/>
          <w:b/>
          <w:bCs/>
          <w:sz w:val="18"/>
          <w:szCs w:val="18"/>
        </w:rPr>
        <w:br w:type="page"/>
      </w:r>
    </w:p>
    <w:p w14:paraId="521193A4" w14:textId="5FF5F8C3" w:rsidR="00E756B4" w:rsidRDefault="00DD2C00" w:rsidP="001B059F">
      <w:pPr>
        <w:rPr>
          <w:rFonts w:ascii="Arial" w:hAnsi="Arial" w:cs="Arial"/>
          <w:sz w:val="18"/>
          <w:szCs w:val="18"/>
        </w:rPr>
      </w:pPr>
      <w:r w:rsidRPr="001C7DEF">
        <w:rPr>
          <w:rFonts w:ascii="Arial" w:hAnsi="Arial" w:cs="Arial"/>
          <w:b/>
          <w:bCs/>
          <w:sz w:val="18"/>
          <w:szCs w:val="18"/>
        </w:rPr>
        <w:lastRenderedPageBreak/>
        <w:t>C</w:t>
      </w:r>
      <w:r w:rsidR="007237F5" w:rsidRPr="001C7DEF">
        <w:rPr>
          <w:rFonts w:ascii="Arial" w:hAnsi="Arial" w:cs="Arial"/>
          <w:b/>
          <w:bCs/>
          <w:sz w:val="18"/>
          <w:szCs w:val="18"/>
        </w:rPr>
        <w:t>.</w:t>
      </w:r>
      <w:r w:rsidR="007237F5" w:rsidRPr="001C7DEF">
        <w:rPr>
          <w:rFonts w:ascii="Arial" w:hAnsi="Arial" w:cs="Arial"/>
          <w:sz w:val="18"/>
          <w:szCs w:val="18"/>
        </w:rPr>
        <w:t xml:space="preserve"> </w:t>
      </w:r>
      <w:r w:rsidR="007237F5" w:rsidRPr="001C7DEF">
        <w:rPr>
          <w:rFonts w:ascii="Arial" w:hAnsi="Arial" w:cs="Arial"/>
          <w:sz w:val="18"/>
          <w:szCs w:val="18"/>
        </w:rPr>
        <w:tab/>
      </w:r>
      <w:r w:rsidR="00B67AFD" w:rsidRPr="001C7DEF">
        <w:rPr>
          <w:rFonts w:ascii="Arial" w:hAnsi="Arial" w:cs="Arial"/>
          <w:sz w:val="18"/>
          <w:szCs w:val="18"/>
        </w:rPr>
        <w:t xml:space="preserve">Based on the site </w:t>
      </w:r>
      <w:r w:rsidR="00AE0A6D" w:rsidRPr="001C7DEF">
        <w:rPr>
          <w:rFonts w:ascii="Arial" w:hAnsi="Arial" w:cs="Arial"/>
          <w:sz w:val="18"/>
          <w:szCs w:val="18"/>
        </w:rPr>
        <w:t>area</w:t>
      </w:r>
      <w:r w:rsidR="00B67AFD" w:rsidRPr="001C7DEF">
        <w:rPr>
          <w:rFonts w:ascii="Arial" w:hAnsi="Arial" w:cs="Arial"/>
          <w:sz w:val="18"/>
          <w:szCs w:val="18"/>
        </w:rPr>
        <w:t>, d</w:t>
      </w:r>
      <w:r w:rsidR="00125578" w:rsidRPr="001C7DEF">
        <w:rPr>
          <w:rFonts w:ascii="Arial" w:hAnsi="Arial" w:cs="Arial"/>
          <w:sz w:val="18"/>
          <w:szCs w:val="18"/>
        </w:rPr>
        <w:t>evelopment shall provide on-site open space</w:t>
      </w:r>
      <w:r w:rsidR="00CF0DF8" w:rsidRPr="001C7DEF">
        <w:rPr>
          <w:rFonts w:ascii="Arial" w:hAnsi="Arial" w:cs="Arial"/>
          <w:sz w:val="18"/>
          <w:szCs w:val="18"/>
        </w:rPr>
        <w:t xml:space="preserve"> as follows:</w:t>
      </w:r>
      <w:r w:rsidR="00A71A31" w:rsidRPr="00385E1D">
        <w:rPr>
          <w:rFonts w:ascii="Arial" w:hAnsi="Arial" w:cs="Arial"/>
          <w:sz w:val="18"/>
          <w:szCs w:val="18"/>
        </w:rPr>
        <w:t xml:space="preserve"> </w:t>
      </w:r>
    </w:p>
    <w:p w14:paraId="689CE525" w14:textId="4FEA4F88" w:rsidR="00C216E6" w:rsidRDefault="00C216E6" w:rsidP="001B059F">
      <w:pPr>
        <w:rPr>
          <w:rFonts w:ascii="Arial" w:eastAsia="Times New Roman" w:hAnsi="Arial" w:cs="Arial"/>
          <w:b/>
          <w:bCs/>
          <w:sz w:val="18"/>
          <w:szCs w:val="18"/>
        </w:rPr>
      </w:pPr>
    </w:p>
    <w:tbl>
      <w:tblPr>
        <w:tblStyle w:val="TableGrid"/>
        <w:tblW w:w="7195" w:type="dxa"/>
        <w:jc w:val="center"/>
        <w:tblLayout w:type="fixed"/>
        <w:tblLook w:val="04A0" w:firstRow="1" w:lastRow="0" w:firstColumn="1" w:lastColumn="0" w:noHBand="0" w:noVBand="1"/>
      </w:tblPr>
      <w:tblGrid>
        <w:gridCol w:w="2425"/>
        <w:gridCol w:w="2070"/>
        <w:gridCol w:w="2700"/>
      </w:tblGrid>
      <w:tr w:rsidR="00F27405" w:rsidRPr="001B059F" w14:paraId="23F213A4" w14:textId="77777777" w:rsidTr="00920E0A">
        <w:trPr>
          <w:tblHeader/>
          <w:jc w:val="center"/>
        </w:trPr>
        <w:tc>
          <w:tcPr>
            <w:tcW w:w="7195" w:type="dxa"/>
            <w:gridSpan w:val="3"/>
            <w:shd w:val="clear" w:color="auto" w:fill="1F4E79" w:themeFill="accent5" w:themeFillShade="80"/>
          </w:tcPr>
          <w:p w14:paraId="413B888B" w14:textId="3630D47E" w:rsidR="00F27405" w:rsidRPr="001B059F" w:rsidRDefault="00F27405" w:rsidP="00F5257C">
            <w:pPr>
              <w:jc w:val="center"/>
              <w:rPr>
                <w:rFonts w:ascii="Arial Narrow" w:hAnsi="Arial Narrow" w:cs="Arial"/>
                <w:b/>
                <w:color w:val="FFFFFF" w:themeColor="background1"/>
                <w:sz w:val="18"/>
                <w:szCs w:val="18"/>
              </w:rPr>
            </w:pPr>
            <w:r w:rsidRPr="00ED4CB3">
              <w:rPr>
                <w:rFonts w:ascii="Arial Narrow" w:hAnsi="Arial Narrow" w:cs="Arial"/>
                <w:b/>
                <w:color w:val="FFFFFF" w:themeColor="background1"/>
                <w:sz w:val="18"/>
                <w:szCs w:val="18"/>
              </w:rPr>
              <w:t xml:space="preserve">Table 6-7: </w:t>
            </w:r>
            <w:r w:rsidR="00B67AFD" w:rsidRPr="00ED4CB3">
              <w:rPr>
                <w:rFonts w:ascii="Arial Narrow" w:hAnsi="Arial Narrow" w:cs="Arial"/>
                <w:b/>
                <w:color w:val="FFFFFF" w:themeColor="background1"/>
                <w:sz w:val="18"/>
                <w:szCs w:val="18"/>
              </w:rPr>
              <w:t xml:space="preserve">Minimum </w:t>
            </w:r>
            <w:r w:rsidRPr="00ED4CB3">
              <w:rPr>
                <w:rFonts w:ascii="Arial Narrow" w:hAnsi="Arial Narrow" w:cs="Arial"/>
                <w:b/>
                <w:color w:val="FFFFFF" w:themeColor="background1"/>
                <w:sz w:val="18"/>
                <w:szCs w:val="18"/>
              </w:rPr>
              <w:t>Required Open Space</w:t>
            </w:r>
          </w:p>
        </w:tc>
      </w:tr>
      <w:tr w:rsidR="00F27405" w:rsidRPr="001B059F" w14:paraId="7716DB9F" w14:textId="77777777" w:rsidTr="00920E0A">
        <w:trPr>
          <w:tblHeader/>
          <w:jc w:val="center"/>
        </w:trPr>
        <w:tc>
          <w:tcPr>
            <w:tcW w:w="2425" w:type="dxa"/>
            <w:shd w:val="clear" w:color="auto" w:fill="DEEAF6" w:themeFill="accent5" w:themeFillTint="33"/>
            <w:vAlign w:val="center"/>
          </w:tcPr>
          <w:p w14:paraId="18E83793" w14:textId="77777777" w:rsidR="00F27405" w:rsidRPr="001B059F" w:rsidRDefault="00F27405" w:rsidP="00F5257C">
            <w:pPr>
              <w:jc w:val="center"/>
              <w:rPr>
                <w:rFonts w:ascii="Arial Narrow" w:hAnsi="Arial Narrow" w:cs="Arial"/>
                <w:b/>
                <w:bCs/>
                <w:sz w:val="18"/>
                <w:szCs w:val="18"/>
              </w:rPr>
            </w:pPr>
          </w:p>
        </w:tc>
        <w:tc>
          <w:tcPr>
            <w:tcW w:w="2070" w:type="dxa"/>
            <w:shd w:val="clear" w:color="auto" w:fill="DEEAF6" w:themeFill="accent5" w:themeFillTint="33"/>
            <w:vAlign w:val="center"/>
          </w:tcPr>
          <w:p w14:paraId="1FA8B056" w14:textId="77777777" w:rsidR="00F27405" w:rsidRPr="001B059F" w:rsidRDefault="00F27405" w:rsidP="00F5257C">
            <w:pPr>
              <w:jc w:val="center"/>
              <w:rPr>
                <w:rFonts w:ascii="Arial Narrow" w:hAnsi="Arial Narrow" w:cs="Arial"/>
                <w:b/>
                <w:bCs/>
                <w:sz w:val="18"/>
                <w:szCs w:val="18"/>
              </w:rPr>
            </w:pPr>
            <w:r>
              <w:rPr>
                <w:rFonts w:ascii="Arial Narrow" w:hAnsi="Arial Narrow" w:cs="Arial"/>
                <w:b/>
                <w:bCs/>
                <w:sz w:val="18"/>
                <w:szCs w:val="18"/>
              </w:rPr>
              <w:t>CG</w:t>
            </w:r>
          </w:p>
        </w:tc>
        <w:tc>
          <w:tcPr>
            <w:tcW w:w="2700" w:type="dxa"/>
            <w:shd w:val="clear" w:color="auto" w:fill="DEEAF6" w:themeFill="accent5" w:themeFillTint="33"/>
            <w:vAlign w:val="center"/>
          </w:tcPr>
          <w:p w14:paraId="258193FB" w14:textId="77777777" w:rsidR="00F27405" w:rsidRPr="001B059F" w:rsidRDefault="00F27405" w:rsidP="00F5257C">
            <w:pPr>
              <w:jc w:val="center"/>
              <w:rPr>
                <w:rFonts w:ascii="Arial Narrow" w:hAnsi="Arial Narrow" w:cs="Arial"/>
                <w:b/>
                <w:bCs/>
                <w:sz w:val="18"/>
                <w:szCs w:val="18"/>
              </w:rPr>
            </w:pPr>
            <w:r>
              <w:rPr>
                <w:rFonts w:ascii="Arial Narrow" w:hAnsi="Arial Narrow" w:cs="Arial"/>
                <w:b/>
                <w:bCs/>
                <w:sz w:val="18"/>
                <w:szCs w:val="18"/>
              </w:rPr>
              <w:t>CR</w:t>
            </w:r>
          </w:p>
        </w:tc>
      </w:tr>
      <w:tr w:rsidR="00F27405" w:rsidRPr="001B059F" w14:paraId="6481FAF8" w14:textId="77777777" w:rsidTr="00920E0A">
        <w:trPr>
          <w:trHeight w:val="332"/>
          <w:jc w:val="center"/>
        </w:trPr>
        <w:tc>
          <w:tcPr>
            <w:tcW w:w="2425" w:type="dxa"/>
            <w:shd w:val="clear" w:color="auto" w:fill="DEEAF6" w:themeFill="accent5" w:themeFillTint="33"/>
            <w:vAlign w:val="center"/>
          </w:tcPr>
          <w:p w14:paraId="42F461FD" w14:textId="77777777" w:rsidR="00F27405" w:rsidRPr="001B059F" w:rsidRDefault="00F27405" w:rsidP="00F5257C">
            <w:pPr>
              <w:rPr>
                <w:rFonts w:ascii="Arial Narrow" w:hAnsi="Arial Narrow" w:cs="Arial"/>
                <w:b/>
                <w:bCs/>
                <w:sz w:val="18"/>
                <w:szCs w:val="18"/>
              </w:rPr>
            </w:pPr>
            <w:r w:rsidRPr="001B059F">
              <w:rPr>
                <w:rFonts w:ascii="Arial Narrow" w:hAnsi="Arial Narrow" w:cs="Arial"/>
                <w:b/>
                <w:bCs/>
                <w:sz w:val="18"/>
                <w:szCs w:val="18"/>
              </w:rPr>
              <w:t>Total On-Site Open Space</w:t>
            </w:r>
          </w:p>
        </w:tc>
        <w:tc>
          <w:tcPr>
            <w:tcW w:w="4770" w:type="dxa"/>
            <w:gridSpan w:val="2"/>
            <w:shd w:val="clear" w:color="auto" w:fill="FFFFFF" w:themeFill="background1"/>
            <w:vAlign w:val="center"/>
          </w:tcPr>
          <w:p w14:paraId="3460113C" w14:textId="77777777" w:rsidR="00F27405" w:rsidRPr="00E2698B" w:rsidRDefault="00F27405" w:rsidP="00F5257C">
            <w:pPr>
              <w:rPr>
                <w:rFonts w:ascii="Arial Narrow" w:hAnsi="Arial Narrow" w:cs="Arial"/>
                <w:b/>
                <w:bCs/>
                <w:sz w:val="18"/>
                <w:szCs w:val="18"/>
              </w:rPr>
            </w:pPr>
            <w:r w:rsidRPr="00CC4628">
              <w:rPr>
                <w:rFonts w:ascii="Arial Narrow" w:hAnsi="Arial Narrow" w:cs="Arial"/>
                <w:color w:val="242424"/>
                <w:sz w:val="18"/>
                <w:szCs w:val="18"/>
                <w:shd w:val="clear" w:color="auto" w:fill="FFFFFF"/>
              </w:rPr>
              <w:t>Development shall provide a minimum of 5% on-site open space.</w:t>
            </w:r>
          </w:p>
        </w:tc>
      </w:tr>
      <w:tr w:rsidR="00F27405" w:rsidRPr="001B059F" w14:paraId="50782BF5" w14:textId="77777777" w:rsidTr="00920E0A">
        <w:trPr>
          <w:trHeight w:val="188"/>
          <w:jc w:val="center"/>
        </w:trPr>
        <w:tc>
          <w:tcPr>
            <w:tcW w:w="7195" w:type="dxa"/>
            <w:gridSpan w:val="3"/>
            <w:shd w:val="clear" w:color="auto" w:fill="DEEAF6" w:themeFill="accent5" w:themeFillTint="33"/>
            <w:vAlign w:val="center"/>
          </w:tcPr>
          <w:p w14:paraId="6985E391" w14:textId="77777777" w:rsidR="00F27405" w:rsidRPr="001B059F" w:rsidRDefault="00F27405" w:rsidP="00F5257C">
            <w:pPr>
              <w:rPr>
                <w:rFonts w:ascii="Arial Narrow" w:hAnsi="Arial Narrow" w:cs="Arial"/>
                <w:b/>
                <w:bCs/>
                <w:sz w:val="18"/>
                <w:szCs w:val="18"/>
              </w:rPr>
            </w:pPr>
            <w:r w:rsidRPr="001B059F">
              <w:rPr>
                <w:rFonts w:ascii="Arial Narrow" w:hAnsi="Arial Narrow" w:cs="Arial"/>
                <w:b/>
                <w:bCs/>
                <w:sz w:val="18"/>
                <w:szCs w:val="18"/>
              </w:rPr>
              <w:t>Public On-Site Open Space (% of Total On-Site Open Space)</w:t>
            </w:r>
          </w:p>
        </w:tc>
      </w:tr>
      <w:tr w:rsidR="00F27405" w:rsidRPr="001B059F" w14:paraId="73643CF9" w14:textId="77777777" w:rsidTr="00920E0A">
        <w:trPr>
          <w:trHeight w:val="288"/>
          <w:jc w:val="center"/>
        </w:trPr>
        <w:tc>
          <w:tcPr>
            <w:tcW w:w="2425" w:type="dxa"/>
            <w:shd w:val="clear" w:color="auto" w:fill="DEEAF6" w:themeFill="accent5" w:themeFillTint="33"/>
            <w:vAlign w:val="center"/>
          </w:tcPr>
          <w:p w14:paraId="2D3B40A1" w14:textId="77777777" w:rsidR="00F27405" w:rsidRPr="001B059F" w:rsidRDefault="00F27405" w:rsidP="00F5257C">
            <w:pPr>
              <w:ind w:left="360"/>
              <w:rPr>
                <w:rFonts w:ascii="Arial Narrow" w:hAnsi="Arial Narrow" w:cs="Arial"/>
                <w:i/>
                <w:iCs/>
                <w:sz w:val="18"/>
                <w:szCs w:val="18"/>
              </w:rPr>
            </w:pPr>
            <w:r w:rsidRPr="001B059F">
              <w:rPr>
                <w:rFonts w:ascii="Arial Narrow" w:hAnsi="Arial Narrow" w:cs="Arial"/>
                <w:i/>
                <w:iCs/>
                <w:sz w:val="18"/>
                <w:szCs w:val="18"/>
              </w:rPr>
              <w:t>Commercial Development</w:t>
            </w:r>
          </w:p>
        </w:tc>
        <w:tc>
          <w:tcPr>
            <w:tcW w:w="4770" w:type="dxa"/>
            <w:gridSpan w:val="2"/>
            <w:shd w:val="clear" w:color="auto" w:fill="FFFFFF" w:themeFill="background1"/>
            <w:vAlign w:val="center"/>
          </w:tcPr>
          <w:p w14:paraId="552B262C" w14:textId="77777777" w:rsidR="00F27405" w:rsidRPr="00E2698B" w:rsidRDefault="00F27405" w:rsidP="00F5257C">
            <w:pPr>
              <w:rPr>
                <w:rFonts w:ascii="Arial Narrow" w:hAnsi="Arial Narrow" w:cs="Arial"/>
                <w:i/>
                <w:iCs/>
                <w:sz w:val="18"/>
                <w:szCs w:val="18"/>
              </w:rPr>
            </w:pPr>
            <w:r w:rsidRPr="00CC4628">
              <w:rPr>
                <w:rFonts w:ascii="Arial Narrow" w:hAnsi="Arial Narrow" w:cs="Arial"/>
                <w:color w:val="242424"/>
                <w:sz w:val="18"/>
                <w:szCs w:val="18"/>
                <w:shd w:val="clear" w:color="auto" w:fill="FFFFFF"/>
              </w:rPr>
              <w:t>A minimum of 50% of the on-site open space shall be public open space for commercial developments.</w:t>
            </w:r>
          </w:p>
        </w:tc>
      </w:tr>
    </w:tbl>
    <w:p w14:paraId="379BBE29" w14:textId="77777777" w:rsidR="00F27405" w:rsidRPr="00041A05" w:rsidRDefault="00F27405" w:rsidP="001B059F">
      <w:pPr>
        <w:rPr>
          <w:rFonts w:ascii="Arial" w:eastAsia="Times New Roman" w:hAnsi="Arial" w:cs="Arial"/>
          <w:b/>
          <w:bCs/>
          <w:sz w:val="18"/>
          <w:szCs w:val="18"/>
        </w:rPr>
      </w:pPr>
    </w:p>
    <w:p w14:paraId="61E9DF48" w14:textId="0AACDEC8" w:rsidR="00041A05" w:rsidRDefault="00041A05" w:rsidP="001B059F">
      <w:pPr>
        <w:rPr>
          <w:rFonts w:ascii="Arial" w:eastAsia="Times New Roman" w:hAnsi="Arial" w:cs="Arial"/>
          <w:sz w:val="18"/>
          <w:szCs w:val="18"/>
        </w:rPr>
      </w:pPr>
      <w:r w:rsidRPr="00041A05">
        <w:rPr>
          <w:rFonts w:ascii="Arial" w:eastAsia="Times New Roman" w:hAnsi="Arial" w:cs="Arial"/>
          <w:b/>
          <w:bCs/>
          <w:sz w:val="18"/>
          <w:szCs w:val="18"/>
        </w:rPr>
        <w:t xml:space="preserve">D. </w:t>
      </w:r>
      <w:r w:rsidRPr="00041A05">
        <w:rPr>
          <w:rFonts w:ascii="Arial" w:eastAsia="Times New Roman" w:hAnsi="Arial" w:cs="Arial"/>
          <w:b/>
          <w:bCs/>
          <w:sz w:val="18"/>
          <w:szCs w:val="18"/>
        </w:rPr>
        <w:tab/>
      </w:r>
      <w:r w:rsidRPr="00041A05">
        <w:rPr>
          <w:rFonts w:ascii="Arial" w:eastAsia="Times New Roman" w:hAnsi="Arial" w:cs="Arial"/>
          <w:sz w:val="18"/>
          <w:szCs w:val="18"/>
        </w:rPr>
        <w:t>Residential on-site open space may be provided as land dedicated to Mecklenburg County Park and Recreation, a fee</w:t>
      </w:r>
      <w:r w:rsidR="00926AC9">
        <w:rPr>
          <w:rFonts w:ascii="Arial" w:eastAsia="Times New Roman" w:hAnsi="Arial" w:cs="Arial"/>
          <w:sz w:val="18"/>
          <w:szCs w:val="18"/>
        </w:rPr>
        <w:t>-</w:t>
      </w:r>
      <w:r w:rsidRPr="00041A05">
        <w:rPr>
          <w:rFonts w:ascii="Arial" w:eastAsia="Times New Roman" w:hAnsi="Arial" w:cs="Arial"/>
          <w:sz w:val="18"/>
          <w:szCs w:val="18"/>
        </w:rPr>
        <w:t>in</w:t>
      </w:r>
      <w:r w:rsidR="00926AC9">
        <w:rPr>
          <w:rFonts w:ascii="Arial" w:eastAsia="Times New Roman" w:hAnsi="Arial" w:cs="Arial"/>
          <w:sz w:val="18"/>
          <w:szCs w:val="18"/>
        </w:rPr>
        <w:t>-</w:t>
      </w:r>
      <w:r w:rsidRPr="00041A05">
        <w:rPr>
          <w:rFonts w:ascii="Arial" w:eastAsia="Times New Roman" w:hAnsi="Arial" w:cs="Arial"/>
          <w:sz w:val="18"/>
          <w:szCs w:val="18"/>
        </w:rPr>
        <w:t>lieu provided to Mecklenburg County Park and Recreation, or a combination thereof in accordance with the requirements of Section 16.</w:t>
      </w:r>
      <w:r w:rsidR="00EE5E7C">
        <w:rPr>
          <w:rFonts w:ascii="Arial" w:eastAsia="Times New Roman" w:hAnsi="Arial" w:cs="Arial"/>
          <w:sz w:val="18"/>
          <w:szCs w:val="18"/>
        </w:rPr>
        <w:t>5</w:t>
      </w:r>
      <w:r>
        <w:rPr>
          <w:rFonts w:ascii="Arial" w:eastAsia="Times New Roman" w:hAnsi="Arial" w:cs="Arial"/>
          <w:sz w:val="18"/>
          <w:szCs w:val="18"/>
        </w:rPr>
        <w:t>.</w:t>
      </w:r>
    </w:p>
    <w:p w14:paraId="51BCC725" w14:textId="59BA2A5F" w:rsidR="00310BC5" w:rsidRDefault="00310BC5" w:rsidP="001B059F">
      <w:pPr>
        <w:rPr>
          <w:rFonts w:ascii="Arial" w:eastAsia="Times New Roman" w:hAnsi="Arial" w:cs="Arial"/>
          <w:sz w:val="18"/>
          <w:szCs w:val="18"/>
        </w:rPr>
      </w:pPr>
    </w:p>
    <w:p w14:paraId="55F8543B" w14:textId="71B51FCA" w:rsidR="00310BC5" w:rsidRDefault="00310BC5" w:rsidP="001B059F">
      <w:pPr>
        <w:rPr>
          <w:rFonts w:ascii="Arial" w:eastAsia="Times New Roman" w:hAnsi="Arial" w:cs="Arial"/>
          <w:sz w:val="18"/>
          <w:szCs w:val="18"/>
        </w:rPr>
      </w:pPr>
      <w:r w:rsidRPr="00310BC5">
        <w:rPr>
          <w:rFonts w:ascii="Arial" w:eastAsia="Times New Roman" w:hAnsi="Arial" w:cs="Arial"/>
          <w:b/>
          <w:bCs/>
          <w:sz w:val="18"/>
          <w:szCs w:val="18"/>
        </w:rPr>
        <w:t xml:space="preserve">E. </w:t>
      </w:r>
      <w:r w:rsidRPr="00310BC5">
        <w:rPr>
          <w:rFonts w:ascii="Arial" w:eastAsia="Times New Roman" w:hAnsi="Arial" w:cs="Arial"/>
          <w:b/>
          <w:bCs/>
          <w:sz w:val="18"/>
          <w:szCs w:val="18"/>
        </w:rPr>
        <w:tab/>
      </w:r>
      <w:r w:rsidRPr="00310BC5">
        <w:rPr>
          <w:rFonts w:ascii="Arial" w:eastAsia="Times New Roman" w:hAnsi="Arial" w:cs="Arial"/>
          <w:sz w:val="18"/>
          <w:szCs w:val="18"/>
        </w:rPr>
        <w:t xml:space="preserve">Nonresidential and </w:t>
      </w:r>
      <w:r>
        <w:rPr>
          <w:rFonts w:ascii="Arial" w:eastAsia="Times New Roman" w:hAnsi="Arial" w:cs="Arial"/>
          <w:sz w:val="18"/>
          <w:szCs w:val="18"/>
        </w:rPr>
        <w:t>m</w:t>
      </w:r>
      <w:r w:rsidRPr="00310BC5">
        <w:rPr>
          <w:rFonts w:ascii="Arial" w:eastAsia="Times New Roman" w:hAnsi="Arial" w:cs="Arial"/>
          <w:sz w:val="18"/>
          <w:szCs w:val="18"/>
        </w:rPr>
        <w:t>ixed-</w:t>
      </w:r>
      <w:r>
        <w:rPr>
          <w:rFonts w:ascii="Arial" w:eastAsia="Times New Roman" w:hAnsi="Arial" w:cs="Arial"/>
          <w:sz w:val="18"/>
          <w:szCs w:val="18"/>
        </w:rPr>
        <w:t>u</w:t>
      </w:r>
      <w:r w:rsidRPr="00310BC5">
        <w:rPr>
          <w:rFonts w:ascii="Arial" w:eastAsia="Times New Roman" w:hAnsi="Arial" w:cs="Arial"/>
          <w:sz w:val="18"/>
          <w:szCs w:val="18"/>
        </w:rPr>
        <w:t>se on-site open space may be provided as land dedicated to Mecklenburg County Park and Recreation, a fee</w:t>
      </w:r>
      <w:r w:rsidR="00926AC9">
        <w:rPr>
          <w:rFonts w:ascii="Arial" w:eastAsia="Times New Roman" w:hAnsi="Arial" w:cs="Arial"/>
          <w:sz w:val="18"/>
          <w:szCs w:val="18"/>
        </w:rPr>
        <w:t>-</w:t>
      </w:r>
      <w:r w:rsidRPr="00310BC5">
        <w:rPr>
          <w:rFonts w:ascii="Arial" w:eastAsia="Times New Roman" w:hAnsi="Arial" w:cs="Arial"/>
          <w:sz w:val="18"/>
          <w:szCs w:val="18"/>
        </w:rPr>
        <w:t>in</w:t>
      </w:r>
      <w:r w:rsidR="00926AC9">
        <w:rPr>
          <w:rFonts w:ascii="Arial" w:eastAsia="Times New Roman" w:hAnsi="Arial" w:cs="Arial"/>
          <w:sz w:val="18"/>
          <w:szCs w:val="18"/>
        </w:rPr>
        <w:t>-</w:t>
      </w:r>
      <w:r w:rsidRPr="00310BC5">
        <w:rPr>
          <w:rFonts w:ascii="Arial" w:eastAsia="Times New Roman" w:hAnsi="Arial" w:cs="Arial"/>
          <w:sz w:val="18"/>
          <w:szCs w:val="18"/>
        </w:rPr>
        <w:t>lieu provided to Mecklenburg County Park and Recreation, or a combination thereof in accordance with the requirements of Section 16.</w:t>
      </w:r>
      <w:r w:rsidR="00EE5E7C">
        <w:rPr>
          <w:rFonts w:ascii="Arial" w:eastAsia="Times New Roman" w:hAnsi="Arial" w:cs="Arial"/>
          <w:sz w:val="18"/>
          <w:szCs w:val="18"/>
        </w:rPr>
        <w:t>5</w:t>
      </w:r>
      <w:r>
        <w:rPr>
          <w:rFonts w:ascii="Arial" w:eastAsia="Times New Roman" w:hAnsi="Arial" w:cs="Arial"/>
          <w:sz w:val="18"/>
          <w:szCs w:val="18"/>
        </w:rPr>
        <w:t>.</w:t>
      </w:r>
    </w:p>
    <w:p w14:paraId="254DA451" w14:textId="77777777" w:rsidR="00787A19" w:rsidRDefault="00787A19" w:rsidP="001B059F">
      <w:pPr>
        <w:rPr>
          <w:rFonts w:ascii="Arial" w:eastAsia="Times New Roman" w:hAnsi="Arial" w:cs="Arial"/>
          <w:sz w:val="18"/>
          <w:szCs w:val="18"/>
        </w:rPr>
      </w:pPr>
    </w:p>
    <w:p w14:paraId="0DAC945A" w14:textId="5527809C" w:rsidR="00787A19" w:rsidRPr="00041A05" w:rsidRDefault="00787A19" w:rsidP="001B059F">
      <w:pPr>
        <w:rPr>
          <w:rFonts w:ascii="Arial" w:eastAsia="Times New Roman" w:hAnsi="Arial" w:cs="Arial"/>
          <w:sz w:val="18"/>
          <w:szCs w:val="18"/>
        </w:rPr>
      </w:pPr>
      <w:r w:rsidRPr="001C7DEF">
        <w:rPr>
          <w:rFonts w:ascii="Arial" w:eastAsia="Times New Roman" w:hAnsi="Arial" w:cs="Arial"/>
          <w:b/>
          <w:bCs/>
          <w:sz w:val="18"/>
          <w:szCs w:val="18"/>
        </w:rPr>
        <w:t>F.</w:t>
      </w:r>
      <w:r w:rsidRPr="001C7DEF">
        <w:rPr>
          <w:rFonts w:ascii="Arial" w:eastAsia="Times New Roman" w:hAnsi="Arial" w:cs="Arial"/>
          <w:sz w:val="18"/>
          <w:szCs w:val="18"/>
        </w:rPr>
        <w:tab/>
        <w:t>For projects with multiple phases, the open space required for each phase, per this Section, shall be installed prior to completion of that phase.</w:t>
      </w:r>
    </w:p>
    <w:p w14:paraId="540BB706" w14:textId="77777777" w:rsidR="00041A05" w:rsidRPr="000F0295" w:rsidRDefault="00041A05" w:rsidP="001B059F">
      <w:pPr>
        <w:rPr>
          <w:rFonts w:ascii="Roboto" w:eastAsia="Times New Roman" w:hAnsi="Roboto" w:cs="Times New Roman"/>
          <w:b/>
          <w:bCs/>
          <w:sz w:val="18"/>
          <w:szCs w:val="18"/>
        </w:rPr>
      </w:pPr>
    </w:p>
    <w:p w14:paraId="25300FFB" w14:textId="14DF5718" w:rsidR="00857757"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6.5</w:t>
      </w:r>
      <w:r w:rsidR="00F11682">
        <w:rPr>
          <w:rFonts w:ascii="Arial" w:hAnsi="Arial" w:cs="Arial"/>
          <w:b/>
          <w:bCs/>
          <w:sz w:val="18"/>
          <w:szCs w:val="18"/>
        </w:rPr>
        <w:t xml:space="preserve">   </w:t>
      </w:r>
      <w:r w:rsidR="00A253E9">
        <w:rPr>
          <w:rFonts w:ascii="Arial" w:hAnsi="Arial" w:cs="Arial"/>
          <w:b/>
          <w:bCs/>
          <w:sz w:val="18"/>
          <w:szCs w:val="18"/>
        </w:rPr>
        <w:t xml:space="preserve">ON-SITE </w:t>
      </w:r>
      <w:r w:rsidR="00857757">
        <w:rPr>
          <w:rFonts w:ascii="Arial" w:hAnsi="Arial" w:cs="Arial"/>
          <w:b/>
          <w:bCs/>
          <w:sz w:val="18"/>
          <w:szCs w:val="18"/>
        </w:rPr>
        <w:t>PEDESTRIAN CONNECTIVITY REQUIREMENTS</w:t>
      </w:r>
    </w:p>
    <w:p w14:paraId="1C9B49CF" w14:textId="35E75B8D" w:rsidR="00FB7DFD" w:rsidRDefault="000629ED" w:rsidP="001B059F">
      <w:pPr>
        <w:rPr>
          <w:rFonts w:ascii="Arial" w:hAnsi="Arial" w:cs="Arial"/>
          <w:sz w:val="18"/>
          <w:szCs w:val="18"/>
        </w:rPr>
      </w:pPr>
      <w:r>
        <w:rPr>
          <w:rFonts w:ascii="Arial" w:hAnsi="Arial" w:cs="Arial"/>
          <w:sz w:val="18"/>
          <w:szCs w:val="18"/>
        </w:rPr>
        <w:t xml:space="preserve">Standards for required </w:t>
      </w:r>
      <w:r w:rsidR="00A253E9">
        <w:rPr>
          <w:rFonts w:ascii="Arial" w:hAnsi="Arial" w:cs="Arial"/>
          <w:sz w:val="18"/>
          <w:szCs w:val="18"/>
        </w:rPr>
        <w:t xml:space="preserve">on-site </w:t>
      </w:r>
      <w:r>
        <w:rPr>
          <w:rFonts w:ascii="Arial" w:hAnsi="Arial" w:cs="Arial"/>
          <w:sz w:val="18"/>
          <w:szCs w:val="18"/>
        </w:rPr>
        <w:t>pedestrian connectivity are found in Section 16.</w:t>
      </w:r>
      <w:r w:rsidR="00EE5E7C">
        <w:rPr>
          <w:rFonts w:ascii="Arial" w:hAnsi="Arial" w:cs="Arial"/>
          <w:sz w:val="18"/>
          <w:szCs w:val="18"/>
        </w:rPr>
        <w:t>6</w:t>
      </w:r>
      <w:r>
        <w:rPr>
          <w:rFonts w:ascii="Arial" w:hAnsi="Arial" w:cs="Arial"/>
          <w:sz w:val="18"/>
          <w:szCs w:val="18"/>
        </w:rPr>
        <w:t>.</w:t>
      </w:r>
    </w:p>
    <w:p w14:paraId="07AB0824" w14:textId="77777777" w:rsidR="005D16FE" w:rsidRDefault="005D16FE" w:rsidP="001B059F">
      <w:pPr>
        <w:rPr>
          <w:rFonts w:ascii="Arial" w:hAnsi="Arial" w:cs="Arial"/>
          <w:sz w:val="18"/>
          <w:szCs w:val="18"/>
        </w:rPr>
      </w:pPr>
    </w:p>
    <w:p w14:paraId="558A3A43" w14:textId="13494860" w:rsidR="00B22A54" w:rsidRPr="006824F2" w:rsidRDefault="00EA1337"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333A4F" w:rsidRPr="006824F2">
        <w:rPr>
          <w:rFonts w:ascii="Arial" w:hAnsi="Arial" w:cs="Arial"/>
          <w:b/>
          <w:bCs/>
          <w:sz w:val="18"/>
          <w:szCs w:val="18"/>
        </w:rPr>
        <w:t>.</w:t>
      </w:r>
      <w:r w:rsidR="000629ED">
        <w:rPr>
          <w:rFonts w:ascii="Arial" w:hAnsi="Arial" w:cs="Arial"/>
          <w:b/>
          <w:bCs/>
          <w:sz w:val="18"/>
          <w:szCs w:val="18"/>
        </w:rPr>
        <w:t>6</w:t>
      </w:r>
      <w:r w:rsidR="00F11682">
        <w:rPr>
          <w:rFonts w:ascii="Arial" w:hAnsi="Arial" w:cs="Arial"/>
          <w:b/>
          <w:bCs/>
          <w:sz w:val="18"/>
          <w:szCs w:val="18"/>
        </w:rPr>
        <w:t xml:space="preserve">   </w:t>
      </w:r>
      <w:r w:rsidR="00B07738">
        <w:rPr>
          <w:rFonts w:ascii="Arial" w:hAnsi="Arial" w:cs="Arial"/>
          <w:b/>
          <w:bCs/>
          <w:sz w:val="18"/>
          <w:szCs w:val="18"/>
        </w:rPr>
        <w:t xml:space="preserve">SUPPLEMENTAL </w:t>
      </w:r>
      <w:r w:rsidR="00333A4F">
        <w:rPr>
          <w:rFonts w:ascii="Arial" w:hAnsi="Arial" w:cs="Arial"/>
          <w:b/>
          <w:bCs/>
          <w:sz w:val="18"/>
          <w:szCs w:val="18"/>
        </w:rPr>
        <w:t>DEVELOPMENT STANDARDS</w:t>
      </w:r>
    </w:p>
    <w:p w14:paraId="02CDE0F0" w14:textId="77777777" w:rsidR="0053501F" w:rsidRDefault="0053501F" w:rsidP="001B059F">
      <w:pPr>
        <w:rPr>
          <w:rFonts w:ascii="Arial" w:hAnsi="Arial" w:cs="Arial"/>
          <w:b/>
          <w:bCs/>
          <w:sz w:val="18"/>
          <w:szCs w:val="18"/>
        </w:rPr>
      </w:pPr>
    </w:p>
    <w:p w14:paraId="40E8A4B7" w14:textId="2B2D4572" w:rsidR="008F744E" w:rsidRDefault="008F744E" w:rsidP="001B059F">
      <w:pPr>
        <w:rPr>
          <w:rFonts w:ascii="Arial" w:hAnsi="Arial" w:cs="Arial"/>
          <w:sz w:val="18"/>
        </w:rPr>
      </w:pPr>
      <w:r>
        <w:rPr>
          <w:rFonts w:ascii="Arial" w:hAnsi="Arial" w:cs="Arial"/>
          <w:b/>
          <w:bCs/>
          <w:sz w:val="18"/>
          <w:szCs w:val="18"/>
        </w:rPr>
        <w:t>A</w:t>
      </w:r>
      <w:r w:rsidRPr="007237F5">
        <w:rPr>
          <w:rFonts w:ascii="Arial" w:hAnsi="Arial" w:cs="Arial"/>
          <w:b/>
          <w:bCs/>
          <w:sz w:val="18"/>
          <w:szCs w:val="18"/>
        </w:rPr>
        <w:t>.</w:t>
      </w:r>
      <w:r>
        <w:rPr>
          <w:rFonts w:ascii="Arial" w:hAnsi="Arial" w:cs="Arial"/>
          <w:sz w:val="18"/>
          <w:szCs w:val="18"/>
        </w:rPr>
        <w:t xml:space="preserve"> </w:t>
      </w:r>
      <w:r>
        <w:rPr>
          <w:rFonts w:ascii="Arial" w:hAnsi="Arial" w:cs="Arial"/>
          <w:sz w:val="18"/>
          <w:szCs w:val="18"/>
        </w:rPr>
        <w:tab/>
      </w:r>
      <w:r>
        <w:rPr>
          <w:rFonts w:ascii="Arial" w:hAnsi="Arial" w:cs="Arial"/>
          <w:b/>
          <w:bCs/>
          <w:sz w:val="18"/>
          <w:szCs w:val="18"/>
        </w:rPr>
        <w:t>General Development Standards</w:t>
      </w:r>
      <w:r>
        <w:rPr>
          <w:rFonts w:ascii="Arial" w:hAnsi="Arial" w:cs="Arial"/>
          <w:b/>
          <w:bCs/>
          <w:sz w:val="18"/>
          <w:szCs w:val="18"/>
        </w:rPr>
        <w:br/>
      </w:r>
      <w:r>
        <w:rPr>
          <w:rFonts w:ascii="Arial" w:hAnsi="Arial" w:cs="Arial"/>
          <w:sz w:val="18"/>
        </w:rPr>
        <w:t xml:space="preserve">General development standards </w:t>
      </w:r>
      <w:r>
        <w:rPr>
          <w:rFonts w:ascii="Arial" w:hAnsi="Arial" w:cs="Arial"/>
          <w:sz w:val="18"/>
          <w:szCs w:val="18"/>
        </w:rPr>
        <w:t xml:space="preserve">are found in </w:t>
      </w:r>
      <w:r>
        <w:rPr>
          <w:rFonts w:ascii="Arial" w:hAnsi="Arial" w:cs="Arial"/>
          <w:sz w:val="18"/>
        </w:rPr>
        <w:t>Article 16.</w:t>
      </w:r>
    </w:p>
    <w:p w14:paraId="3803CF61" w14:textId="77777777" w:rsidR="008F744E" w:rsidRDefault="008F744E" w:rsidP="001B059F">
      <w:pPr>
        <w:rPr>
          <w:rFonts w:ascii="Arial" w:hAnsi="Arial" w:cs="Arial"/>
          <w:sz w:val="18"/>
        </w:rPr>
      </w:pPr>
    </w:p>
    <w:p w14:paraId="0537A059" w14:textId="77777777" w:rsidR="008F744E" w:rsidRPr="00F97FA0" w:rsidRDefault="008F744E" w:rsidP="001B059F">
      <w:pPr>
        <w:rPr>
          <w:rFonts w:ascii="Arial" w:hAnsi="Arial" w:cs="Arial"/>
          <w:b/>
          <w:bCs/>
          <w:sz w:val="18"/>
        </w:rPr>
      </w:pPr>
      <w:r w:rsidRPr="00F97FA0">
        <w:rPr>
          <w:rFonts w:ascii="Arial" w:hAnsi="Arial" w:cs="Arial"/>
          <w:b/>
          <w:bCs/>
          <w:sz w:val="18"/>
        </w:rPr>
        <w:t>B.</w:t>
      </w:r>
      <w:r w:rsidRPr="00F97FA0">
        <w:rPr>
          <w:rFonts w:ascii="Arial" w:hAnsi="Arial" w:cs="Arial"/>
          <w:b/>
          <w:bCs/>
          <w:sz w:val="18"/>
        </w:rPr>
        <w:tab/>
        <w:t>Accessory Structures</w:t>
      </w:r>
    </w:p>
    <w:p w14:paraId="420F1D38" w14:textId="77777777" w:rsidR="008F744E" w:rsidRDefault="008F744E" w:rsidP="001B059F">
      <w:pPr>
        <w:rPr>
          <w:rFonts w:ascii="Arial" w:hAnsi="Arial" w:cs="Arial"/>
          <w:sz w:val="18"/>
        </w:rPr>
      </w:pPr>
      <w:r>
        <w:rPr>
          <w:rFonts w:ascii="Arial" w:hAnsi="Arial" w:cs="Arial"/>
          <w:sz w:val="18"/>
        </w:rPr>
        <w:t>Standards for accessory structures are found in Article 17.</w:t>
      </w:r>
    </w:p>
    <w:p w14:paraId="58E0D199" w14:textId="77777777" w:rsidR="008F744E" w:rsidRDefault="008F744E" w:rsidP="001B059F">
      <w:pPr>
        <w:rPr>
          <w:rFonts w:ascii="Arial" w:hAnsi="Arial" w:cs="Arial"/>
          <w:sz w:val="18"/>
        </w:rPr>
      </w:pPr>
    </w:p>
    <w:p w14:paraId="43D5B5C5" w14:textId="77777777" w:rsidR="008F744E" w:rsidRPr="00F97FA0" w:rsidRDefault="008F744E" w:rsidP="001B059F">
      <w:pPr>
        <w:rPr>
          <w:rFonts w:ascii="Arial" w:hAnsi="Arial" w:cs="Arial"/>
          <w:b/>
          <w:bCs/>
          <w:sz w:val="18"/>
        </w:rPr>
      </w:pPr>
      <w:r w:rsidRPr="00F97FA0">
        <w:rPr>
          <w:rFonts w:ascii="Arial" w:hAnsi="Arial" w:cs="Arial"/>
          <w:b/>
          <w:bCs/>
          <w:sz w:val="18"/>
        </w:rPr>
        <w:t>C.</w:t>
      </w:r>
      <w:r w:rsidRPr="00F97FA0">
        <w:rPr>
          <w:rFonts w:ascii="Arial" w:hAnsi="Arial" w:cs="Arial"/>
          <w:b/>
          <w:bCs/>
          <w:sz w:val="18"/>
        </w:rPr>
        <w:tab/>
        <w:t>Architectural Features</w:t>
      </w:r>
    </w:p>
    <w:p w14:paraId="78AB2293" w14:textId="77777777" w:rsidR="008F744E" w:rsidRDefault="008F744E" w:rsidP="001B059F">
      <w:pPr>
        <w:rPr>
          <w:rFonts w:ascii="Arial" w:hAnsi="Arial" w:cs="Arial"/>
          <w:sz w:val="18"/>
        </w:rPr>
      </w:pPr>
      <w:r>
        <w:rPr>
          <w:rFonts w:ascii="Arial" w:hAnsi="Arial" w:cs="Arial"/>
          <w:sz w:val="18"/>
        </w:rPr>
        <w:t>Standards for architectural features are found in Article 18.</w:t>
      </w:r>
    </w:p>
    <w:p w14:paraId="414AE1E6" w14:textId="77777777" w:rsidR="008F744E" w:rsidRDefault="008F744E" w:rsidP="001B059F">
      <w:pPr>
        <w:rPr>
          <w:rFonts w:ascii="Arial" w:hAnsi="Arial" w:cs="Arial"/>
          <w:sz w:val="18"/>
        </w:rPr>
      </w:pPr>
    </w:p>
    <w:p w14:paraId="1EAFC570" w14:textId="0F12F0C3" w:rsidR="008F744E" w:rsidRPr="00F97FA0" w:rsidRDefault="008F744E" w:rsidP="001B059F">
      <w:pPr>
        <w:rPr>
          <w:rFonts w:ascii="Arial" w:hAnsi="Arial" w:cs="Arial"/>
          <w:b/>
          <w:bCs/>
          <w:sz w:val="18"/>
        </w:rPr>
      </w:pPr>
      <w:r w:rsidRPr="00F97FA0">
        <w:rPr>
          <w:rFonts w:ascii="Arial" w:hAnsi="Arial" w:cs="Arial"/>
          <w:b/>
          <w:bCs/>
          <w:sz w:val="18"/>
        </w:rPr>
        <w:t>D.</w:t>
      </w:r>
      <w:r w:rsidRPr="00F97FA0">
        <w:rPr>
          <w:rFonts w:ascii="Arial" w:hAnsi="Arial" w:cs="Arial"/>
          <w:b/>
          <w:bCs/>
          <w:sz w:val="18"/>
        </w:rPr>
        <w:tab/>
        <w:t>Off-Street Parking</w:t>
      </w:r>
    </w:p>
    <w:p w14:paraId="24B2B9B7" w14:textId="77777777" w:rsidR="004043E3" w:rsidRDefault="008F744E" w:rsidP="00574C20">
      <w:pPr>
        <w:rPr>
          <w:rFonts w:ascii="Arial" w:hAnsi="Arial" w:cs="Arial"/>
          <w:sz w:val="18"/>
        </w:rPr>
      </w:pPr>
      <w:r>
        <w:rPr>
          <w:rFonts w:ascii="Arial" w:hAnsi="Arial" w:cs="Arial"/>
          <w:sz w:val="18"/>
        </w:rPr>
        <w:t>Standards for off-street parking and bicycle parking are found in Article 19.</w:t>
      </w:r>
    </w:p>
    <w:p w14:paraId="17B1E038" w14:textId="4DD2A28C" w:rsidR="00574C20" w:rsidRDefault="008F744E" w:rsidP="00574C20">
      <w:pPr>
        <w:rPr>
          <w:rFonts w:ascii="Arial" w:hAnsi="Arial" w:cs="Arial"/>
          <w:sz w:val="18"/>
        </w:rPr>
      </w:pPr>
      <w:r>
        <w:rPr>
          <w:rFonts w:ascii="Arial" w:hAnsi="Arial" w:cs="Arial"/>
          <w:sz w:val="18"/>
        </w:rPr>
        <w:t xml:space="preserve"> </w:t>
      </w:r>
    </w:p>
    <w:p w14:paraId="6D2AD42F" w14:textId="7E148AA7" w:rsidR="00574C20" w:rsidRPr="00F97FA0" w:rsidRDefault="00574C20" w:rsidP="00574C20">
      <w:pPr>
        <w:rPr>
          <w:rFonts w:ascii="Arial" w:hAnsi="Arial" w:cs="Arial"/>
          <w:b/>
          <w:bCs/>
          <w:sz w:val="18"/>
        </w:rPr>
      </w:pPr>
      <w:r>
        <w:rPr>
          <w:rFonts w:ascii="Arial" w:hAnsi="Arial" w:cs="Arial"/>
          <w:b/>
          <w:bCs/>
          <w:sz w:val="18"/>
        </w:rPr>
        <w:t>E</w:t>
      </w:r>
      <w:r w:rsidRPr="00F97FA0">
        <w:rPr>
          <w:rFonts w:ascii="Arial" w:hAnsi="Arial" w:cs="Arial"/>
          <w:b/>
          <w:bCs/>
          <w:sz w:val="18"/>
        </w:rPr>
        <w:t>.</w:t>
      </w:r>
      <w:r w:rsidRPr="00F97FA0">
        <w:rPr>
          <w:rFonts w:ascii="Arial" w:hAnsi="Arial" w:cs="Arial"/>
          <w:b/>
          <w:bCs/>
          <w:sz w:val="18"/>
        </w:rPr>
        <w:tab/>
        <w:t>Landscaping and Screening</w:t>
      </w:r>
    </w:p>
    <w:p w14:paraId="1F1AEF22" w14:textId="77777777" w:rsidR="00574C20" w:rsidRDefault="00574C20" w:rsidP="00574C20">
      <w:pPr>
        <w:rPr>
          <w:rFonts w:ascii="Arial" w:hAnsi="Arial" w:cs="Arial"/>
          <w:sz w:val="18"/>
        </w:rPr>
      </w:pPr>
      <w:r>
        <w:rPr>
          <w:rFonts w:ascii="Arial" w:hAnsi="Arial" w:cs="Arial"/>
          <w:sz w:val="18"/>
        </w:rPr>
        <w:t>Landscaping and screening standards are found in Article 20.</w:t>
      </w:r>
    </w:p>
    <w:p w14:paraId="2D926B32" w14:textId="77777777" w:rsidR="008F744E" w:rsidRDefault="008F744E" w:rsidP="001B059F">
      <w:pPr>
        <w:rPr>
          <w:rFonts w:ascii="Arial" w:hAnsi="Arial" w:cs="Arial"/>
          <w:sz w:val="18"/>
        </w:rPr>
      </w:pPr>
    </w:p>
    <w:p w14:paraId="652739C6" w14:textId="70152323" w:rsidR="008F744E" w:rsidRPr="00F97FA0" w:rsidRDefault="00574C20" w:rsidP="001B059F">
      <w:pPr>
        <w:rPr>
          <w:rFonts w:ascii="Arial" w:hAnsi="Arial" w:cs="Arial"/>
          <w:b/>
          <w:bCs/>
          <w:sz w:val="18"/>
        </w:rPr>
      </w:pPr>
      <w:r>
        <w:rPr>
          <w:rFonts w:ascii="Arial" w:hAnsi="Arial" w:cs="Arial"/>
          <w:b/>
          <w:bCs/>
          <w:sz w:val="18"/>
        </w:rPr>
        <w:t>F</w:t>
      </w:r>
      <w:r w:rsidR="008F744E" w:rsidRPr="00F97FA0">
        <w:rPr>
          <w:rFonts w:ascii="Arial" w:hAnsi="Arial" w:cs="Arial"/>
          <w:b/>
          <w:bCs/>
          <w:sz w:val="18"/>
        </w:rPr>
        <w:t>.</w:t>
      </w:r>
      <w:r w:rsidR="008F744E" w:rsidRPr="00F97FA0">
        <w:rPr>
          <w:rFonts w:ascii="Arial" w:hAnsi="Arial" w:cs="Arial"/>
          <w:b/>
          <w:bCs/>
          <w:sz w:val="18"/>
        </w:rPr>
        <w:tab/>
        <w:t>Loading and Service</w:t>
      </w:r>
    </w:p>
    <w:p w14:paraId="2CE04E40" w14:textId="706FD7DF" w:rsidR="008F744E" w:rsidRDefault="008F744E" w:rsidP="001B059F">
      <w:pPr>
        <w:rPr>
          <w:rFonts w:ascii="Arial" w:hAnsi="Arial" w:cs="Arial"/>
          <w:sz w:val="18"/>
        </w:rPr>
      </w:pPr>
      <w:r>
        <w:rPr>
          <w:rFonts w:ascii="Arial" w:hAnsi="Arial" w:cs="Arial"/>
          <w:sz w:val="18"/>
        </w:rPr>
        <w:t>Standards for loading</w:t>
      </w:r>
      <w:r w:rsidR="006F0633">
        <w:rPr>
          <w:rFonts w:ascii="Arial" w:hAnsi="Arial" w:cs="Arial"/>
          <w:sz w:val="18"/>
        </w:rPr>
        <w:t xml:space="preserve"> spaces</w:t>
      </w:r>
      <w:r>
        <w:rPr>
          <w:rFonts w:ascii="Arial" w:hAnsi="Arial" w:cs="Arial"/>
          <w:sz w:val="18"/>
        </w:rPr>
        <w:t xml:space="preserve"> and service</w:t>
      </w:r>
      <w:r w:rsidR="006F0633">
        <w:rPr>
          <w:rFonts w:ascii="Arial" w:hAnsi="Arial" w:cs="Arial"/>
          <w:sz w:val="18"/>
        </w:rPr>
        <w:t xml:space="preserve"> areas</w:t>
      </w:r>
      <w:r>
        <w:rPr>
          <w:rFonts w:ascii="Arial" w:hAnsi="Arial" w:cs="Arial"/>
          <w:sz w:val="18"/>
        </w:rPr>
        <w:t xml:space="preserve"> are found in Article 2</w:t>
      </w:r>
      <w:r w:rsidR="00574C20">
        <w:rPr>
          <w:rFonts w:ascii="Arial" w:hAnsi="Arial" w:cs="Arial"/>
          <w:sz w:val="18"/>
        </w:rPr>
        <w:t>1</w:t>
      </w:r>
      <w:r>
        <w:rPr>
          <w:rFonts w:ascii="Arial" w:hAnsi="Arial" w:cs="Arial"/>
          <w:sz w:val="18"/>
        </w:rPr>
        <w:t>.</w:t>
      </w:r>
    </w:p>
    <w:p w14:paraId="69844877" w14:textId="77777777" w:rsidR="008F744E" w:rsidRDefault="008F744E" w:rsidP="001B059F">
      <w:pPr>
        <w:rPr>
          <w:rFonts w:ascii="Arial" w:hAnsi="Arial" w:cs="Arial"/>
          <w:sz w:val="18"/>
        </w:rPr>
      </w:pPr>
    </w:p>
    <w:p w14:paraId="12DCFD10" w14:textId="77777777" w:rsidR="008F744E" w:rsidRPr="00F97FA0" w:rsidRDefault="008F744E" w:rsidP="001B059F">
      <w:pPr>
        <w:rPr>
          <w:rFonts w:ascii="Arial" w:hAnsi="Arial" w:cs="Arial"/>
          <w:b/>
          <w:bCs/>
          <w:sz w:val="18"/>
        </w:rPr>
      </w:pPr>
      <w:r w:rsidRPr="00F97FA0">
        <w:rPr>
          <w:rFonts w:ascii="Arial" w:hAnsi="Arial" w:cs="Arial"/>
          <w:b/>
          <w:bCs/>
          <w:sz w:val="18"/>
        </w:rPr>
        <w:t>G.</w:t>
      </w:r>
      <w:r w:rsidRPr="00F97FA0">
        <w:rPr>
          <w:rFonts w:ascii="Arial" w:hAnsi="Arial" w:cs="Arial"/>
          <w:b/>
          <w:bCs/>
          <w:sz w:val="18"/>
        </w:rPr>
        <w:tab/>
        <w:t>Signs</w:t>
      </w:r>
    </w:p>
    <w:p w14:paraId="42E4FDA5" w14:textId="12EA5BAB" w:rsidR="008F744E" w:rsidRDefault="008F744E" w:rsidP="001B059F">
      <w:pPr>
        <w:rPr>
          <w:rFonts w:ascii="Arial" w:hAnsi="Arial" w:cs="Arial"/>
          <w:sz w:val="18"/>
        </w:rPr>
      </w:pPr>
      <w:r>
        <w:rPr>
          <w:rFonts w:ascii="Arial" w:hAnsi="Arial" w:cs="Arial"/>
          <w:sz w:val="18"/>
        </w:rPr>
        <w:t>Standards for signs are found in Article 22.</w:t>
      </w:r>
    </w:p>
    <w:p w14:paraId="43CB78A0" w14:textId="6FDF733B" w:rsidR="00BE294A" w:rsidRDefault="00BE294A" w:rsidP="001B059F">
      <w:pPr>
        <w:rPr>
          <w:rFonts w:ascii="Arial" w:hAnsi="Arial" w:cs="Arial"/>
          <w:sz w:val="18"/>
        </w:rPr>
      </w:pPr>
    </w:p>
    <w:p w14:paraId="6A5487DB" w14:textId="1218A64A" w:rsidR="00BE294A" w:rsidRPr="00344675" w:rsidRDefault="00BE294A" w:rsidP="001B059F">
      <w:pPr>
        <w:rPr>
          <w:rFonts w:ascii="Arial" w:hAnsi="Arial" w:cs="Arial"/>
          <w:b/>
          <w:bCs/>
          <w:sz w:val="18"/>
        </w:rPr>
      </w:pPr>
      <w:r w:rsidRPr="00344675">
        <w:rPr>
          <w:rFonts w:ascii="Arial" w:hAnsi="Arial" w:cs="Arial"/>
          <w:b/>
          <w:bCs/>
          <w:sz w:val="18"/>
        </w:rPr>
        <w:t>H.</w:t>
      </w:r>
      <w:r w:rsidRPr="00344675">
        <w:rPr>
          <w:rFonts w:ascii="Arial" w:hAnsi="Arial" w:cs="Arial"/>
          <w:b/>
          <w:bCs/>
          <w:sz w:val="18"/>
        </w:rPr>
        <w:tab/>
        <w:t>Drainage</w:t>
      </w:r>
    </w:p>
    <w:p w14:paraId="56B01429" w14:textId="44F0FB83" w:rsidR="00BE294A" w:rsidRDefault="00BE294A" w:rsidP="001B059F">
      <w:pPr>
        <w:rPr>
          <w:rFonts w:ascii="Arial" w:hAnsi="Arial" w:cs="Arial"/>
          <w:sz w:val="18"/>
          <w:szCs w:val="18"/>
        </w:rPr>
      </w:pPr>
      <w:r>
        <w:rPr>
          <w:rFonts w:ascii="Arial" w:hAnsi="Arial" w:cs="Arial"/>
          <w:sz w:val="18"/>
        </w:rPr>
        <w:t>Standards for drainage are found in Article 24.</w:t>
      </w:r>
    </w:p>
    <w:p w14:paraId="6424B31C" w14:textId="6EF81E9F" w:rsidR="00050BA6" w:rsidRDefault="00050BA6" w:rsidP="001B059F">
      <w:pPr>
        <w:rPr>
          <w:rFonts w:ascii="Arial" w:hAnsi="Arial" w:cs="Arial"/>
          <w:sz w:val="18"/>
          <w:szCs w:val="18"/>
        </w:rPr>
      </w:pPr>
    </w:p>
    <w:p w14:paraId="3FBBB7B7" w14:textId="77777777" w:rsidR="00050BA6" w:rsidRDefault="00050BA6" w:rsidP="001B059F">
      <w:pPr>
        <w:rPr>
          <w:rFonts w:ascii="Arial" w:hAnsi="Arial" w:cs="Arial"/>
          <w:sz w:val="18"/>
          <w:szCs w:val="18"/>
        </w:rPr>
      </w:pPr>
    </w:p>
    <w:sectPr w:rsidR="00050BA6" w:rsidSect="003E054E">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3260" w14:textId="77777777" w:rsidR="00F16452" w:rsidRDefault="00F16452" w:rsidP="00E700D2">
      <w:r>
        <w:separator/>
      </w:r>
    </w:p>
  </w:endnote>
  <w:endnote w:type="continuationSeparator" w:id="0">
    <w:p w14:paraId="3911821F" w14:textId="77777777" w:rsidR="00F16452" w:rsidRDefault="00F16452" w:rsidP="00E700D2">
      <w:r>
        <w:continuationSeparator/>
      </w:r>
    </w:p>
  </w:endnote>
  <w:endnote w:type="continuationNotice" w:id="1">
    <w:p w14:paraId="436F0713" w14:textId="77777777" w:rsidR="00F16452" w:rsidRDefault="00F16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92628"/>
      <w:docPartObj>
        <w:docPartGallery w:val="Page Numbers (Bottom of Page)"/>
        <w:docPartUnique/>
      </w:docPartObj>
    </w:sdtPr>
    <w:sdtContent>
      <w:p w14:paraId="49B9E186" w14:textId="565D2048" w:rsidR="004848D5" w:rsidRDefault="004848D5" w:rsidP="008913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9F6FF" w14:textId="77777777" w:rsidR="004848D5" w:rsidRDefault="004848D5" w:rsidP="00E700D2">
    <w:pPr>
      <w:pStyle w:val="Footer"/>
      <w:ind w:right="360"/>
    </w:pPr>
  </w:p>
  <w:p w14:paraId="166EF3FB" w14:textId="77777777" w:rsidR="004848D5" w:rsidRDefault="004848D5"/>
  <w:p w14:paraId="0073FF10" w14:textId="77777777" w:rsidR="004848D5" w:rsidRDefault="004848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5A634378" w14:textId="1F344687" w:rsidR="003E054E" w:rsidRPr="003E054E" w:rsidRDefault="003E054E" w:rsidP="003E054E">
        <w:pPr>
          <w:pStyle w:val="Footer"/>
          <w:framePr w:wrap="none" w:vAnchor="text" w:hAnchor="page" w:x="5929" w:y="1"/>
          <w:rPr>
            <w:rStyle w:val="PageNumber"/>
            <w:rFonts w:ascii="Arial" w:hAnsi="Arial" w:cs="Arial"/>
            <w:sz w:val="16"/>
            <w:szCs w:val="16"/>
          </w:rPr>
        </w:pPr>
        <w:r>
          <w:rPr>
            <w:rStyle w:val="PageNumber"/>
            <w:rFonts w:ascii="Arial" w:hAnsi="Arial" w:cs="Arial"/>
            <w:sz w:val="16"/>
            <w:szCs w:val="16"/>
          </w:rPr>
          <w:t>6</w:t>
        </w:r>
        <w:r w:rsidRPr="003E054E">
          <w:rPr>
            <w:rStyle w:val="PageNumber"/>
            <w:rFonts w:ascii="Arial" w:hAnsi="Arial" w:cs="Arial"/>
            <w:sz w:val="16"/>
            <w:szCs w:val="16"/>
          </w:rPr>
          <w:t>-</w:t>
        </w:r>
        <w:r w:rsidRPr="003E054E">
          <w:rPr>
            <w:rStyle w:val="PageNumber"/>
            <w:rFonts w:ascii="Arial" w:hAnsi="Arial" w:cs="Arial"/>
            <w:sz w:val="16"/>
            <w:szCs w:val="16"/>
          </w:rPr>
          <w:fldChar w:fldCharType="begin"/>
        </w:r>
        <w:r w:rsidRPr="003E054E">
          <w:rPr>
            <w:rStyle w:val="PageNumber"/>
            <w:rFonts w:ascii="Arial" w:hAnsi="Arial" w:cs="Arial"/>
            <w:sz w:val="16"/>
            <w:szCs w:val="16"/>
          </w:rPr>
          <w:instrText xml:space="preserve"> PAGE </w:instrText>
        </w:r>
        <w:r w:rsidRPr="003E054E">
          <w:rPr>
            <w:rStyle w:val="PageNumber"/>
            <w:rFonts w:ascii="Arial" w:hAnsi="Arial" w:cs="Arial"/>
            <w:sz w:val="16"/>
            <w:szCs w:val="16"/>
          </w:rPr>
          <w:fldChar w:fldCharType="separate"/>
        </w:r>
        <w:r w:rsidRPr="003E054E">
          <w:rPr>
            <w:rStyle w:val="PageNumber"/>
            <w:rFonts w:ascii="Arial" w:hAnsi="Arial" w:cs="Arial"/>
            <w:sz w:val="16"/>
            <w:szCs w:val="16"/>
          </w:rPr>
          <w:t>1</w:t>
        </w:r>
        <w:r w:rsidRPr="003E054E">
          <w:rPr>
            <w:rStyle w:val="PageNumber"/>
            <w:rFonts w:ascii="Arial" w:hAnsi="Arial" w:cs="Arial"/>
            <w:sz w:val="16"/>
            <w:szCs w:val="16"/>
          </w:rPr>
          <w:fldChar w:fldCharType="end"/>
        </w:r>
      </w:p>
    </w:sdtContent>
  </w:sdt>
  <w:p w14:paraId="3B3DA426" w14:textId="474DCC91" w:rsidR="003E054E" w:rsidRDefault="003E054E" w:rsidP="003E054E">
    <w:pPr>
      <w:pStyle w:val="Footer"/>
      <w:tabs>
        <w:tab w:val="clear" w:pos="4680"/>
        <w:tab w:val="center" w:pos="5130"/>
      </w:tabs>
      <w:ind w:right="360"/>
      <w:rPr>
        <w:rStyle w:val="PageNumber"/>
        <w:rFonts w:ascii="Arial" w:hAnsi="Arial" w:cs="Arial"/>
        <w:sz w:val="16"/>
        <w:szCs w:val="16"/>
      </w:rPr>
    </w:pPr>
    <w:r w:rsidRPr="003E054E">
      <w:rPr>
        <w:rStyle w:val="PageNumber"/>
        <w:rFonts w:ascii="Arial" w:hAnsi="Arial" w:cs="Arial"/>
        <w:sz w:val="16"/>
        <w:szCs w:val="16"/>
      </w:rPr>
      <w:t>City of Charlotte</w:t>
    </w:r>
    <w:r w:rsidRPr="003E054E">
      <w:rPr>
        <w:rStyle w:val="PageNumber"/>
        <w:rFonts w:ascii="Arial" w:hAnsi="Arial" w:cs="Arial"/>
        <w:sz w:val="16"/>
        <w:szCs w:val="16"/>
      </w:rPr>
      <w:tab/>
    </w:r>
    <w:r>
      <w:rPr>
        <w:rStyle w:val="PageNumber"/>
        <w:rFonts w:ascii="Arial" w:hAnsi="Arial" w:cs="Arial"/>
        <w:sz w:val="16"/>
        <w:szCs w:val="16"/>
      </w:rPr>
      <w:tab/>
      <w:t xml:space="preserve">Part IV. Employment </w:t>
    </w:r>
    <w:r w:rsidR="00CC40E3">
      <w:rPr>
        <w:rStyle w:val="PageNumber"/>
        <w:rFonts w:ascii="Arial" w:hAnsi="Arial" w:cs="Arial"/>
        <w:sz w:val="16"/>
        <w:szCs w:val="16"/>
      </w:rPr>
      <w:t>Zoning</w:t>
    </w:r>
    <w:r>
      <w:rPr>
        <w:rStyle w:val="PageNumber"/>
        <w:rFonts w:ascii="Arial" w:hAnsi="Arial" w:cs="Arial"/>
        <w:sz w:val="16"/>
        <w:szCs w:val="16"/>
      </w:rPr>
      <w:t xml:space="preserve"> Districts</w:t>
    </w:r>
  </w:p>
  <w:p w14:paraId="62EFFA98" w14:textId="1B155DAF" w:rsidR="004848D5" w:rsidRPr="003E054E" w:rsidRDefault="003E054E" w:rsidP="003E054E">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6. Commercial </w:t>
    </w:r>
    <w:r w:rsidR="00DC59B7">
      <w:rPr>
        <w:rStyle w:val="PageNumber"/>
        <w:rFonts w:ascii="Arial" w:hAnsi="Arial" w:cs="Arial"/>
        <w:sz w:val="16"/>
        <w:szCs w:val="16"/>
      </w:rPr>
      <w:t xml:space="preserve">Zoning </w:t>
    </w:r>
    <w:r>
      <w:rPr>
        <w:rStyle w:val="PageNumber"/>
        <w:rFonts w:ascii="Arial" w:hAnsi="Arial" w:cs="Arial"/>
        <w:sz w:val="16"/>
        <w:szCs w:val="16"/>
      </w:rPr>
      <w:t>Districts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6530" w14:textId="77777777" w:rsidR="00F16452" w:rsidRDefault="00F16452" w:rsidP="00E700D2">
      <w:r>
        <w:separator/>
      </w:r>
    </w:p>
  </w:footnote>
  <w:footnote w:type="continuationSeparator" w:id="0">
    <w:p w14:paraId="3C387E1A" w14:textId="77777777" w:rsidR="00F16452" w:rsidRDefault="00F16452" w:rsidP="00E700D2">
      <w:r>
        <w:continuationSeparator/>
      </w:r>
    </w:p>
  </w:footnote>
  <w:footnote w:type="continuationNotice" w:id="1">
    <w:p w14:paraId="6D078642" w14:textId="77777777" w:rsidR="00F16452" w:rsidRDefault="00F164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22F" w14:textId="3289D32D" w:rsidR="004848D5" w:rsidRPr="003E054E" w:rsidRDefault="004848D5" w:rsidP="00170426">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11D"/>
    <w:multiLevelType w:val="hybridMultilevel"/>
    <w:tmpl w:val="36B0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F63"/>
    <w:multiLevelType w:val="hybridMultilevel"/>
    <w:tmpl w:val="A58A09D4"/>
    <w:lvl w:ilvl="0" w:tplc="1D2A1376">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8199B"/>
    <w:multiLevelType w:val="hybridMultilevel"/>
    <w:tmpl w:val="13527BEE"/>
    <w:lvl w:ilvl="0" w:tplc="BEAA24EE">
      <w:start w:val="1"/>
      <w:numFmt w:val="upperLetter"/>
      <w:lvlText w:val="%1."/>
      <w:lvlJc w:val="left"/>
      <w:pPr>
        <w:ind w:left="1170" w:hanging="360"/>
        <w:jc w:val="right"/>
      </w:pPr>
      <w:rPr>
        <w:rFonts w:hint="default"/>
        <w:b/>
        <w:bCs/>
        <w:w w:val="96"/>
        <w:lang w:val="en-US" w:eastAsia="en-US" w:bidi="en-US"/>
      </w:rPr>
    </w:lvl>
    <w:lvl w:ilvl="1" w:tplc="2B4C6B0C">
      <w:start w:val="1"/>
      <w:numFmt w:val="decimal"/>
      <w:lvlText w:val="%2."/>
      <w:lvlJc w:val="left"/>
      <w:pPr>
        <w:ind w:left="1540" w:hanging="360"/>
        <w:jc w:val="right"/>
      </w:pPr>
      <w:rPr>
        <w:rFonts w:hint="default"/>
        <w:b/>
        <w:bCs/>
        <w:spacing w:val="-4"/>
        <w:w w:val="90"/>
        <w:lang w:val="en-US" w:eastAsia="en-US" w:bidi="en-US"/>
      </w:rPr>
    </w:lvl>
    <w:lvl w:ilvl="2" w:tplc="0A4C6A3A">
      <w:start w:val="1"/>
      <w:numFmt w:val="lowerLetter"/>
      <w:lvlText w:val="%3."/>
      <w:lvlJc w:val="left"/>
      <w:pPr>
        <w:ind w:left="1900" w:hanging="360"/>
        <w:jc w:val="right"/>
      </w:pPr>
      <w:rPr>
        <w:rFonts w:hint="default"/>
        <w:b/>
        <w:bCs/>
        <w:spacing w:val="-1"/>
        <w:w w:val="91"/>
        <w:lang w:val="en-US" w:eastAsia="en-US" w:bidi="en-US"/>
      </w:rPr>
    </w:lvl>
    <w:lvl w:ilvl="3" w:tplc="AF48C9B0">
      <w:start w:val="1"/>
      <w:numFmt w:val="lowerRoman"/>
      <w:lvlText w:val="%4."/>
      <w:lvlJc w:val="left"/>
      <w:pPr>
        <w:ind w:left="1900" w:hanging="360"/>
      </w:pPr>
      <w:rPr>
        <w:rFonts w:ascii="Trebuchet MS" w:eastAsia="Trebuchet MS" w:hAnsi="Trebuchet MS" w:cs="Trebuchet MS" w:hint="default"/>
        <w:b/>
        <w:bCs/>
        <w:color w:val="231F20"/>
        <w:spacing w:val="-1"/>
        <w:w w:val="83"/>
        <w:sz w:val="18"/>
        <w:szCs w:val="18"/>
        <w:lang w:val="en-US" w:eastAsia="en-US" w:bidi="en-US"/>
      </w:rPr>
    </w:lvl>
    <w:lvl w:ilvl="4" w:tplc="F5AA28E6">
      <w:numFmt w:val="bullet"/>
      <w:lvlText w:val="•"/>
      <w:lvlJc w:val="left"/>
      <w:pPr>
        <w:ind w:left="1560" w:hanging="360"/>
      </w:pPr>
      <w:rPr>
        <w:rFonts w:hint="default"/>
        <w:lang w:val="en-US" w:eastAsia="en-US" w:bidi="en-US"/>
      </w:rPr>
    </w:lvl>
    <w:lvl w:ilvl="5" w:tplc="81BEC464">
      <w:numFmt w:val="bullet"/>
      <w:lvlText w:val="•"/>
      <w:lvlJc w:val="left"/>
      <w:pPr>
        <w:ind w:left="1600" w:hanging="360"/>
      </w:pPr>
      <w:rPr>
        <w:rFonts w:hint="default"/>
        <w:lang w:val="en-US" w:eastAsia="en-US" w:bidi="en-US"/>
      </w:rPr>
    </w:lvl>
    <w:lvl w:ilvl="6" w:tplc="BD04BF44">
      <w:numFmt w:val="bullet"/>
      <w:lvlText w:val="•"/>
      <w:lvlJc w:val="left"/>
      <w:pPr>
        <w:ind w:left="1900" w:hanging="360"/>
      </w:pPr>
      <w:rPr>
        <w:rFonts w:hint="default"/>
        <w:lang w:val="en-US" w:eastAsia="en-US" w:bidi="en-US"/>
      </w:rPr>
    </w:lvl>
    <w:lvl w:ilvl="7" w:tplc="0868F4C6">
      <w:numFmt w:val="bullet"/>
      <w:lvlText w:val="•"/>
      <w:lvlJc w:val="left"/>
      <w:pPr>
        <w:ind w:left="1281" w:hanging="360"/>
      </w:pPr>
      <w:rPr>
        <w:rFonts w:hint="default"/>
        <w:lang w:val="en-US" w:eastAsia="en-US" w:bidi="en-US"/>
      </w:rPr>
    </w:lvl>
    <w:lvl w:ilvl="8" w:tplc="F94C70BC">
      <w:numFmt w:val="bullet"/>
      <w:lvlText w:val="•"/>
      <w:lvlJc w:val="left"/>
      <w:pPr>
        <w:ind w:left="663" w:hanging="360"/>
      </w:pPr>
      <w:rPr>
        <w:rFonts w:hint="default"/>
        <w:lang w:val="en-US" w:eastAsia="en-US" w:bidi="en-US"/>
      </w:rPr>
    </w:lvl>
  </w:abstractNum>
  <w:abstractNum w:abstractNumId="3" w15:restartNumberingAfterBreak="0">
    <w:nsid w:val="14360FB5"/>
    <w:multiLevelType w:val="hybridMultilevel"/>
    <w:tmpl w:val="65A04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4C1B86"/>
    <w:multiLevelType w:val="hybridMultilevel"/>
    <w:tmpl w:val="146AA8EE"/>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4440"/>
    <w:multiLevelType w:val="hybridMultilevel"/>
    <w:tmpl w:val="1522323C"/>
    <w:lvl w:ilvl="0" w:tplc="123ABFA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B545E"/>
    <w:multiLevelType w:val="hybridMultilevel"/>
    <w:tmpl w:val="51CC8742"/>
    <w:lvl w:ilvl="0" w:tplc="6694BE4E">
      <w:start w:val="1"/>
      <w:numFmt w:val="bullet"/>
      <w:lvlText w:val="-"/>
      <w:lvlJc w:val="left"/>
      <w:pPr>
        <w:ind w:left="776" w:hanging="360"/>
      </w:pPr>
      <w:rPr>
        <w:rFonts w:ascii="Calibri" w:eastAsiaTheme="minorHAnsi" w:hAnsi="Calibri" w:cs="Calibri" w:hint="default"/>
        <w:color w:val="231F20"/>
        <w:w w:val="105"/>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3C956B64"/>
    <w:multiLevelType w:val="hybridMultilevel"/>
    <w:tmpl w:val="5DBC7E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0647A9"/>
    <w:multiLevelType w:val="hybridMultilevel"/>
    <w:tmpl w:val="C3F6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FD64B5"/>
    <w:multiLevelType w:val="hybridMultilevel"/>
    <w:tmpl w:val="6E1E0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18383F"/>
    <w:multiLevelType w:val="hybridMultilevel"/>
    <w:tmpl w:val="2C1239EE"/>
    <w:lvl w:ilvl="0" w:tplc="1D2A1376">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32BAE"/>
    <w:multiLevelType w:val="hybridMultilevel"/>
    <w:tmpl w:val="BFC2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774C6"/>
    <w:multiLevelType w:val="multilevel"/>
    <w:tmpl w:val="2FDEE3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647C3"/>
    <w:multiLevelType w:val="hybridMultilevel"/>
    <w:tmpl w:val="55E6B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152F1"/>
    <w:multiLevelType w:val="hybridMultilevel"/>
    <w:tmpl w:val="60C84B3C"/>
    <w:lvl w:ilvl="0" w:tplc="C9FC6622">
      <w:start w:val="1"/>
      <w:numFmt w:val="upperLetter"/>
      <w:lvlText w:val="%1."/>
      <w:lvlJc w:val="left"/>
      <w:pPr>
        <w:ind w:left="1164" w:hanging="360"/>
        <w:jc w:val="right"/>
      </w:pPr>
      <w:rPr>
        <w:rFonts w:ascii="Trebuchet MS" w:eastAsia="Trebuchet MS" w:hAnsi="Trebuchet MS" w:cs="Trebuchet MS" w:hint="default"/>
        <w:b/>
        <w:bCs/>
        <w:color w:val="231F20"/>
        <w:w w:val="96"/>
        <w:sz w:val="18"/>
        <w:szCs w:val="18"/>
        <w:lang w:val="en-US" w:eastAsia="en-US" w:bidi="en-US"/>
      </w:rPr>
    </w:lvl>
    <w:lvl w:ilvl="1" w:tplc="C52CB354">
      <w:start w:val="1"/>
      <w:numFmt w:val="decimal"/>
      <w:lvlText w:val="%2."/>
      <w:lvlJc w:val="left"/>
      <w:pPr>
        <w:ind w:left="1325" w:hanging="360"/>
      </w:pPr>
      <w:rPr>
        <w:rFonts w:hint="default"/>
        <w:b/>
        <w:bCs/>
        <w:w w:val="90"/>
        <w:lang w:val="en-US" w:eastAsia="en-US" w:bidi="en-US"/>
      </w:rPr>
    </w:lvl>
    <w:lvl w:ilvl="2" w:tplc="1E88AEFE">
      <w:start w:val="1"/>
      <w:numFmt w:val="lowerLetter"/>
      <w:lvlText w:val="%3."/>
      <w:lvlJc w:val="left"/>
      <w:pPr>
        <w:ind w:left="1884" w:hanging="360"/>
      </w:pPr>
      <w:rPr>
        <w:rFonts w:ascii="Trebuchet MS" w:eastAsia="Trebuchet MS" w:hAnsi="Trebuchet MS" w:cs="Trebuchet MS" w:hint="default"/>
        <w:b/>
        <w:bCs/>
        <w:color w:val="231F20"/>
        <w:spacing w:val="-1"/>
        <w:w w:val="91"/>
        <w:sz w:val="18"/>
        <w:szCs w:val="18"/>
        <w:lang w:val="en-US" w:eastAsia="en-US" w:bidi="en-US"/>
      </w:rPr>
    </w:lvl>
    <w:lvl w:ilvl="3" w:tplc="D6F037B6">
      <w:start w:val="1"/>
      <w:numFmt w:val="lowerRoman"/>
      <w:lvlText w:val="%4."/>
      <w:lvlJc w:val="left"/>
      <w:pPr>
        <w:ind w:left="1884" w:hanging="360"/>
      </w:pPr>
      <w:rPr>
        <w:rFonts w:hint="default"/>
        <w:b/>
        <w:bCs/>
        <w:spacing w:val="-1"/>
        <w:w w:val="83"/>
        <w:lang w:val="en-US" w:eastAsia="en-US" w:bidi="en-US"/>
      </w:rPr>
    </w:lvl>
    <w:lvl w:ilvl="4" w:tplc="CFE40B6A">
      <w:numFmt w:val="bullet"/>
      <w:lvlText w:val="•"/>
      <w:lvlJc w:val="left"/>
      <w:pPr>
        <w:ind w:left="1904" w:hanging="360"/>
      </w:pPr>
      <w:rPr>
        <w:rFonts w:hint="default"/>
        <w:lang w:val="en-US" w:eastAsia="en-US" w:bidi="en-US"/>
      </w:rPr>
    </w:lvl>
    <w:lvl w:ilvl="5" w:tplc="349EFE30">
      <w:numFmt w:val="bullet"/>
      <w:lvlText w:val="•"/>
      <w:lvlJc w:val="left"/>
      <w:pPr>
        <w:ind w:left="1565" w:hanging="360"/>
      </w:pPr>
      <w:rPr>
        <w:rFonts w:hint="default"/>
        <w:lang w:val="en-US" w:eastAsia="en-US" w:bidi="en-US"/>
      </w:rPr>
    </w:lvl>
    <w:lvl w:ilvl="6" w:tplc="FB2A387A">
      <w:numFmt w:val="bullet"/>
      <w:lvlText w:val="•"/>
      <w:lvlJc w:val="left"/>
      <w:pPr>
        <w:ind w:left="1226" w:hanging="360"/>
      </w:pPr>
      <w:rPr>
        <w:rFonts w:hint="default"/>
        <w:lang w:val="en-US" w:eastAsia="en-US" w:bidi="en-US"/>
      </w:rPr>
    </w:lvl>
    <w:lvl w:ilvl="7" w:tplc="27DEBA0A">
      <w:numFmt w:val="bullet"/>
      <w:lvlText w:val="•"/>
      <w:lvlJc w:val="left"/>
      <w:pPr>
        <w:ind w:left="888" w:hanging="360"/>
      </w:pPr>
      <w:rPr>
        <w:rFonts w:hint="default"/>
        <w:lang w:val="en-US" w:eastAsia="en-US" w:bidi="en-US"/>
      </w:rPr>
    </w:lvl>
    <w:lvl w:ilvl="8" w:tplc="C6B6B4C0">
      <w:numFmt w:val="bullet"/>
      <w:lvlText w:val="•"/>
      <w:lvlJc w:val="left"/>
      <w:pPr>
        <w:ind w:left="549" w:hanging="360"/>
      </w:pPr>
      <w:rPr>
        <w:rFonts w:hint="default"/>
        <w:lang w:val="en-US" w:eastAsia="en-US" w:bidi="en-US"/>
      </w:rPr>
    </w:lvl>
  </w:abstractNum>
  <w:abstractNum w:abstractNumId="15" w15:restartNumberingAfterBreak="0">
    <w:nsid w:val="6E77078F"/>
    <w:multiLevelType w:val="hybridMultilevel"/>
    <w:tmpl w:val="78C6E6B4"/>
    <w:lvl w:ilvl="0" w:tplc="1D2A1376">
      <w:start w:val="1"/>
      <w:numFmt w:val="bullet"/>
      <w:lvlText w:val=""/>
      <w:lvlJc w:val="left"/>
      <w:pPr>
        <w:ind w:left="1800" w:hanging="360"/>
      </w:pPr>
      <w:rPr>
        <w:rFonts w:ascii="Symbol" w:hAnsi="Symbol" w:hint="default"/>
      </w:rPr>
    </w:lvl>
    <w:lvl w:ilvl="1" w:tplc="1D2A1376">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C610E"/>
    <w:multiLevelType w:val="hybridMultilevel"/>
    <w:tmpl w:val="61C8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44429"/>
    <w:multiLevelType w:val="hybridMultilevel"/>
    <w:tmpl w:val="49C6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036FE"/>
    <w:multiLevelType w:val="hybridMultilevel"/>
    <w:tmpl w:val="D88AC996"/>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E2FD5"/>
    <w:multiLevelType w:val="hybridMultilevel"/>
    <w:tmpl w:val="EF0A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1703038">
    <w:abstractNumId w:val="18"/>
  </w:num>
  <w:num w:numId="2" w16cid:durableId="1390029718">
    <w:abstractNumId w:val="4"/>
  </w:num>
  <w:num w:numId="3" w16cid:durableId="1791507496">
    <w:abstractNumId w:val="1"/>
  </w:num>
  <w:num w:numId="4" w16cid:durableId="366030083">
    <w:abstractNumId w:val="10"/>
  </w:num>
  <w:num w:numId="5" w16cid:durableId="1989741110">
    <w:abstractNumId w:val="3"/>
  </w:num>
  <w:num w:numId="6" w16cid:durableId="2098600695">
    <w:abstractNumId w:val="17"/>
  </w:num>
  <w:num w:numId="7" w16cid:durableId="710961544">
    <w:abstractNumId w:val="12"/>
  </w:num>
  <w:num w:numId="8" w16cid:durableId="169222442">
    <w:abstractNumId w:val="7"/>
  </w:num>
  <w:num w:numId="9" w16cid:durableId="660549877">
    <w:abstractNumId w:val="15"/>
  </w:num>
  <w:num w:numId="10" w16cid:durableId="1394233432">
    <w:abstractNumId w:val="0"/>
  </w:num>
  <w:num w:numId="11" w16cid:durableId="451091387">
    <w:abstractNumId w:val="16"/>
  </w:num>
  <w:num w:numId="12" w16cid:durableId="468863879">
    <w:abstractNumId w:val="11"/>
  </w:num>
  <w:num w:numId="13" w16cid:durableId="1871607839">
    <w:abstractNumId w:val="19"/>
  </w:num>
  <w:num w:numId="14" w16cid:durableId="1296372421">
    <w:abstractNumId w:val="14"/>
  </w:num>
  <w:num w:numId="15" w16cid:durableId="491025976">
    <w:abstractNumId w:val="8"/>
  </w:num>
  <w:num w:numId="16" w16cid:durableId="19208186">
    <w:abstractNumId w:val="6"/>
  </w:num>
  <w:num w:numId="17" w16cid:durableId="1670791590">
    <w:abstractNumId w:val="2"/>
  </w:num>
  <w:num w:numId="18" w16cid:durableId="800541190">
    <w:abstractNumId w:val="5"/>
  </w:num>
  <w:num w:numId="19" w16cid:durableId="237061299">
    <w:abstractNumId w:val="9"/>
  </w:num>
  <w:num w:numId="20" w16cid:durableId="350188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35"/>
    <w:rsid w:val="00001C87"/>
    <w:rsid w:val="0000232B"/>
    <w:rsid w:val="0000273B"/>
    <w:rsid w:val="0000284C"/>
    <w:rsid w:val="000069AA"/>
    <w:rsid w:val="000078A9"/>
    <w:rsid w:val="00011979"/>
    <w:rsid w:val="00011F73"/>
    <w:rsid w:val="0001673D"/>
    <w:rsid w:val="00017355"/>
    <w:rsid w:val="000212D2"/>
    <w:rsid w:val="00021CF8"/>
    <w:rsid w:val="00023ED2"/>
    <w:rsid w:val="00023F9D"/>
    <w:rsid w:val="000265C1"/>
    <w:rsid w:val="00030272"/>
    <w:rsid w:val="00030F0F"/>
    <w:rsid w:val="000315F5"/>
    <w:rsid w:val="00032957"/>
    <w:rsid w:val="00036E32"/>
    <w:rsid w:val="00037B7C"/>
    <w:rsid w:val="00041A05"/>
    <w:rsid w:val="000429FB"/>
    <w:rsid w:val="00042E61"/>
    <w:rsid w:val="000453EB"/>
    <w:rsid w:val="00045558"/>
    <w:rsid w:val="000464C1"/>
    <w:rsid w:val="00046B35"/>
    <w:rsid w:val="00047329"/>
    <w:rsid w:val="0004748A"/>
    <w:rsid w:val="00050BA6"/>
    <w:rsid w:val="000514E4"/>
    <w:rsid w:val="00051CF2"/>
    <w:rsid w:val="000539B6"/>
    <w:rsid w:val="000616C0"/>
    <w:rsid w:val="00061FCA"/>
    <w:rsid w:val="0006272E"/>
    <w:rsid w:val="000629ED"/>
    <w:rsid w:val="000637FF"/>
    <w:rsid w:val="0006591E"/>
    <w:rsid w:val="0006621B"/>
    <w:rsid w:val="0006742F"/>
    <w:rsid w:val="00072627"/>
    <w:rsid w:val="000733F8"/>
    <w:rsid w:val="0007476A"/>
    <w:rsid w:val="000752F1"/>
    <w:rsid w:val="0007620C"/>
    <w:rsid w:val="0008003A"/>
    <w:rsid w:val="000806BE"/>
    <w:rsid w:val="0008487F"/>
    <w:rsid w:val="00085A71"/>
    <w:rsid w:val="00086277"/>
    <w:rsid w:val="00087CC8"/>
    <w:rsid w:val="00091C1D"/>
    <w:rsid w:val="00093A23"/>
    <w:rsid w:val="0009505E"/>
    <w:rsid w:val="000965BC"/>
    <w:rsid w:val="000A0186"/>
    <w:rsid w:val="000A1E31"/>
    <w:rsid w:val="000A4D33"/>
    <w:rsid w:val="000A5C8E"/>
    <w:rsid w:val="000A5D8B"/>
    <w:rsid w:val="000A70BD"/>
    <w:rsid w:val="000A7834"/>
    <w:rsid w:val="000A78D5"/>
    <w:rsid w:val="000B0C31"/>
    <w:rsid w:val="000B50F9"/>
    <w:rsid w:val="000B606F"/>
    <w:rsid w:val="000C0D40"/>
    <w:rsid w:val="000C1454"/>
    <w:rsid w:val="000C2F48"/>
    <w:rsid w:val="000C4FA2"/>
    <w:rsid w:val="000C5723"/>
    <w:rsid w:val="000D0411"/>
    <w:rsid w:val="000D3481"/>
    <w:rsid w:val="000D5DCB"/>
    <w:rsid w:val="000E2B59"/>
    <w:rsid w:val="000E2E24"/>
    <w:rsid w:val="000E683B"/>
    <w:rsid w:val="000F0295"/>
    <w:rsid w:val="000F06BB"/>
    <w:rsid w:val="000F2187"/>
    <w:rsid w:val="000F22C6"/>
    <w:rsid w:val="000F23A1"/>
    <w:rsid w:val="000F3CD6"/>
    <w:rsid w:val="000F3D0F"/>
    <w:rsid w:val="000F41DC"/>
    <w:rsid w:val="000F60D5"/>
    <w:rsid w:val="000F68B9"/>
    <w:rsid w:val="000F705C"/>
    <w:rsid w:val="000F7C34"/>
    <w:rsid w:val="0010049F"/>
    <w:rsid w:val="00101EC1"/>
    <w:rsid w:val="0010491B"/>
    <w:rsid w:val="00104AE1"/>
    <w:rsid w:val="00104CC0"/>
    <w:rsid w:val="0010513D"/>
    <w:rsid w:val="00107D00"/>
    <w:rsid w:val="0011140C"/>
    <w:rsid w:val="00111E07"/>
    <w:rsid w:val="00116C63"/>
    <w:rsid w:val="00117BA0"/>
    <w:rsid w:val="00121427"/>
    <w:rsid w:val="00121961"/>
    <w:rsid w:val="0012446B"/>
    <w:rsid w:val="00125578"/>
    <w:rsid w:val="00126465"/>
    <w:rsid w:val="00130043"/>
    <w:rsid w:val="00130147"/>
    <w:rsid w:val="0013264A"/>
    <w:rsid w:val="00136BD9"/>
    <w:rsid w:val="00143098"/>
    <w:rsid w:val="00143B8D"/>
    <w:rsid w:val="00143BF2"/>
    <w:rsid w:val="00145E53"/>
    <w:rsid w:val="001476F7"/>
    <w:rsid w:val="00151382"/>
    <w:rsid w:val="00154EE4"/>
    <w:rsid w:val="00155E02"/>
    <w:rsid w:val="001572B5"/>
    <w:rsid w:val="00157A16"/>
    <w:rsid w:val="001622FB"/>
    <w:rsid w:val="001624D4"/>
    <w:rsid w:val="00164BE0"/>
    <w:rsid w:val="00164CD0"/>
    <w:rsid w:val="00165DEC"/>
    <w:rsid w:val="00170426"/>
    <w:rsid w:val="001713EB"/>
    <w:rsid w:val="00172C46"/>
    <w:rsid w:val="00173F4D"/>
    <w:rsid w:val="0017711A"/>
    <w:rsid w:val="00183DE3"/>
    <w:rsid w:val="00184E8D"/>
    <w:rsid w:val="001866FF"/>
    <w:rsid w:val="00186E2E"/>
    <w:rsid w:val="00187552"/>
    <w:rsid w:val="00192CA6"/>
    <w:rsid w:val="001943E2"/>
    <w:rsid w:val="00196212"/>
    <w:rsid w:val="00196A19"/>
    <w:rsid w:val="001A297F"/>
    <w:rsid w:val="001A34E4"/>
    <w:rsid w:val="001A6B25"/>
    <w:rsid w:val="001A7DC3"/>
    <w:rsid w:val="001B059F"/>
    <w:rsid w:val="001B14C3"/>
    <w:rsid w:val="001B3A28"/>
    <w:rsid w:val="001B43EB"/>
    <w:rsid w:val="001B50A7"/>
    <w:rsid w:val="001B5F5A"/>
    <w:rsid w:val="001B6580"/>
    <w:rsid w:val="001B6714"/>
    <w:rsid w:val="001C550B"/>
    <w:rsid w:val="001C7334"/>
    <w:rsid w:val="001C7DEF"/>
    <w:rsid w:val="001D049E"/>
    <w:rsid w:val="001D0768"/>
    <w:rsid w:val="001D1CBC"/>
    <w:rsid w:val="001D7024"/>
    <w:rsid w:val="001D77EE"/>
    <w:rsid w:val="001E309B"/>
    <w:rsid w:val="001F0D37"/>
    <w:rsid w:val="001F1922"/>
    <w:rsid w:val="001F2E3B"/>
    <w:rsid w:val="001F3375"/>
    <w:rsid w:val="001F44A2"/>
    <w:rsid w:val="0020067A"/>
    <w:rsid w:val="002039DB"/>
    <w:rsid w:val="00205502"/>
    <w:rsid w:val="00206293"/>
    <w:rsid w:val="002069A0"/>
    <w:rsid w:val="00207E74"/>
    <w:rsid w:val="00211D44"/>
    <w:rsid w:val="00212FDB"/>
    <w:rsid w:val="00213027"/>
    <w:rsid w:val="00217332"/>
    <w:rsid w:val="00221FD2"/>
    <w:rsid w:val="00222191"/>
    <w:rsid w:val="00223925"/>
    <w:rsid w:val="00224B1A"/>
    <w:rsid w:val="00227D04"/>
    <w:rsid w:val="00230FBF"/>
    <w:rsid w:val="00232838"/>
    <w:rsid w:val="00233718"/>
    <w:rsid w:val="002410B2"/>
    <w:rsid w:val="0024255E"/>
    <w:rsid w:val="00243714"/>
    <w:rsid w:val="00244203"/>
    <w:rsid w:val="00245D28"/>
    <w:rsid w:val="00250113"/>
    <w:rsid w:val="002513B8"/>
    <w:rsid w:val="00253A56"/>
    <w:rsid w:val="002544CA"/>
    <w:rsid w:val="00254D69"/>
    <w:rsid w:val="00256117"/>
    <w:rsid w:val="00257F8B"/>
    <w:rsid w:val="002629F4"/>
    <w:rsid w:val="002631C2"/>
    <w:rsid w:val="00263438"/>
    <w:rsid w:val="002639CC"/>
    <w:rsid w:val="00264CC9"/>
    <w:rsid w:val="00266802"/>
    <w:rsid w:val="002675A3"/>
    <w:rsid w:val="002715B3"/>
    <w:rsid w:val="00273C9A"/>
    <w:rsid w:val="002762AC"/>
    <w:rsid w:val="0028249A"/>
    <w:rsid w:val="0028366C"/>
    <w:rsid w:val="00293772"/>
    <w:rsid w:val="00293931"/>
    <w:rsid w:val="00294976"/>
    <w:rsid w:val="00294DD5"/>
    <w:rsid w:val="00295B61"/>
    <w:rsid w:val="002A066F"/>
    <w:rsid w:val="002A4754"/>
    <w:rsid w:val="002A592D"/>
    <w:rsid w:val="002A5D42"/>
    <w:rsid w:val="002A637D"/>
    <w:rsid w:val="002A774D"/>
    <w:rsid w:val="002B14D2"/>
    <w:rsid w:val="002B348B"/>
    <w:rsid w:val="002B3D83"/>
    <w:rsid w:val="002B49DA"/>
    <w:rsid w:val="002B75A5"/>
    <w:rsid w:val="002C068B"/>
    <w:rsid w:val="002C2244"/>
    <w:rsid w:val="002C4213"/>
    <w:rsid w:val="002C6A09"/>
    <w:rsid w:val="002C7C8B"/>
    <w:rsid w:val="002D0988"/>
    <w:rsid w:val="002D10D2"/>
    <w:rsid w:val="002D1741"/>
    <w:rsid w:val="002D2167"/>
    <w:rsid w:val="002D3D47"/>
    <w:rsid w:val="002D4591"/>
    <w:rsid w:val="002D4D03"/>
    <w:rsid w:val="002D59FC"/>
    <w:rsid w:val="002D79A1"/>
    <w:rsid w:val="002E0DC7"/>
    <w:rsid w:val="002E1B3D"/>
    <w:rsid w:val="002E1DF7"/>
    <w:rsid w:val="002E27F1"/>
    <w:rsid w:val="002E3CBF"/>
    <w:rsid w:val="002E61A9"/>
    <w:rsid w:val="002E7B19"/>
    <w:rsid w:val="002E7F56"/>
    <w:rsid w:val="002F0374"/>
    <w:rsid w:val="002F09B3"/>
    <w:rsid w:val="002F0C4E"/>
    <w:rsid w:val="002F120B"/>
    <w:rsid w:val="002F1614"/>
    <w:rsid w:val="002F26E1"/>
    <w:rsid w:val="002F4EBD"/>
    <w:rsid w:val="002F6538"/>
    <w:rsid w:val="00304DFB"/>
    <w:rsid w:val="00305B7D"/>
    <w:rsid w:val="00305D99"/>
    <w:rsid w:val="003068F1"/>
    <w:rsid w:val="00310540"/>
    <w:rsid w:val="00310BC5"/>
    <w:rsid w:val="0031172E"/>
    <w:rsid w:val="00312039"/>
    <w:rsid w:val="0031694C"/>
    <w:rsid w:val="00316F60"/>
    <w:rsid w:val="00317EF8"/>
    <w:rsid w:val="00321702"/>
    <w:rsid w:val="003218C9"/>
    <w:rsid w:val="00321BD1"/>
    <w:rsid w:val="003240B9"/>
    <w:rsid w:val="00325863"/>
    <w:rsid w:val="00327F0C"/>
    <w:rsid w:val="00331D2E"/>
    <w:rsid w:val="003334EF"/>
    <w:rsid w:val="00333904"/>
    <w:rsid w:val="00333A4F"/>
    <w:rsid w:val="003349F6"/>
    <w:rsid w:val="00337085"/>
    <w:rsid w:val="00337196"/>
    <w:rsid w:val="00337259"/>
    <w:rsid w:val="003409B7"/>
    <w:rsid w:val="00343BF7"/>
    <w:rsid w:val="00344098"/>
    <w:rsid w:val="00344675"/>
    <w:rsid w:val="00351B26"/>
    <w:rsid w:val="00352A62"/>
    <w:rsid w:val="00354292"/>
    <w:rsid w:val="00355C77"/>
    <w:rsid w:val="00356352"/>
    <w:rsid w:val="003564C2"/>
    <w:rsid w:val="00356A1E"/>
    <w:rsid w:val="00361D8E"/>
    <w:rsid w:val="00362D1A"/>
    <w:rsid w:val="003637E8"/>
    <w:rsid w:val="00365AB1"/>
    <w:rsid w:val="0036715B"/>
    <w:rsid w:val="00372951"/>
    <w:rsid w:val="00372A4F"/>
    <w:rsid w:val="00375E63"/>
    <w:rsid w:val="003769C6"/>
    <w:rsid w:val="00380DEF"/>
    <w:rsid w:val="00381F73"/>
    <w:rsid w:val="00384C8E"/>
    <w:rsid w:val="003856C1"/>
    <w:rsid w:val="00385E1D"/>
    <w:rsid w:val="00386A6C"/>
    <w:rsid w:val="0038706E"/>
    <w:rsid w:val="00390100"/>
    <w:rsid w:val="00392202"/>
    <w:rsid w:val="0039334F"/>
    <w:rsid w:val="00394310"/>
    <w:rsid w:val="0039589A"/>
    <w:rsid w:val="00395968"/>
    <w:rsid w:val="00397BE1"/>
    <w:rsid w:val="003A0183"/>
    <w:rsid w:val="003A0592"/>
    <w:rsid w:val="003A0F40"/>
    <w:rsid w:val="003A1102"/>
    <w:rsid w:val="003A365B"/>
    <w:rsid w:val="003B1841"/>
    <w:rsid w:val="003B28F6"/>
    <w:rsid w:val="003B42C9"/>
    <w:rsid w:val="003B7579"/>
    <w:rsid w:val="003B796F"/>
    <w:rsid w:val="003B79DF"/>
    <w:rsid w:val="003C0308"/>
    <w:rsid w:val="003C0493"/>
    <w:rsid w:val="003C2041"/>
    <w:rsid w:val="003C2938"/>
    <w:rsid w:val="003C67EA"/>
    <w:rsid w:val="003D03DB"/>
    <w:rsid w:val="003D4205"/>
    <w:rsid w:val="003D42B3"/>
    <w:rsid w:val="003D6EF4"/>
    <w:rsid w:val="003D7B23"/>
    <w:rsid w:val="003D7CA4"/>
    <w:rsid w:val="003E054E"/>
    <w:rsid w:val="003E08F5"/>
    <w:rsid w:val="003E1B52"/>
    <w:rsid w:val="003E357A"/>
    <w:rsid w:val="003E4817"/>
    <w:rsid w:val="003E51B1"/>
    <w:rsid w:val="003E52C9"/>
    <w:rsid w:val="003E6722"/>
    <w:rsid w:val="003F0016"/>
    <w:rsid w:val="003F3165"/>
    <w:rsid w:val="003F34DD"/>
    <w:rsid w:val="003F4134"/>
    <w:rsid w:val="003F448D"/>
    <w:rsid w:val="003F5701"/>
    <w:rsid w:val="003F6E36"/>
    <w:rsid w:val="003F7C8F"/>
    <w:rsid w:val="003F7FFA"/>
    <w:rsid w:val="00400C78"/>
    <w:rsid w:val="00402720"/>
    <w:rsid w:val="004043E3"/>
    <w:rsid w:val="00405C59"/>
    <w:rsid w:val="004060C6"/>
    <w:rsid w:val="00413955"/>
    <w:rsid w:val="00413C9C"/>
    <w:rsid w:val="00414141"/>
    <w:rsid w:val="00415DC8"/>
    <w:rsid w:val="004174BF"/>
    <w:rsid w:val="00417843"/>
    <w:rsid w:val="00417D14"/>
    <w:rsid w:val="004211CC"/>
    <w:rsid w:val="0042167F"/>
    <w:rsid w:val="00423042"/>
    <w:rsid w:val="00423533"/>
    <w:rsid w:val="0042384A"/>
    <w:rsid w:val="00423DE5"/>
    <w:rsid w:val="004244CB"/>
    <w:rsid w:val="00427A14"/>
    <w:rsid w:val="00427BF3"/>
    <w:rsid w:val="0043033D"/>
    <w:rsid w:val="00430526"/>
    <w:rsid w:val="0043068F"/>
    <w:rsid w:val="00430BBD"/>
    <w:rsid w:val="00431060"/>
    <w:rsid w:val="004349B3"/>
    <w:rsid w:val="00435363"/>
    <w:rsid w:val="004419FD"/>
    <w:rsid w:val="004440CD"/>
    <w:rsid w:val="00444848"/>
    <w:rsid w:val="00451DBF"/>
    <w:rsid w:val="00451EF1"/>
    <w:rsid w:val="00452117"/>
    <w:rsid w:val="00454C5D"/>
    <w:rsid w:val="004555E5"/>
    <w:rsid w:val="00457E3D"/>
    <w:rsid w:val="004620BE"/>
    <w:rsid w:val="00462A17"/>
    <w:rsid w:val="00463507"/>
    <w:rsid w:val="004674B9"/>
    <w:rsid w:val="00467608"/>
    <w:rsid w:val="00471210"/>
    <w:rsid w:val="0047187B"/>
    <w:rsid w:val="0047387E"/>
    <w:rsid w:val="00480532"/>
    <w:rsid w:val="004808FE"/>
    <w:rsid w:val="004818BE"/>
    <w:rsid w:val="00482052"/>
    <w:rsid w:val="004848D5"/>
    <w:rsid w:val="0048642F"/>
    <w:rsid w:val="00486A61"/>
    <w:rsid w:val="00490036"/>
    <w:rsid w:val="00492A25"/>
    <w:rsid w:val="004A2D0A"/>
    <w:rsid w:val="004A5D1C"/>
    <w:rsid w:val="004B07DD"/>
    <w:rsid w:val="004B11D5"/>
    <w:rsid w:val="004B29FC"/>
    <w:rsid w:val="004B3879"/>
    <w:rsid w:val="004B531D"/>
    <w:rsid w:val="004B667B"/>
    <w:rsid w:val="004C0DAD"/>
    <w:rsid w:val="004C36E4"/>
    <w:rsid w:val="004C3B42"/>
    <w:rsid w:val="004C4643"/>
    <w:rsid w:val="004C491D"/>
    <w:rsid w:val="004C4B59"/>
    <w:rsid w:val="004C6DA3"/>
    <w:rsid w:val="004D2257"/>
    <w:rsid w:val="004D3C52"/>
    <w:rsid w:val="004D3E86"/>
    <w:rsid w:val="004D4676"/>
    <w:rsid w:val="004D4D5E"/>
    <w:rsid w:val="004D4F4F"/>
    <w:rsid w:val="004D6946"/>
    <w:rsid w:val="004E4936"/>
    <w:rsid w:val="004E5046"/>
    <w:rsid w:val="004E51A3"/>
    <w:rsid w:val="004F0015"/>
    <w:rsid w:val="004F2480"/>
    <w:rsid w:val="004F2C27"/>
    <w:rsid w:val="004F40F7"/>
    <w:rsid w:val="004F4A4F"/>
    <w:rsid w:val="004F507A"/>
    <w:rsid w:val="004F5DDC"/>
    <w:rsid w:val="005000A8"/>
    <w:rsid w:val="005010C0"/>
    <w:rsid w:val="005028BC"/>
    <w:rsid w:val="00502F1D"/>
    <w:rsid w:val="005032CF"/>
    <w:rsid w:val="00504A13"/>
    <w:rsid w:val="00505CF1"/>
    <w:rsid w:val="0050738F"/>
    <w:rsid w:val="00510B60"/>
    <w:rsid w:val="00512E44"/>
    <w:rsid w:val="00513ABD"/>
    <w:rsid w:val="005156F8"/>
    <w:rsid w:val="00515F9A"/>
    <w:rsid w:val="00516BA6"/>
    <w:rsid w:val="00520633"/>
    <w:rsid w:val="005207FF"/>
    <w:rsid w:val="00521EAB"/>
    <w:rsid w:val="00525B4A"/>
    <w:rsid w:val="0052675B"/>
    <w:rsid w:val="00527061"/>
    <w:rsid w:val="00530393"/>
    <w:rsid w:val="005306C2"/>
    <w:rsid w:val="0053175F"/>
    <w:rsid w:val="00533E0E"/>
    <w:rsid w:val="0053478A"/>
    <w:rsid w:val="0053498B"/>
    <w:rsid w:val="00534D1D"/>
    <w:rsid w:val="00534FCE"/>
    <w:rsid w:val="0053501F"/>
    <w:rsid w:val="00535D6C"/>
    <w:rsid w:val="0053741E"/>
    <w:rsid w:val="0054289B"/>
    <w:rsid w:val="005526E9"/>
    <w:rsid w:val="00553877"/>
    <w:rsid w:val="00556016"/>
    <w:rsid w:val="00556E79"/>
    <w:rsid w:val="005573F1"/>
    <w:rsid w:val="005576A9"/>
    <w:rsid w:val="00562B7B"/>
    <w:rsid w:val="00563382"/>
    <w:rsid w:val="00563626"/>
    <w:rsid w:val="00564AA3"/>
    <w:rsid w:val="005667BF"/>
    <w:rsid w:val="00567E63"/>
    <w:rsid w:val="00574C20"/>
    <w:rsid w:val="005756F6"/>
    <w:rsid w:val="00575F50"/>
    <w:rsid w:val="00584072"/>
    <w:rsid w:val="005911BE"/>
    <w:rsid w:val="00591C31"/>
    <w:rsid w:val="005925CB"/>
    <w:rsid w:val="005928C8"/>
    <w:rsid w:val="00593BBE"/>
    <w:rsid w:val="005A02BC"/>
    <w:rsid w:val="005A0D0E"/>
    <w:rsid w:val="005A1474"/>
    <w:rsid w:val="005A28AD"/>
    <w:rsid w:val="005A2B0B"/>
    <w:rsid w:val="005A316D"/>
    <w:rsid w:val="005B0226"/>
    <w:rsid w:val="005B1579"/>
    <w:rsid w:val="005B1ED4"/>
    <w:rsid w:val="005B3570"/>
    <w:rsid w:val="005B4D50"/>
    <w:rsid w:val="005C0B42"/>
    <w:rsid w:val="005C1FFD"/>
    <w:rsid w:val="005C3515"/>
    <w:rsid w:val="005C43CA"/>
    <w:rsid w:val="005C5960"/>
    <w:rsid w:val="005C6C7A"/>
    <w:rsid w:val="005C7FBF"/>
    <w:rsid w:val="005D16FE"/>
    <w:rsid w:val="005D3D13"/>
    <w:rsid w:val="005D46EE"/>
    <w:rsid w:val="005D5E7C"/>
    <w:rsid w:val="005D62C4"/>
    <w:rsid w:val="005D694E"/>
    <w:rsid w:val="005E2166"/>
    <w:rsid w:val="005E4835"/>
    <w:rsid w:val="005E68BB"/>
    <w:rsid w:val="005E7468"/>
    <w:rsid w:val="005E7D41"/>
    <w:rsid w:val="005E7E8B"/>
    <w:rsid w:val="005F1613"/>
    <w:rsid w:val="005F3C88"/>
    <w:rsid w:val="005F3F5C"/>
    <w:rsid w:val="005F4580"/>
    <w:rsid w:val="005F55BB"/>
    <w:rsid w:val="005F76DF"/>
    <w:rsid w:val="005F7F25"/>
    <w:rsid w:val="006018B8"/>
    <w:rsid w:val="00601F94"/>
    <w:rsid w:val="0060348E"/>
    <w:rsid w:val="00603C77"/>
    <w:rsid w:val="00604372"/>
    <w:rsid w:val="00604C44"/>
    <w:rsid w:val="00605F61"/>
    <w:rsid w:val="00607E3B"/>
    <w:rsid w:val="00610258"/>
    <w:rsid w:val="00610711"/>
    <w:rsid w:val="006112A0"/>
    <w:rsid w:val="00614563"/>
    <w:rsid w:val="00615EEA"/>
    <w:rsid w:val="00616101"/>
    <w:rsid w:val="00616B10"/>
    <w:rsid w:val="00620F45"/>
    <w:rsid w:val="00624676"/>
    <w:rsid w:val="00625D17"/>
    <w:rsid w:val="00625FB1"/>
    <w:rsid w:val="006261EC"/>
    <w:rsid w:val="0062700B"/>
    <w:rsid w:val="00630EC3"/>
    <w:rsid w:val="00631024"/>
    <w:rsid w:val="006311E7"/>
    <w:rsid w:val="00631239"/>
    <w:rsid w:val="006336DB"/>
    <w:rsid w:val="00633B9A"/>
    <w:rsid w:val="006363C0"/>
    <w:rsid w:val="006401E8"/>
    <w:rsid w:val="00640289"/>
    <w:rsid w:val="006409D0"/>
    <w:rsid w:val="00640DEE"/>
    <w:rsid w:val="006451DF"/>
    <w:rsid w:val="006502C0"/>
    <w:rsid w:val="006519D6"/>
    <w:rsid w:val="006523D2"/>
    <w:rsid w:val="00654256"/>
    <w:rsid w:val="00654324"/>
    <w:rsid w:val="00663A10"/>
    <w:rsid w:val="00666D9B"/>
    <w:rsid w:val="006670D7"/>
    <w:rsid w:val="00672079"/>
    <w:rsid w:val="0067488D"/>
    <w:rsid w:val="0067635E"/>
    <w:rsid w:val="00680D70"/>
    <w:rsid w:val="00682297"/>
    <w:rsid w:val="006824F2"/>
    <w:rsid w:val="006827D6"/>
    <w:rsid w:val="00682FAC"/>
    <w:rsid w:val="00684FE1"/>
    <w:rsid w:val="006866CE"/>
    <w:rsid w:val="006918C4"/>
    <w:rsid w:val="00694417"/>
    <w:rsid w:val="0069658E"/>
    <w:rsid w:val="006A497F"/>
    <w:rsid w:val="006A4D1B"/>
    <w:rsid w:val="006A76A4"/>
    <w:rsid w:val="006B5316"/>
    <w:rsid w:val="006B5CB5"/>
    <w:rsid w:val="006B770B"/>
    <w:rsid w:val="006C2EC9"/>
    <w:rsid w:val="006C64B6"/>
    <w:rsid w:val="006C6541"/>
    <w:rsid w:val="006C7784"/>
    <w:rsid w:val="006C7B45"/>
    <w:rsid w:val="006D0E1D"/>
    <w:rsid w:val="006D1899"/>
    <w:rsid w:val="006D6AE3"/>
    <w:rsid w:val="006E15AA"/>
    <w:rsid w:val="006E5509"/>
    <w:rsid w:val="006F0633"/>
    <w:rsid w:val="006F1294"/>
    <w:rsid w:val="006F5607"/>
    <w:rsid w:val="006F7549"/>
    <w:rsid w:val="0070299C"/>
    <w:rsid w:val="00704210"/>
    <w:rsid w:val="00704A02"/>
    <w:rsid w:val="00704B10"/>
    <w:rsid w:val="007072C5"/>
    <w:rsid w:val="00713002"/>
    <w:rsid w:val="00714649"/>
    <w:rsid w:val="0071496C"/>
    <w:rsid w:val="007152B0"/>
    <w:rsid w:val="0071569B"/>
    <w:rsid w:val="007207BE"/>
    <w:rsid w:val="00721201"/>
    <w:rsid w:val="00722A76"/>
    <w:rsid w:val="00722F72"/>
    <w:rsid w:val="007237F5"/>
    <w:rsid w:val="0072553A"/>
    <w:rsid w:val="00730E6C"/>
    <w:rsid w:val="00732848"/>
    <w:rsid w:val="00732E24"/>
    <w:rsid w:val="007333C7"/>
    <w:rsid w:val="00733F65"/>
    <w:rsid w:val="00734C73"/>
    <w:rsid w:val="00737C08"/>
    <w:rsid w:val="00737D83"/>
    <w:rsid w:val="00737E21"/>
    <w:rsid w:val="00742326"/>
    <w:rsid w:val="00742829"/>
    <w:rsid w:val="00742B84"/>
    <w:rsid w:val="00751024"/>
    <w:rsid w:val="00752217"/>
    <w:rsid w:val="0075383F"/>
    <w:rsid w:val="00756241"/>
    <w:rsid w:val="00757F10"/>
    <w:rsid w:val="00760C27"/>
    <w:rsid w:val="007613D2"/>
    <w:rsid w:val="007646D4"/>
    <w:rsid w:val="00767767"/>
    <w:rsid w:val="00772D58"/>
    <w:rsid w:val="00775936"/>
    <w:rsid w:val="00781A06"/>
    <w:rsid w:val="0078244E"/>
    <w:rsid w:val="00782E99"/>
    <w:rsid w:val="007859B9"/>
    <w:rsid w:val="00787A19"/>
    <w:rsid w:val="00790051"/>
    <w:rsid w:val="0079064F"/>
    <w:rsid w:val="00791156"/>
    <w:rsid w:val="0079583C"/>
    <w:rsid w:val="007A04E9"/>
    <w:rsid w:val="007A0C6B"/>
    <w:rsid w:val="007A335E"/>
    <w:rsid w:val="007A4177"/>
    <w:rsid w:val="007A4297"/>
    <w:rsid w:val="007A50FB"/>
    <w:rsid w:val="007A6CDA"/>
    <w:rsid w:val="007A71AB"/>
    <w:rsid w:val="007A7BDE"/>
    <w:rsid w:val="007B08C3"/>
    <w:rsid w:val="007B4396"/>
    <w:rsid w:val="007B6CB1"/>
    <w:rsid w:val="007B7442"/>
    <w:rsid w:val="007C120C"/>
    <w:rsid w:val="007C7848"/>
    <w:rsid w:val="007D2FC1"/>
    <w:rsid w:val="007D4419"/>
    <w:rsid w:val="007D56C4"/>
    <w:rsid w:val="007E0857"/>
    <w:rsid w:val="007E0B93"/>
    <w:rsid w:val="007E0D1F"/>
    <w:rsid w:val="007E107C"/>
    <w:rsid w:val="007E17EF"/>
    <w:rsid w:val="007E2D23"/>
    <w:rsid w:val="007E310B"/>
    <w:rsid w:val="007E4DCC"/>
    <w:rsid w:val="007F0D76"/>
    <w:rsid w:val="007F2E2C"/>
    <w:rsid w:val="007F3C87"/>
    <w:rsid w:val="007F517A"/>
    <w:rsid w:val="007F538E"/>
    <w:rsid w:val="007F58D8"/>
    <w:rsid w:val="007F58DB"/>
    <w:rsid w:val="007F676C"/>
    <w:rsid w:val="007F7101"/>
    <w:rsid w:val="0080476C"/>
    <w:rsid w:val="00805AF1"/>
    <w:rsid w:val="0080702A"/>
    <w:rsid w:val="0081158F"/>
    <w:rsid w:val="00811A5B"/>
    <w:rsid w:val="008130DF"/>
    <w:rsid w:val="00816FD1"/>
    <w:rsid w:val="008175AD"/>
    <w:rsid w:val="00820958"/>
    <w:rsid w:val="008216C2"/>
    <w:rsid w:val="008249AB"/>
    <w:rsid w:val="0082587F"/>
    <w:rsid w:val="00826933"/>
    <w:rsid w:val="00827166"/>
    <w:rsid w:val="008302A5"/>
    <w:rsid w:val="00833C29"/>
    <w:rsid w:val="00834628"/>
    <w:rsid w:val="0083509A"/>
    <w:rsid w:val="00835176"/>
    <w:rsid w:val="00836B25"/>
    <w:rsid w:val="00837146"/>
    <w:rsid w:val="00837CB8"/>
    <w:rsid w:val="008418A9"/>
    <w:rsid w:val="00843E71"/>
    <w:rsid w:val="00844B0F"/>
    <w:rsid w:val="00844C93"/>
    <w:rsid w:val="00845073"/>
    <w:rsid w:val="0084661C"/>
    <w:rsid w:val="00851DAE"/>
    <w:rsid w:val="00853346"/>
    <w:rsid w:val="00855E21"/>
    <w:rsid w:val="0085739A"/>
    <w:rsid w:val="00857757"/>
    <w:rsid w:val="00857890"/>
    <w:rsid w:val="00860210"/>
    <w:rsid w:val="00860F89"/>
    <w:rsid w:val="00863A45"/>
    <w:rsid w:val="00864CDB"/>
    <w:rsid w:val="00865612"/>
    <w:rsid w:val="00865911"/>
    <w:rsid w:val="00865A0D"/>
    <w:rsid w:val="008708F7"/>
    <w:rsid w:val="00871680"/>
    <w:rsid w:val="0087372B"/>
    <w:rsid w:val="008777F6"/>
    <w:rsid w:val="008814D4"/>
    <w:rsid w:val="008827A4"/>
    <w:rsid w:val="00890B63"/>
    <w:rsid w:val="00890C55"/>
    <w:rsid w:val="0089136C"/>
    <w:rsid w:val="00893301"/>
    <w:rsid w:val="00895395"/>
    <w:rsid w:val="008A0337"/>
    <w:rsid w:val="008A07EE"/>
    <w:rsid w:val="008A1944"/>
    <w:rsid w:val="008A23AD"/>
    <w:rsid w:val="008A3299"/>
    <w:rsid w:val="008A3C6F"/>
    <w:rsid w:val="008A4B54"/>
    <w:rsid w:val="008B1484"/>
    <w:rsid w:val="008B64F2"/>
    <w:rsid w:val="008B7352"/>
    <w:rsid w:val="008C0799"/>
    <w:rsid w:val="008C4109"/>
    <w:rsid w:val="008C556F"/>
    <w:rsid w:val="008C6D5B"/>
    <w:rsid w:val="008C6FE0"/>
    <w:rsid w:val="008C73BE"/>
    <w:rsid w:val="008C7E9D"/>
    <w:rsid w:val="008D24B7"/>
    <w:rsid w:val="008D3768"/>
    <w:rsid w:val="008D3860"/>
    <w:rsid w:val="008D4C7A"/>
    <w:rsid w:val="008D5A7F"/>
    <w:rsid w:val="008E154F"/>
    <w:rsid w:val="008E24B2"/>
    <w:rsid w:val="008E2C74"/>
    <w:rsid w:val="008E31AA"/>
    <w:rsid w:val="008E332B"/>
    <w:rsid w:val="008F3023"/>
    <w:rsid w:val="008F6427"/>
    <w:rsid w:val="008F6B3B"/>
    <w:rsid w:val="008F744E"/>
    <w:rsid w:val="00900952"/>
    <w:rsid w:val="009061CF"/>
    <w:rsid w:val="00907D23"/>
    <w:rsid w:val="0091061E"/>
    <w:rsid w:val="00912DC8"/>
    <w:rsid w:val="00913FE4"/>
    <w:rsid w:val="00916870"/>
    <w:rsid w:val="009168D7"/>
    <w:rsid w:val="00920E0A"/>
    <w:rsid w:val="00922D7B"/>
    <w:rsid w:val="00926AC9"/>
    <w:rsid w:val="0093012A"/>
    <w:rsid w:val="009309AF"/>
    <w:rsid w:val="009346CE"/>
    <w:rsid w:val="00936876"/>
    <w:rsid w:val="0093702E"/>
    <w:rsid w:val="00940670"/>
    <w:rsid w:val="00941D85"/>
    <w:rsid w:val="009454A2"/>
    <w:rsid w:val="009465E1"/>
    <w:rsid w:val="00946F9C"/>
    <w:rsid w:val="00950151"/>
    <w:rsid w:val="0095067C"/>
    <w:rsid w:val="00952356"/>
    <w:rsid w:val="009523ED"/>
    <w:rsid w:val="009533B3"/>
    <w:rsid w:val="00953B5C"/>
    <w:rsid w:val="00953BF5"/>
    <w:rsid w:val="00956FEF"/>
    <w:rsid w:val="00957007"/>
    <w:rsid w:val="00957785"/>
    <w:rsid w:val="00960488"/>
    <w:rsid w:val="00963F91"/>
    <w:rsid w:val="0096406B"/>
    <w:rsid w:val="00965895"/>
    <w:rsid w:val="009705BA"/>
    <w:rsid w:val="009736DE"/>
    <w:rsid w:val="00974591"/>
    <w:rsid w:val="00974F38"/>
    <w:rsid w:val="00975352"/>
    <w:rsid w:val="00977949"/>
    <w:rsid w:val="009832CE"/>
    <w:rsid w:val="00984847"/>
    <w:rsid w:val="00984AE5"/>
    <w:rsid w:val="00985231"/>
    <w:rsid w:val="00990ACF"/>
    <w:rsid w:val="0099281F"/>
    <w:rsid w:val="009946AD"/>
    <w:rsid w:val="0099733B"/>
    <w:rsid w:val="00997392"/>
    <w:rsid w:val="009A118E"/>
    <w:rsid w:val="009A3143"/>
    <w:rsid w:val="009A31A8"/>
    <w:rsid w:val="009B37BF"/>
    <w:rsid w:val="009B5507"/>
    <w:rsid w:val="009B65C8"/>
    <w:rsid w:val="009B73D8"/>
    <w:rsid w:val="009C0FDA"/>
    <w:rsid w:val="009C32B1"/>
    <w:rsid w:val="009C4C27"/>
    <w:rsid w:val="009C6609"/>
    <w:rsid w:val="009D20A5"/>
    <w:rsid w:val="009D2F5A"/>
    <w:rsid w:val="009D78C2"/>
    <w:rsid w:val="009E099F"/>
    <w:rsid w:val="009E0B96"/>
    <w:rsid w:val="009E1439"/>
    <w:rsid w:val="009E6DE5"/>
    <w:rsid w:val="009F1103"/>
    <w:rsid w:val="009F2F91"/>
    <w:rsid w:val="009F6054"/>
    <w:rsid w:val="009F6437"/>
    <w:rsid w:val="00A015C3"/>
    <w:rsid w:val="00A02F30"/>
    <w:rsid w:val="00A030FF"/>
    <w:rsid w:val="00A037EB"/>
    <w:rsid w:val="00A0401F"/>
    <w:rsid w:val="00A07504"/>
    <w:rsid w:val="00A1057C"/>
    <w:rsid w:val="00A141C0"/>
    <w:rsid w:val="00A14C78"/>
    <w:rsid w:val="00A16E03"/>
    <w:rsid w:val="00A21BB4"/>
    <w:rsid w:val="00A248BF"/>
    <w:rsid w:val="00A253E9"/>
    <w:rsid w:val="00A26369"/>
    <w:rsid w:val="00A2643B"/>
    <w:rsid w:val="00A26922"/>
    <w:rsid w:val="00A26EB3"/>
    <w:rsid w:val="00A3219D"/>
    <w:rsid w:val="00A33FC9"/>
    <w:rsid w:val="00A352C8"/>
    <w:rsid w:val="00A429E1"/>
    <w:rsid w:val="00A44BA4"/>
    <w:rsid w:val="00A47BAC"/>
    <w:rsid w:val="00A47E8C"/>
    <w:rsid w:val="00A508CA"/>
    <w:rsid w:val="00A51AF8"/>
    <w:rsid w:val="00A52AF8"/>
    <w:rsid w:val="00A554BC"/>
    <w:rsid w:val="00A55E4C"/>
    <w:rsid w:val="00A56204"/>
    <w:rsid w:val="00A564CA"/>
    <w:rsid w:val="00A57CA3"/>
    <w:rsid w:val="00A60D87"/>
    <w:rsid w:val="00A61F25"/>
    <w:rsid w:val="00A62356"/>
    <w:rsid w:val="00A71A31"/>
    <w:rsid w:val="00A725A9"/>
    <w:rsid w:val="00A814C2"/>
    <w:rsid w:val="00A840ED"/>
    <w:rsid w:val="00A86243"/>
    <w:rsid w:val="00A86AD9"/>
    <w:rsid w:val="00A928F3"/>
    <w:rsid w:val="00A92E2E"/>
    <w:rsid w:val="00A93970"/>
    <w:rsid w:val="00A93C6A"/>
    <w:rsid w:val="00A94ACE"/>
    <w:rsid w:val="00A96217"/>
    <w:rsid w:val="00A96A2F"/>
    <w:rsid w:val="00A9783F"/>
    <w:rsid w:val="00AA06D9"/>
    <w:rsid w:val="00AA2C90"/>
    <w:rsid w:val="00AA3F26"/>
    <w:rsid w:val="00AA4B06"/>
    <w:rsid w:val="00AA5120"/>
    <w:rsid w:val="00AA6810"/>
    <w:rsid w:val="00AA6AC0"/>
    <w:rsid w:val="00AA75EE"/>
    <w:rsid w:val="00AB2085"/>
    <w:rsid w:val="00AB20CF"/>
    <w:rsid w:val="00AB4B20"/>
    <w:rsid w:val="00AB54E5"/>
    <w:rsid w:val="00AB6896"/>
    <w:rsid w:val="00AC2C72"/>
    <w:rsid w:val="00AC384B"/>
    <w:rsid w:val="00AC64B9"/>
    <w:rsid w:val="00AC65AB"/>
    <w:rsid w:val="00AC794C"/>
    <w:rsid w:val="00AC7ACA"/>
    <w:rsid w:val="00AD13D0"/>
    <w:rsid w:val="00AD49A6"/>
    <w:rsid w:val="00AE0A6D"/>
    <w:rsid w:val="00AE391D"/>
    <w:rsid w:val="00AE4E06"/>
    <w:rsid w:val="00AE6350"/>
    <w:rsid w:val="00AE66C9"/>
    <w:rsid w:val="00AE695E"/>
    <w:rsid w:val="00AE6D6F"/>
    <w:rsid w:val="00AF0F8C"/>
    <w:rsid w:val="00AF3DAB"/>
    <w:rsid w:val="00AF6126"/>
    <w:rsid w:val="00AF68EC"/>
    <w:rsid w:val="00AF6D01"/>
    <w:rsid w:val="00AF7184"/>
    <w:rsid w:val="00AF7CAD"/>
    <w:rsid w:val="00B00977"/>
    <w:rsid w:val="00B03D18"/>
    <w:rsid w:val="00B07738"/>
    <w:rsid w:val="00B0779B"/>
    <w:rsid w:val="00B07F27"/>
    <w:rsid w:val="00B10EF8"/>
    <w:rsid w:val="00B145F2"/>
    <w:rsid w:val="00B158DB"/>
    <w:rsid w:val="00B17044"/>
    <w:rsid w:val="00B17574"/>
    <w:rsid w:val="00B200F2"/>
    <w:rsid w:val="00B20114"/>
    <w:rsid w:val="00B2120E"/>
    <w:rsid w:val="00B218AD"/>
    <w:rsid w:val="00B22A54"/>
    <w:rsid w:val="00B275E0"/>
    <w:rsid w:val="00B278AC"/>
    <w:rsid w:val="00B27D88"/>
    <w:rsid w:val="00B302CE"/>
    <w:rsid w:val="00B31001"/>
    <w:rsid w:val="00B31D1C"/>
    <w:rsid w:val="00B31F04"/>
    <w:rsid w:val="00B32D8F"/>
    <w:rsid w:val="00B34894"/>
    <w:rsid w:val="00B371E2"/>
    <w:rsid w:val="00B41054"/>
    <w:rsid w:val="00B42B4C"/>
    <w:rsid w:val="00B44A92"/>
    <w:rsid w:val="00B4570F"/>
    <w:rsid w:val="00B460CA"/>
    <w:rsid w:val="00B46328"/>
    <w:rsid w:val="00B47515"/>
    <w:rsid w:val="00B515EF"/>
    <w:rsid w:val="00B521F1"/>
    <w:rsid w:val="00B557AF"/>
    <w:rsid w:val="00B55958"/>
    <w:rsid w:val="00B612A2"/>
    <w:rsid w:val="00B632F4"/>
    <w:rsid w:val="00B63B58"/>
    <w:rsid w:val="00B656B7"/>
    <w:rsid w:val="00B67352"/>
    <w:rsid w:val="00B67AFD"/>
    <w:rsid w:val="00B72407"/>
    <w:rsid w:val="00B7272F"/>
    <w:rsid w:val="00B741CC"/>
    <w:rsid w:val="00B8088E"/>
    <w:rsid w:val="00B81F9E"/>
    <w:rsid w:val="00B8332A"/>
    <w:rsid w:val="00B8785A"/>
    <w:rsid w:val="00B9120E"/>
    <w:rsid w:val="00B92EA2"/>
    <w:rsid w:val="00B95773"/>
    <w:rsid w:val="00B969B1"/>
    <w:rsid w:val="00B97DCD"/>
    <w:rsid w:val="00BA3517"/>
    <w:rsid w:val="00BA73FA"/>
    <w:rsid w:val="00BA7913"/>
    <w:rsid w:val="00BA7A63"/>
    <w:rsid w:val="00BA7FA3"/>
    <w:rsid w:val="00BB21B1"/>
    <w:rsid w:val="00BB25E1"/>
    <w:rsid w:val="00BB3E39"/>
    <w:rsid w:val="00BB4E6C"/>
    <w:rsid w:val="00BB6C27"/>
    <w:rsid w:val="00BB76F6"/>
    <w:rsid w:val="00BC3EEF"/>
    <w:rsid w:val="00BC52F4"/>
    <w:rsid w:val="00BC5C35"/>
    <w:rsid w:val="00BD1279"/>
    <w:rsid w:val="00BD13B5"/>
    <w:rsid w:val="00BD1676"/>
    <w:rsid w:val="00BD5594"/>
    <w:rsid w:val="00BD576A"/>
    <w:rsid w:val="00BD7F19"/>
    <w:rsid w:val="00BE038C"/>
    <w:rsid w:val="00BE123A"/>
    <w:rsid w:val="00BE294A"/>
    <w:rsid w:val="00BE32BC"/>
    <w:rsid w:val="00BE64E3"/>
    <w:rsid w:val="00BE7CD0"/>
    <w:rsid w:val="00BF0500"/>
    <w:rsid w:val="00BF11C9"/>
    <w:rsid w:val="00BF173F"/>
    <w:rsid w:val="00BF54C1"/>
    <w:rsid w:val="00BF556E"/>
    <w:rsid w:val="00BF7FE8"/>
    <w:rsid w:val="00C00E16"/>
    <w:rsid w:val="00C0344F"/>
    <w:rsid w:val="00C037D4"/>
    <w:rsid w:val="00C03B9B"/>
    <w:rsid w:val="00C0550F"/>
    <w:rsid w:val="00C06EBE"/>
    <w:rsid w:val="00C13F7C"/>
    <w:rsid w:val="00C17D1E"/>
    <w:rsid w:val="00C216E6"/>
    <w:rsid w:val="00C21713"/>
    <w:rsid w:val="00C228C9"/>
    <w:rsid w:val="00C2460E"/>
    <w:rsid w:val="00C2490F"/>
    <w:rsid w:val="00C251A2"/>
    <w:rsid w:val="00C30D71"/>
    <w:rsid w:val="00C331CD"/>
    <w:rsid w:val="00C334B5"/>
    <w:rsid w:val="00C34045"/>
    <w:rsid w:val="00C37ABE"/>
    <w:rsid w:val="00C40033"/>
    <w:rsid w:val="00C41F37"/>
    <w:rsid w:val="00C438B1"/>
    <w:rsid w:val="00C43DF2"/>
    <w:rsid w:val="00C47190"/>
    <w:rsid w:val="00C47D50"/>
    <w:rsid w:val="00C5165F"/>
    <w:rsid w:val="00C5266B"/>
    <w:rsid w:val="00C55ED0"/>
    <w:rsid w:val="00C55EE8"/>
    <w:rsid w:val="00C57E79"/>
    <w:rsid w:val="00C57EC5"/>
    <w:rsid w:val="00C62A58"/>
    <w:rsid w:val="00C63824"/>
    <w:rsid w:val="00C65E11"/>
    <w:rsid w:val="00C65F9B"/>
    <w:rsid w:val="00C662C7"/>
    <w:rsid w:val="00C71004"/>
    <w:rsid w:val="00C71AAE"/>
    <w:rsid w:val="00C73D0C"/>
    <w:rsid w:val="00C741C8"/>
    <w:rsid w:val="00C80158"/>
    <w:rsid w:val="00C81F0E"/>
    <w:rsid w:val="00C826E9"/>
    <w:rsid w:val="00C8519B"/>
    <w:rsid w:val="00C85671"/>
    <w:rsid w:val="00C856E7"/>
    <w:rsid w:val="00C87441"/>
    <w:rsid w:val="00C90448"/>
    <w:rsid w:val="00C92E80"/>
    <w:rsid w:val="00CA09FA"/>
    <w:rsid w:val="00CA0E52"/>
    <w:rsid w:val="00CA19C9"/>
    <w:rsid w:val="00CA220B"/>
    <w:rsid w:val="00CA286F"/>
    <w:rsid w:val="00CA4BF8"/>
    <w:rsid w:val="00CA4F76"/>
    <w:rsid w:val="00CA5376"/>
    <w:rsid w:val="00CA6FD0"/>
    <w:rsid w:val="00CB201C"/>
    <w:rsid w:val="00CB23CC"/>
    <w:rsid w:val="00CB25DA"/>
    <w:rsid w:val="00CB3C20"/>
    <w:rsid w:val="00CB5039"/>
    <w:rsid w:val="00CB799F"/>
    <w:rsid w:val="00CC0034"/>
    <w:rsid w:val="00CC1F75"/>
    <w:rsid w:val="00CC3481"/>
    <w:rsid w:val="00CC40E3"/>
    <w:rsid w:val="00CC5404"/>
    <w:rsid w:val="00CC626F"/>
    <w:rsid w:val="00CC6D1D"/>
    <w:rsid w:val="00CC77A9"/>
    <w:rsid w:val="00CD271E"/>
    <w:rsid w:val="00CD2DB4"/>
    <w:rsid w:val="00CD4D0C"/>
    <w:rsid w:val="00CD602F"/>
    <w:rsid w:val="00CE01ED"/>
    <w:rsid w:val="00CE043D"/>
    <w:rsid w:val="00CE074B"/>
    <w:rsid w:val="00CE2989"/>
    <w:rsid w:val="00CE480C"/>
    <w:rsid w:val="00CE6F95"/>
    <w:rsid w:val="00CE7B52"/>
    <w:rsid w:val="00CF0DF8"/>
    <w:rsid w:val="00CF1A36"/>
    <w:rsid w:val="00CF2FC3"/>
    <w:rsid w:val="00CF3EE3"/>
    <w:rsid w:val="00CF4038"/>
    <w:rsid w:val="00CF4081"/>
    <w:rsid w:val="00CF59CA"/>
    <w:rsid w:val="00CF5BF0"/>
    <w:rsid w:val="00CF5FE8"/>
    <w:rsid w:val="00CF7409"/>
    <w:rsid w:val="00CF7F1B"/>
    <w:rsid w:val="00D00757"/>
    <w:rsid w:val="00D02582"/>
    <w:rsid w:val="00D054D4"/>
    <w:rsid w:val="00D05567"/>
    <w:rsid w:val="00D0565A"/>
    <w:rsid w:val="00D073A1"/>
    <w:rsid w:val="00D11956"/>
    <w:rsid w:val="00D11B0A"/>
    <w:rsid w:val="00D12510"/>
    <w:rsid w:val="00D13AD2"/>
    <w:rsid w:val="00D13FA2"/>
    <w:rsid w:val="00D14316"/>
    <w:rsid w:val="00D15071"/>
    <w:rsid w:val="00D23477"/>
    <w:rsid w:val="00D2579F"/>
    <w:rsid w:val="00D30A67"/>
    <w:rsid w:val="00D31800"/>
    <w:rsid w:val="00D360FB"/>
    <w:rsid w:val="00D365AC"/>
    <w:rsid w:val="00D36A2C"/>
    <w:rsid w:val="00D3756F"/>
    <w:rsid w:val="00D37DE7"/>
    <w:rsid w:val="00D41221"/>
    <w:rsid w:val="00D426AD"/>
    <w:rsid w:val="00D43558"/>
    <w:rsid w:val="00D43902"/>
    <w:rsid w:val="00D45E28"/>
    <w:rsid w:val="00D45E72"/>
    <w:rsid w:val="00D47B9F"/>
    <w:rsid w:val="00D52974"/>
    <w:rsid w:val="00D52C78"/>
    <w:rsid w:val="00D53291"/>
    <w:rsid w:val="00D54BFC"/>
    <w:rsid w:val="00D55092"/>
    <w:rsid w:val="00D5652C"/>
    <w:rsid w:val="00D56E0A"/>
    <w:rsid w:val="00D6077C"/>
    <w:rsid w:val="00D61326"/>
    <w:rsid w:val="00D64D84"/>
    <w:rsid w:val="00D65F3D"/>
    <w:rsid w:val="00D66B69"/>
    <w:rsid w:val="00D724F8"/>
    <w:rsid w:val="00D72F19"/>
    <w:rsid w:val="00D74D76"/>
    <w:rsid w:val="00D8403C"/>
    <w:rsid w:val="00D85DB1"/>
    <w:rsid w:val="00D8752B"/>
    <w:rsid w:val="00D87A84"/>
    <w:rsid w:val="00D94AE7"/>
    <w:rsid w:val="00D94BF4"/>
    <w:rsid w:val="00DA29E6"/>
    <w:rsid w:val="00DA3685"/>
    <w:rsid w:val="00DA3C46"/>
    <w:rsid w:val="00DB14A2"/>
    <w:rsid w:val="00DB2F2A"/>
    <w:rsid w:val="00DB397E"/>
    <w:rsid w:val="00DB5CB3"/>
    <w:rsid w:val="00DB6119"/>
    <w:rsid w:val="00DB6C96"/>
    <w:rsid w:val="00DB7C84"/>
    <w:rsid w:val="00DC4F6C"/>
    <w:rsid w:val="00DC59B7"/>
    <w:rsid w:val="00DD2C00"/>
    <w:rsid w:val="00DD50A5"/>
    <w:rsid w:val="00DD55A3"/>
    <w:rsid w:val="00DE25A3"/>
    <w:rsid w:val="00DE2844"/>
    <w:rsid w:val="00DE5F9E"/>
    <w:rsid w:val="00DE6D2A"/>
    <w:rsid w:val="00DE70E4"/>
    <w:rsid w:val="00DF0352"/>
    <w:rsid w:val="00DF21DD"/>
    <w:rsid w:val="00DF5531"/>
    <w:rsid w:val="00DF6704"/>
    <w:rsid w:val="00E056EB"/>
    <w:rsid w:val="00E11554"/>
    <w:rsid w:val="00E11D93"/>
    <w:rsid w:val="00E14049"/>
    <w:rsid w:val="00E15763"/>
    <w:rsid w:val="00E15A38"/>
    <w:rsid w:val="00E171F3"/>
    <w:rsid w:val="00E223E6"/>
    <w:rsid w:val="00E22625"/>
    <w:rsid w:val="00E2305E"/>
    <w:rsid w:val="00E23883"/>
    <w:rsid w:val="00E24061"/>
    <w:rsid w:val="00E25233"/>
    <w:rsid w:val="00E25A87"/>
    <w:rsid w:val="00E27604"/>
    <w:rsid w:val="00E27DDE"/>
    <w:rsid w:val="00E340D4"/>
    <w:rsid w:val="00E34233"/>
    <w:rsid w:val="00E344B4"/>
    <w:rsid w:val="00E345F0"/>
    <w:rsid w:val="00E34F22"/>
    <w:rsid w:val="00E40A3E"/>
    <w:rsid w:val="00E40BFA"/>
    <w:rsid w:val="00E41B13"/>
    <w:rsid w:val="00E42146"/>
    <w:rsid w:val="00E42F83"/>
    <w:rsid w:val="00E434EC"/>
    <w:rsid w:val="00E445C7"/>
    <w:rsid w:val="00E4770B"/>
    <w:rsid w:val="00E47853"/>
    <w:rsid w:val="00E5103C"/>
    <w:rsid w:val="00E52142"/>
    <w:rsid w:val="00E52C02"/>
    <w:rsid w:val="00E53857"/>
    <w:rsid w:val="00E54A3E"/>
    <w:rsid w:val="00E56EAB"/>
    <w:rsid w:val="00E61E23"/>
    <w:rsid w:val="00E61E4F"/>
    <w:rsid w:val="00E65C5E"/>
    <w:rsid w:val="00E700D2"/>
    <w:rsid w:val="00E74883"/>
    <w:rsid w:val="00E7488E"/>
    <w:rsid w:val="00E753C0"/>
    <w:rsid w:val="00E7567A"/>
    <w:rsid w:val="00E756B4"/>
    <w:rsid w:val="00E75C72"/>
    <w:rsid w:val="00E76D1E"/>
    <w:rsid w:val="00E77349"/>
    <w:rsid w:val="00E777CA"/>
    <w:rsid w:val="00E81759"/>
    <w:rsid w:val="00E84BBA"/>
    <w:rsid w:val="00E84D1A"/>
    <w:rsid w:val="00E84DF5"/>
    <w:rsid w:val="00E8563C"/>
    <w:rsid w:val="00E8579A"/>
    <w:rsid w:val="00E876C9"/>
    <w:rsid w:val="00E87FCC"/>
    <w:rsid w:val="00E90816"/>
    <w:rsid w:val="00E91054"/>
    <w:rsid w:val="00E925D0"/>
    <w:rsid w:val="00E93196"/>
    <w:rsid w:val="00E9592D"/>
    <w:rsid w:val="00E959CE"/>
    <w:rsid w:val="00E960DE"/>
    <w:rsid w:val="00E96405"/>
    <w:rsid w:val="00E968C8"/>
    <w:rsid w:val="00E96985"/>
    <w:rsid w:val="00E96A51"/>
    <w:rsid w:val="00E973A5"/>
    <w:rsid w:val="00E976F5"/>
    <w:rsid w:val="00E978B9"/>
    <w:rsid w:val="00EA1337"/>
    <w:rsid w:val="00EA1F0E"/>
    <w:rsid w:val="00EA2B0E"/>
    <w:rsid w:val="00EB2122"/>
    <w:rsid w:val="00EB7758"/>
    <w:rsid w:val="00EC05CE"/>
    <w:rsid w:val="00EC1527"/>
    <w:rsid w:val="00EC20C9"/>
    <w:rsid w:val="00EC2802"/>
    <w:rsid w:val="00EC2D27"/>
    <w:rsid w:val="00EC323B"/>
    <w:rsid w:val="00EC6E83"/>
    <w:rsid w:val="00ED3D1A"/>
    <w:rsid w:val="00ED3F9D"/>
    <w:rsid w:val="00ED4CB3"/>
    <w:rsid w:val="00ED5330"/>
    <w:rsid w:val="00ED6BE5"/>
    <w:rsid w:val="00ED7284"/>
    <w:rsid w:val="00EE0565"/>
    <w:rsid w:val="00EE2D54"/>
    <w:rsid w:val="00EE4469"/>
    <w:rsid w:val="00EE5746"/>
    <w:rsid w:val="00EE5E7C"/>
    <w:rsid w:val="00EE78CF"/>
    <w:rsid w:val="00EF3071"/>
    <w:rsid w:val="00EF30A1"/>
    <w:rsid w:val="00EF35CA"/>
    <w:rsid w:val="00EF5403"/>
    <w:rsid w:val="00EF5431"/>
    <w:rsid w:val="00EF5F50"/>
    <w:rsid w:val="00EF6AAB"/>
    <w:rsid w:val="00F0051D"/>
    <w:rsid w:val="00F0459E"/>
    <w:rsid w:val="00F048EA"/>
    <w:rsid w:val="00F05D73"/>
    <w:rsid w:val="00F10886"/>
    <w:rsid w:val="00F11682"/>
    <w:rsid w:val="00F11BEC"/>
    <w:rsid w:val="00F13066"/>
    <w:rsid w:val="00F13D62"/>
    <w:rsid w:val="00F16452"/>
    <w:rsid w:val="00F173DB"/>
    <w:rsid w:val="00F269C7"/>
    <w:rsid w:val="00F27405"/>
    <w:rsid w:val="00F30157"/>
    <w:rsid w:val="00F30462"/>
    <w:rsid w:val="00F3073C"/>
    <w:rsid w:val="00F32620"/>
    <w:rsid w:val="00F32F39"/>
    <w:rsid w:val="00F35210"/>
    <w:rsid w:val="00F36641"/>
    <w:rsid w:val="00F37AF8"/>
    <w:rsid w:val="00F40470"/>
    <w:rsid w:val="00F40639"/>
    <w:rsid w:val="00F43CFE"/>
    <w:rsid w:val="00F44054"/>
    <w:rsid w:val="00F444CD"/>
    <w:rsid w:val="00F45C8E"/>
    <w:rsid w:val="00F477CB"/>
    <w:rsid w:val="00F47B5E"/>
    <w:rsid w:val="00F51C51"/>
    <w:rsid w:val="00F5257C"/>
    <w:rsid w:val="00F5380A"/>
    <w:rsid w:val="00F548F3"/>
    <w:rsid w:val="00F56BBA"/>
    <w:rsid w:val="00F57BA4"/>
    <w:rsid w:val="00F63FE6"/>
    <w:rsid w:val="00F65C2E"/>
    <w:rsid w:val="00F66581"/>
    <w:rsid w:val="00F678F8"/>
    <w:rsid w:val="00F728FA"/>
    <w:rsid w:val="00F74974"/>
    <w:rsid w:val="00F75461"/>
    <w:rsid w:val="00F907AA"/>
    <w:rsid w:val="00F913E3"/>
    <w:rsid w:val="00F94C5A"/>
    <w:rsid w:val="00F9564F"/>
    <w:rsid w:val="00F9699E"/>
    <w:rsid w:val="00F96F00"/>
    <w:rsid w:val="00FA2A5B"/>
    <w:rsid w:val="00FA429E"/>
    <w:rsid w:val="00FA4C18"/>
    <w:rsid w:val="00FB01BC"/>
    <w:rsid w:val="00FB2125"/>
    <w:rsid w:val="00FB4102"/>
    <w:rsid w:val="00FB48A4"/>
    <w:rsid w:val="00FB543D"/>
    <w:rsid w:val="00FB7DFD"/>
    <w:rsid w:val="00FC0B1B"/>
    <w:rsid w:val="00FC607E"/>
    <w:rsid w:val="00FC6B68"/>
    <w:rsid w:val="00FD2E85"/>
    <w:rsid w:val="00FD3C87"/>
    <w:rsid w:val="00FD4DEE"/>
    <w:rsid w:val="00FD6245"/>
    <w:rsid w:val="00FD661E"/>
    <w:rsid w:val="00FD672B"/>
    <w:rsid w:val="00FE119A"/>
    <w:rsid w:val="00FE19D5"/>
    <w:rsid w:val="00FE252F"/>
    <w:rsid w:val="00FE5B68"/>
    <w:rsid w:val="00FE78F4"/>
    <w:rsid w:val="00FF0767"/>
    <w:rsid w:val="00FF406E"/>
    <w:rsid w:val="00FF41D0"/>
    <w:rsid w:val="00FF6C37"/>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B81C"/>
  <w14:defaultImageDpi w14:val="32767"/>
  <w15:chartTrackingRefBased/>
  <w15:docId w15:val="{9A502779-1C66-45D6-9DDA-64DA1524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style>
  <w:style w:type="character" w:styleId="PageNumber">
    <w:name w:val="page number"/>
    <w:basedOn w:val="DefaultParagraphFont"/>
    <w:uiPriority w:val="99"/>
    <w:semiHidden/>
    <w:unhideWhenUsed/>
    <w:rsid w:val="00E700D2"/>
  </w:style>
  <w:style w:type="character" w:styleId="CommentReference">
    <w:name w:val="annotation reference"/>
    <w:basedOn w:val="DefaultParagraphFont"/>
    <w:uiPriority w:val="99"/>
    <w:semiHidden/>
    <w:unhideWhenUsed/>
    <w:rsid w:val="0089136C"/>
    <w:rPr>
      <w:sz w:val="16"/>
      <w:szCs w:val="16"/>
    </w:rPr>
  </w:style>
  <w:style w:type="paragraph" w:styleId="CommentText">
    <w:name w:val="annotation text"/>
    <w:basedOn w:val="Normal"/>
    <w:link w:val="CommentTextChar"/>
    <w:uiPriority w:val="99"/>
    <w:unhideWhenUsed/>
    <w:rsid w:val="0089136C"/>
    <w:rPr>
      <w:sz w:val="20"/>
      <w:szCs w:val="20"/>
    </w:rPr>
  </w:style>
  <w:style w:type="character" w:customStyle="1" w:styleId="CommentTextChar">
    <w:name w:val="Comment Text Char"/>
    <w:basedOn w:val="DefaultParagraphFont"/>
    <w:link w:val="CommentText"/>
    <w:uiPriority w:val="99"/>
    <w:rsid w:val="0089136C"/>
    <w:rPr>
      <w:sz w:val="20"/>
      <w:szCs w:val="20"/>
    </w:rPr>
  </w:style>
  <w:style w:type="paragraph" w:styleId="CommentSubject">
    <w:name w:val="annotation subject"/>
    <w:basedOn w:val="CommentText"/>
    <w:next w:val="CommentText"/>
    <w:link w:val="CommentSubjectChar"/>
    <w:uiPriority w:val="99"/>
    <w:semiHidden/>
    <w:unhideWhenUsed/>
    <w:rsid w:val="0089136C"/>
    <w:rPr>
      <w:b/>
      <w:bCs/>
    </w:rPr>
  </w:style>
  <w:style w:type="character" w:customStyle="1" w:styleId="CommentSubjectChar">
    <w:name w:val="Comment Subject Char"/>
    <w:basedOn w:val="CommentTextChar"/>
    <w:link w:val="CommentSubject"/>
    <w:uiPriority w:val="99"/>
    <w:semiHidden/>
    <w:rsid w:val="0089136C"/>
    <w:rPr>
      <w:b/>
      <w:bCs/>
      <w:sz w:val="20"/>
      <w:szCs w:val="20"/>
    </w:rPr>
  </w:style>
  <w:style w:type="paragraph" w:styleId="BalloonText">
    <w:name w:val="Balloon Text"/>
    <w:basedOn w:val="Normal"/>
    <w:link w:val="BalloonTextChar"/>
    <w:uiPriority w:val="99"/>
    <w:semiHidden/>
    <w:unhideWhenUsed/>
    <w:rsid w:val="008913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36C"/>
    <w:rPr>
      <w:rFonts w:ascii="Segoe UI" w:hAnsi="Segoe UI" w:cs="Segoe UI"/>
      <w:sz w:val="18"/>
      <w:szCs w:val="18"/>
    </w:rPr>
  </w:style>
  <w:style w:type="paragraph" w:styleId="Revision">
    <w:name w:val="Revision"/>
    <w:hidden/>
    <w:uiPriority w:val="99"/>
    <w:semiHidden/>
    <w:rsid w:val="00E960DE"/>
  </w:style>
  <w:style w:type="paragraph" w:styleId="ListParagraph">
    <w:name w:val="List Paragraph"/>
    <w:basedOn w:val="Normal"/>
    <w:uiPriority w:val="1"/>
    <w:qFormat/>
    <w:rsid w:val="00D11B0A"/>
    <w:pPr>
      <w:ind w:left="720"/>
      <w:contextualSpacing/>
    </w:pPr>
  </w:style>
  <w:style w:type="paragraph" w:styleId="NormalWeb">
    <w:name w:val="Normal (Web)"/>
    <w:basedOn w:val="Normal"/>
    <w:uiPriority w:val="99"/>
    <w:unhideWhenUsed/>
    <w:rsid w:val="00B632F4"/>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8418A9"/>
    <w:rPr>
      <w:rFonts w:ascii="Calibri" w:hAnsi="Calibri"/>
      <w:sz w:val="22"/>
      <w:szCs w:val="21"/>
    </w:rPr>
  </w:style>
  <w:style w:type="character" w:customStyle="1" w:styleId="PlainTextChar">
    <w:name w:val="Plain Text Char"/>
    <w:basedOn w:val="DefaultParagraphFont"/>
    <w:link w:val="PlainText"/>
    <w:uiPriority w:val="99"/>
    <w:rsid w:val="008418A9"/>
    <w:rPr>
      <w:rFonts w:ascii="Calibri" w:hAnsi="Calibri"/>
      <w:sz w:val="22"/>
      <w:szCs w:val="21"/>
    </w:rPr>
  </w:style>
  <w:style w:type="paragraph" w:customStyle="1" w:styleId="TableParagraph">
    <w:name w:val="Table Paragraph"/>
    <w:basedOn w:val="Normal"/>
    <w:uiPriority w:val="1"/>
    <w:qFormat/>
    <w:rsid w:val="00757F10"/>
    <w:pPr>
      <w:widowControl w:val="0"/>
      <w:autoSpaceDE w:val="0"/>
      <w:autoSpaceDN w:val="0"/>
    </w:pPr>
    <w:rPr>
      <w:rFonts w:ascii="Arial Unicode MS" w:eastAsia="Arial Unicode MS" w:hAnsi="Arial Unicode MS" w:cs="Arial Unicode MS"/>
      <w:sz w:val="22"/>
      <w:szCs w:val="22"/>
      <w:lang w:bidi="en-US"/>
    </w:rPr>
  </w:style>
  <w:style w:type="table" w:customStyle="1" w:styleId="TableGrid1">
    <w:name w:val="Table Grid1"/>
    <w:basedOn w:val="TableNormal"/>
    <w:next w:val="TableGrid"/>
    <w:uiPriority w:val="39"/>
    <w:rsid w:val="004349B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495">
      <w:bodyDiv w:val="1"/>
      <w:marLeft w:val="0"/>
      <w:marRight w:val="0"/>
      <w:marTop w:val="0"/>
      <w:marBottom w:val="0"/>
      <w:divBdr>
        <w:top w:val="none" w:sz="0" w:space="0" w:color="auto"/>
        <w:left w:val="none" w:sz="0" w:space="0" w:color="auto"/>
        <w:bottom w:val="none" w:sz="0" w:space="0" w:color="auto"/>
        <w:right w:val="none" w:sz="0" w:space="0" w:color="auto"/>
      </w:divBdr>
      <w:divsChild>
        <w:div w:id="2056541991">
          <w:marLeft w:val="0"/>
          <w:marRight w:val="0"/>
          <w:marTop w:val="0"/>
          <w:marBottom w:val="0"/>
          <w:divBdr>
            <w:top w:val="none" w:sz="0" w:space="0" w:color="auto"/>
            <w:left w:val="none" w:sz="0" w:space="0" w:color="auto"/>
            <w:bottom w:val="none" w:sz="0" w:space="0" w:color="auto"/>
            <w:right w:val="none" w:sz="0" w:space="0" w:color="auto"/>
          </w:divBdr>
        </w:div>
      </w:divsChild>
    </w:div>
    <w:div w:id="602345092">
      <w:bodyDiv w:val="1"/>
      <w:marLeft w:val="0"/>
      <w:marRight w:val="0"/>
      <w:marTop w:val="0"/>
      <w:marBottom w:val="0"/>
      <w:divBdr>
        <w:top w:val="none" w:sz="0" w:space="0" w:color="auto"/>
        <w:left w:val="none" w:sz="0" w:space="0" w:color="auto"/>
        <w:bottom w:val="none" w:sz="0" w:space="0" w:color="auto"/>
        <w:right w:val="none" w:sz="0" w:space="0" w:color="auto"/>
      </w:divBdr>
      <w:divsChild>
        <w:div w:id="73865435">
          <w:marLeft w:val="0"/>
          <w:marRight w:val="0"/>
          <w:marTop w:val="0"/>
          <w:marBottom w:val="0"/>
          <w:divBdr>
            <w:top w:val="none" w:sz="0" w:space="0" w:color="auto"/>
            <w:left w:val="none" w:sz="0" w:space="0" w:color="auto"/>
            <w:bottom w:val="none" w:sz="0" w:space="0" w:color="auto"/>
            <w:right w:val="none" w:sz="0" w:space="0" w:color="auto"/>
          </w:divBdr>
        </w:div>
      </w:divsChild>
    </w:div>
    <w:div w:id="990862631">
      <w:bodyDiv w:val="1"/>
      <w:marLeft w:val="0"/>
      <w:marRight w:val="0"/>
      <w:marTop w:val="0"/>
      <w:marBottom w:val="0"/>
      <w:divBdr>
        <w:top w:val="none" w:sz="0" w:space="0" w:color="auto"/>
        <w:left w:val="none" w:sz="0" w:space="0" w:color="auto"/>
        <w:bottom w:val="none" w:sz="0" w:space="0" w:color="auto"/>
        <w:right w:val="none" w:sz="0" w:space="0" w:color="auto"/>
      </w:divBdr>
      <w:divsChild>
        <w:div w:id="342054583">
          <w:marLeft w:val="0"/>
          <w:marRight w:val="0"/>
          <w:marTop w:val="0"/>
          <w:marBottom w:val="0"/>
          <w:divBdr>
            <w:top w:val="none" w:sz="0" w:space="0" w:color="auto"/>
            <w:left w:val="none" w:sz="0" w:space="0" w:color="auto"/>
            <w:bottom w:val="none" w:sz="0" w:space="0" w:color="auto"/>
            <w:right w:val="none" w:sz="0" w:space="0" w:color="auto"/>
          </w:divBdr>
        </w:div>
      </w:divsChild>
    </w:div>
    <w:div w:id="1116021126">
      <w:bodyDiv w:val="1"/>
      <w:marLeft w:val="0"/>
      <w:marRight w:val="0"/>
      <w:marTop w:val="0"/>
      <w:marBottom w:val="0"/>
      <w:divBdr>
        <w:top w:val="none" w:sz="0" w:space="0" w:color="auto"/>
        <w:left w:val="none" w:sz="0" w:space="0" w:color="auto"/>
        <w:bottom w:val="none" w:sz="0" w:space="0" w:color="auto"/>
        <w:right w:val="none" w:sz="0" w:space="0" w:color="auto"/>
      </w:divBdr>
      <w:divsChild>
        <w:div w:id="176043263">
          <w:marLeft w:val="0"/>
          <w:marRight w:val="0"/>
          <w:marTop w:val="0"/>
          <w:marBottom w:val="0"/>
          <w:divBdr>
            <w:top w:val="none" w:sz="0" w:space="0" w:color="auto"/>
            <w:left w:val="none" w:sz="0" w:space="0" w:color="auto"/>
            <w:bottom w:val="none" w:sz="0" w:space="0" w:color="auto"/>
            <w:right w:val="none" w:sz="0" w:space="0" w:color="auto"/>
          </w:divBdr>
          <w:divsChild>
            <w:div w:id="959190491">
              <w:marLeft w:val="0"/>
              <w:marRight w:val="0"/>
              <w:marTop w:val="0"/>
              <w:marBottom w:val="0"/>
              <w:divBdr>
                <w:top w:val="none" w:sz="0" w:space="0" w:color="auto"/>
                <w:left w:val="none" w:sz="0" w:space="0" w:color="auto"/>
                <w:bottom w:val="none" w:sz="0" w:space="0" w:color="auto"/>
                <w:right w:val="none" w:sz="0" w:space="0" w:color="auto"/>
              </w:divBdr>
              <w:divsChild>
                <w:div w:id="1360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8782">
      <w:bodyDiv w:val="1"/>
      <w:marLeft w:val="0"/>
      <w:marRight w:val="0"/>
      <w:marTop w:val="0"/>
      <w:marBottom w:val="0"/>
      <w:divBdr>
        <w:top w:val="none" w:sz="0" w:space="0" w:color="auto"/>
        <w:left w:val="none" w:sz="0" w:space="0" w:color="auto"/>
        <w:bottom w:val="none" w:sz="0" w:space="0" w:color="auto"/>
        <w:right w:val="none" w:sz="0" w:space="0" w:color="auto"/>
      </w:divBdr>
    </w:div>
    <w:div w:id="1735081848">
      <w:bodyDiv w:val="1"/>
      <w:marLeft w:val="0"/>
      <w:marRight w:val="0"/>
      <w:marTop w:val="0"/>
      <w:marBottom w:val="0"/>
      <w:divBdr>
        <w:top w:val="none" w:sz="0" w:space="0" w:color="auto"/>
        <w:left w:val="none" w:sz="0" w:space="0" w:color="auto"/>
        <w:bottom w:val="none" w:sz="0" w:space="0" w:color="auto"/>
        <w:right w:val="none" w:sz="0" w:space="0" w:color="auto"/>
      </w:divBdr>
      <w:divsChild>
        <w:div w:id="1623801242">
          <w:marLeft w:val="0"/>
          <w:marRight w:val="0"/>
          <w:marTop w:val="0"/>
          <w:marBottom w:val="0"/>
          <w:divBdr>
            <w:top w:val="none" w:sz="0" w:space="0" w:color="auto"/>
            <w:left w:val="none" w:sz="0" w:space="0" w:color="auto"/>
            <w:bottom w:val="none" w:sz="0" w:space="0" w:color="auto"/>
            <w:right w:val="none" w:sz="0" w:space="0" w:color="auto"/>
          </w:divBdr>
        </w:div>
      </w:divsChild>
    </w:div>
    <w:div w:id="1756239539">
      <w:bodyDiv w:val="1"/>
      <w:marLeft w:val="0"/>
      <w:marRight w:val="0"/>
      <w:marTop w:val="0"/>
      <w:marBottom w:val="0"/>
      <w:divBdr>
        <w:top w:val="none" w:sz="0" w:space="0" w:color="auto"/>
        <w:left w:val="none" w:sz="0" w:space="0" w:color="auto"/>
        <w:bottom w:val="none" w:sz="0" w:space="0" w:color="auto"/>
        <w:right w:val="none" w:sz="0" w:space="0" w:color="auto"/>
      </w:divBdr>
      <w:divsChild>
        <w:div w:id="1205605837">
          <w:marLeft w:val="0"/>
          <w:marRight w:val="0"/>
          <w:marTop w:val="0"/>
          <w:marBottom w:val="0"/>
          <w:divBdr>
            <w:top w:val="none" w:sz="0" w:space="0" w:color="auto"/>
            <w:left w:val="none" w:sz="0" w:space="0" w:color="auto"/>
            <w:bottom w:val="none" w:sz="0" w:space="0" w:color="auto"/>
            <w:right w:val="none" w:sz="0" w:space="0" w:color="auto"/>
          </w:divBdr>
        </w:div>
      </w:divsChild>
    </w:div>
    <w:div w:id="1778014664">
      <w:bodyDiv w:val="1"/>
      <w:marLeft w:val="0"/>
      <w:marRight w:val="0"/>
      <w:marTop w:val="0"/>
      <w:marBottom w:val="0"/>
      <w:divBdr>
        <w:top w:val="none" w:sz="0" w:space="0" w:color="auto"/>
        <w:left w:val="none" w:sz="0" w:space="0" w:color="auto"/>
        <w:bottom w:val="none" w:sz="0" w:space="0" w:color="auto"/>
        <w:right w:val="none" w:sz="0" w:space="0" w:color="auto"/>
      </w:divBdr>
      <w:divsChild>
        <w:div w:id="2018337962">
          <w:marLeft w:val="0"/>
          <w:marRight w:val="0"/>
          <w:marTop w:val="0"/>
          <w:marBottom w:val="0"/>
          <w:divBdr>
            <w:top w:val="none" w:sz="0" w:space="0" w:color="auto"/>
            <w:left w:val="none" w:sz="0" w:space="0" w:color="auto"/>
            <w:bottom w:val="none" w:sz="0" w:space="0" w:color="auto"/>
            <w:right w:val="none" w:sz="0" w:space="0" w:color="auto"/>
          </w:divBdr>
          <w:divsChild>
            <w:div w:id="1449927719">
              <w:marLeft w:val="0"/>
              <w:marRight w:val="0"/>
              <w:marTop w:val="0"/>
              <w:marBottom w:val="0"/>
              <w:divBdr>
                <w:top w:val="none" w:sz="0" w:space="0" w:color="auto"/>
                <w:left w:val="none" w:sz="0" w:space="0" w:color="auto"/>
                <w:bottom w:val="none" w:sz="0" w:space="0" w:color="auto"/>
                <w:right w:val="none" w:sz="0" w:space="0" w:color="auto"/>
              </w:divBdr>
              <w:divsChild>
                <w:div w:id="641430021">
                  <w:marLeft w:val="0"/>
                  <w:marRight w:val="0"/>
                  <w:marTop w:val="0"/>
                  <w:marBottom w:val="0"/>
                  <w:divBdr>
                    <w:top w:val="none" w:sz="0" w:space="0" w:color="auto"/>
                    <w:left w:val="none" w:sz="0" w:space="0" w:color="auto"/>
                    <w:bottom w:val="none" w:sz="0" w:space="0" w:color="auto"/>
                    <w:right w:val="none" w:sz="0" w:space="0" w:color="auto"/>
                  </w:divBdr>
                  <w:divsChild>
                    <w:div w:id="203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174">
      <w:bodyDiv w:val="1"/>
      <w:marLeft w:val="0"/>
      <w:marRight w:val="0"/>
      <w:marTop w:val="0"/>
      <w:marBottom w:val="0"/>
      <w:divBdr>
        <w:top w:val="none" w:sz="0" w:space="0" w:color="auto"/>
        <w:left w:val="none" w:sz="0" w:space="0" w:color="auto"/>
        <w:bottom w:val="none" w:sz="0" w:space="0" w:color="auto"/>
        <w:right w:val="none" w:sz="0" w:space="0" w:color="auto"/>
      </w:divBdr>
    </w:div>
    <w:div w:id="1999722930">
      <w:bodyDiv w:val="1"/>
      <w:marLeft w:val="0"/>
      <w:marRight w:val="0"/>
      <w:marTop w:val="0"/>
      <w:marBottom w:val="0"/>
      <w:divBdr>
        <w:top w:val="none" w:sz="0" w:space="0" w:color="auto"/>
        <w:left w:val="none" w:sz="0" w:space="0" w:color="auto"/>
        <w:bottom w:val="none" w:sz="0" w:space="0" w:color="auto"/>
        <w:right w:val="none" w:sz="0" w:space="0" w:color="auto"/>
      </w:divBdr>
      <w:divsChild>
        <w:div w:id="169838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08516-7C43-420E-A71A-796FF01DEDA8}">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2.xml><?xml version="1.0" encoding="utf-8"?>
<ds:datastoreItem xmlns:ds="http://schemas.openxmlformats.org/officeDocument/2006/customXml" ds:itemID="{16C82F54-948A-4D95-B8AC-14552A1D9D92}">
  <ds:schemaRefs>
    <ds:schemaRef ds:uri="http://schemas.microsoft.com/sharepoint/v3/contenttype/forms"/>
  </ds:schemaRefs>
</ds:datastoreItem>
</file>

<file path=customXml/itemProps3.xml><?xml version="1.0" encoding="utf-8"?>
<ds:datastoreItem xmlns:ds="http://schemas.openxmlformats.org/officeDocument/2006/customXml" ds:itemID="{CDE56050-8D82-4E3D-87A6-8C28A5D47CEE}"/>
</file>

<file path=docProps/app.xml><?xml version="1.0" encoding="utf-8"?>
<Properties xmlns="http://schemas.openxmlformats.org/officeDocument/2006/extended-properties" xmlns:vt="http://schemas.openxmlformats.org/officeDocument/2006/docPropsVTypes">
  <Template>Normal</Template>
  <TotalTime>105</TotalTime>
  <Pages>11</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87</cp:revision>
  <cp:lastPrinted>2020-02-12T20:54:00Z</cp:lastPrinted>
  <dcterms:created xsi:type="dcterms:W3CDTF">2023-02-27T01:42:00Z</dcterms:created>
  <dcterms:modified xsi:type="dcterms:W3CDTF">2024-06-14T14:35:00Z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