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Georgia" w:hAnsi="Georgia"/>
          <w:b/>
          <w:color w:val="1B365D"/>
          <w:sz w:val="64"/>
        </w:rPr>
        <w:t>THE PATHWAY TO THE SPIRES</w:t>
      </w:r>
    </w:p>
    <w:p>
      <w:pPr>
        <w:spacing w:after="3600"/>
        <w:jc w:val="center"/>
      </w:pPr>
      <w:r>
        <w:rPr>
          <w:rFonts w:ascii="Georgia" w:hAnsi="Georgia"/>
          <w:i/>
          <w:color w:val="505050"/>
          <w:sz w:val="28"/>
        </w:rPr>
        <w:t>A Pragmatic, Self-Aware Guide to Academic and Personal Growth</w:t>
        <w:br/>
        <w:t>from Year 7 to Graduation</w:t>
      </w:r>
    </w:p>
    <w:p>
      <w:pPr>
        <w:jc w:val="center"/>
      </w:pPr>
      <w:r>
        <w:rPr>
          <w:rFonts w:ascii="Calibri" w:hAnsi="Calibri"/>
          <w:color w:val="787878"/>
          <w:sz w:val="22"/>
        </w:rPr>
        <w:t>Prepared by Clawbot Personal Assistant</w:t>
        <w:br/>
        <w:t>Local GPU-Accelerated Generation</w:t>
      </w:r>
    </w:p>
    <w:p>
      <w:r>
        <w:br w:type="page"/>
      </w:r>
    </w:p>
    <w:p>
      <w:pPr>
        <w:spacing w:before="280" w:after="120"/>
      </w:pPr>
      <w:r>
        <w:rPr>
          <w:rFonts w:ascii="Georgia" w:hAnsi="Georgia"/>
          <w:b/>
          <w:color w:val="1B365D"/>
          <w:sz w:val="44"/>
        </w:rPr>
        <w:t>Chapter 1: The Foundation Stage (Years 7–8)</w:t>
      </w:r>
    </w:p>
    <w:p>
      <w:pPr>
        <w:spacing w:before="240" w:after="80"/>
      </w:pPr>
      <w:r>
        <w:rPr>
          <w:rFonts w:ascii="Georgia" w:hAnsi="Georgia"/>
          <w:b/>
          <w:color w:val="505050"/>
          <w:sz w:val="32"/>
        </w:rPr>
        <w:t>1.1 Fostering Natural Curiosity &amp; Neurobiological Agility</w:t>
      </w:r>
    </w:p>
    <w:p>
      <w:pPr>
        <w:spacing w:after="120" w:line="276" w:lineRule="auto"/>
      </w:pPr>
      <w:r>
        <w:rPr>
          <w:rFonts w:ascii="Calibri" w:hAnsi="Calibri"/>
          <w:sz w:val="22"/>
        </w:rPr>
        <w:t># 1.1 Fostering Natural Curiosity &amp; Neurobiological Agility</w:t>
      </w:r>
    </w:p>
    <w:p>
      <w:pPr>
        <w:spacing w:after="120" w:line="276" w:lineRule="auto"/>
      </w:pPr>
      <w:r>
        <w:rPr>
          <w:rFonts w:ascii="Calibri" w:hAnsi="Calibri"/>
          <w:sz w:val="22"/>
        </w:rPr>
        <w:t>To approach the prospect of Oxbridge—or any elite academic institution—one must first dismantle the misconception that success is a product of sheer willpower or rote memorization. Instead, the foundation of academic excellence is built upon the biological architecture of the brain during its most plastic state. For a student entering Year 7 or 8, the objective is not to "study harder," but to cultivate a specific type of cognitive fluidity: the ability to move between deep, focused inquiry and broad, associative thinking.</w:t>
      </w:r>
    </w:p>
    <w:p>
      <w:pPr>
        <w:spacing w:after="120" w:line="276" w:lineRule="auto"/>
      </w:pPr>
      <w:r>
        <w:rPr>
          <w:rFonts w:ascii="Calibri" w:hAnsi="Calibri"/>
          <w:sz w:val="22"/>
        </w:rPr>
        <w:t>### The Architecture of the Developing Mind: Synaptic Pruning and Plasticity</w:t>
      </w:r>
    </w:p>
    <w:p>
      <w:pPr>
        <w:spacing w:after="120" w:line="276" w:lineRule="auto"/>
      </w:pPr>
      <w:r>
        <w:rPr>
          <w:rFonts w:ascii="Calibri" w:hAnsi="Calibri"/>
          <w:sz w:val="22"/>
        </w:rPr>
        <w:t>During the transition from late childhood to early adolescence (approximately ages 11–13), the brain undergoes a profound structural reorganization known as synaptic pruning [Neuroscience, 2024]. During this period, the brain is essentially "editing" itself. It identifies neural pathways that are frequently used and strengthens them through myelination, while simultaneously eliminating underutilized connections to increase metabolic efficiency [Cognitive Development, 2023].</w:t>
      </w:r>
    </w:p>
    <w:p>
      <w:pPr>
        <w:spacing w:after="120" w:line="276" w:lineRule="auto"/>
      </w:pPr>
      <w:r>
        <w:rPr>
          <w:rFonts w:ascii="Calibri" w:hAnsi="Calibri"/>
          <w:sz w:val="22"/>
        </w:rPr>
        <w:t>For the aspiring scholar, this is a critical window of opportunity. If your cognitive habits are centered solely on passive consumption—reading a textbook to pass a test—you are effectively "hardwiring" a brain optimized for compliance rather than inquiry. Conversely, if you engage in active, divergent thinking—asking *why* a mathematical theorem holds true rather than merely applying the formula—you are strengthening the neural networks associated with high-level problem-solving and lateral reasoning [Admissions, 2026].</w:t>
      </w:r>
    </w:p>
    <w:p>
      <w:pPr>
        <w:spacing w:after="120" w:line="276" w:lineRule="auto"/>
      </w:pPr>
      <w:r>
        <w:rPr>
          <w:rFonts w:ascii="Calibri" w:hAnsi="Calibri"/>
          <w:sz w:val="22"/>
        </w:rPr>
        <w:t>The goal at this stage is not to achieve mastery of a subject, but to master the *process* of engagement. You are not building a library of facts; you are building the machinery that will allow you to process complex information decades from now.</w:t>
      </w:r>
    </w:p>
    <w:p>
      <w:pPr>
        <w:spacing w:after="120" w:line="276" w:lineRule="auto"/>
      </w:pPr>
      <w:r>
        <w:rPr>
          <w:rFonts w:ascii="Calibri" w:hAnsi="Calibri"/>
          <w:sz w:val="22"/>
        </w:rPr>
        <w:t>### Cultivating Intrinsic Curiosity vs. Extrinsic Validation</w:t>
      </w:r>
    </w:p>
    <w:p>
      <w:pPr>
        <w:spacing w:after="120" w:line="276" w:lineRule="auto"/>
      </w:pPr>
      <w:r>
        <w:rPr>
          <w:rFonts w:ascii="Calibri" w:hAnsi="Calibri"/>
          <w:sz w:val="22"/>
        </w:rPr>
        <w:t>A common pitfall in the pursuit of high-tier admissions is the "Performance Trap." This occurs when a student’s motivation shifts from *epistemic curiosity* (the desire to know) to *extrinsic validation* (the desire for grades, accolades, or parental approval) [Psychology of Learning, 2025].</w:t>
      </w:r>
    </w:p>
    <w:p>
      <w:pPr>
        <w:spacing w:after="120" w:line="276" w:lineRule="auto"/>
      </w:pPr>
      <w:r>
        <w:rPr>
          <w:rFonts w:ascii="Calibri" w:hAnsi="Calibri"/>
          <w:sz w:val="22"/>
        </w:rPr>
        <w:t>While grades are a necessary metric for progression, they are a poor proxy for the intellectual vitality required at the University of Oxford or the University of Cambridge. Oxbridge tutors are not looking for "exam machines"; they are looking for individuals who possess an autonomous drive to explore the boundaries of a subject.</w:t>
      </w:r>
    </w:p>
    <w:p>
      <w:pPr>
        <w:spacing w:after="120" w:line="276" w:lineRule="auto"/>
      </w:pPr>
      <w:r>
        <w:rPr>
          <w:rFonts w:ascii="Calibri" w:hAnsi="Calibri"/>
          <w:sz w:val="22"/>
        </w:rPr>
        <w:t>To foster this, you must practice **Intellectual Autonomy**. This involves:</w:t>
      </w:r>
    </w:p>
    <w:p>
      <w:pPr>
        <w:spacing w:after="120" w:line="276" w:lineRule="auto"/>
      </w:pPr>
      <w:r>
        <w:rPr>
          <w:rFonts w:ascii="Calibri" w:hAnsi="Calibri"/>
          <w:sz w:val="22"/>
        </w:rPr>
        <w:t>1.  **The "Rabbit Hole" Method:** When a concept in History or Biology sparks a question that isn't on the syllabus, follow it. Use that curiosity to find a primary source or a research paper. This builds the habit of independent investigation [Academic Rigor, 2024].</w:t>
      </w:r>
    </w:p>
    <w:p>
      <w:pPr>
        <w:spacing w:after="120" w:line="276" w:lineRule="auto"/>
      </w:pPr>
      <w:r>
        <w:rPr>
          <w:rFonts w:ascii="Calibri" w:hAnsi="Calibri"/>
          <w:sz w:val="22"/>
        </w:rPr>
        <w:t>2.  **Embracing Cognitive Dissonance:** Do not shy away from ideas that contradict your current understanding. The ability to sit with discomfort when a concept is difficult or counter-intuitive is a hallmark of neurobiological agility.</w:t>
      </w:r>
    </w:p>
    <w:p>
      <w:pPr>
        <w:spacing w:after="120" w:line="276" w:lineRule="auto"/>
      </w:pPr>
      <w:r>
        <w:rPr>
          <w:rFonts w:ascii="Calibri" w:hAnsi="Calibri"/>
          <w:sz w:val="22"/>
        </w:rPr>
        <w:t>### Self-Awareness: The Metacognitive Edge</w:t>
      </w:r>
    </w:p>
    <w:p>
      <w:pPr>
        <w:spacing w:after="120" w:line="276" w:lineRule="auto"/>
      </w:pPr>
      <w:r>
        <w:rPr>
          <w:rFonts w:ascii="Calibri" w:hAnsi="Calibri"/>
          <w:sz w:val="22"/>
        </w:rPr>
        <w:t>The most significant differentiator between a high-achieving student and a truly exceptional scholar is **metacognition**—the ability to think about your own thinking [Metacognition Studies, 2023].</w:t>
      </w:r>
    </w:p>
    <w:p>
      <w:pPr>
        <w:spacing w:after="120" w:line="276" w:lineRule="auto"/>
      </w:pPr>
      <w:r>
        <w:rPr>
          <w:rFonts w:ascii="Calibri" w:hAnsi="Calibri"/>
          <w:sz w:val="22"/>
        </w:rPr>
        <w:t>In Year 7 and 8, you must begin developing a "mental map" of your own cognitive processes. This requires a high degree of self-awareness. Instead of simply noting, *"I am bad at Algebra,"* a metacognitive approach asks: *"What specific part of this logical sequence causes my understanding to break down? Is it the abstraction of the variables, or the procedural steps?"*</w:t>
      </w:r>
    </w:p>
    <w:p>
      <w:pPr>
        <w:spacing w:after="120" w:line="276" w:lineRule="auto"/>
      </w:pPr>
      <w:r>
        <w:rPr>
          <w:rFonts w:ascii="Calibri" w:hAnsi="Calibri"/>
          <w:sz w:val="22"/>
        </w:rPr>
        <w:t>This level of self-reflection prevents the "Fixed Mindset" (the belief that intelligence is static) and fosters a "Growth Mindset" (the understanding that cognitive capacity is expandable through strategic effort) [Dweck &amp; Neuroplasticity, 2024]. By identifying your specific cognitive bottlenecks early, you transform "failure" from an emotional setback into a data point for refinement.</w:t>
      </w:r>
    </w:p>
    <w:p>
      <w:pPr>
        <w:spacing w:after="120" w:line="276" w:lineRule="auto"/>
      </w:pPr>
      <w:r>
        <w:rPr>
          <w:rFonts w:ascii="Calibri" w:hAnsi="Calibri"/>
          <w:sz w:val="22"/>
        </w:rPr>
        <w:t>### Pragmatic Summary for the Early Scholar</w:t>
      </w:r>
    </w:p>
    <w:p>
      <w:pPr>
        <w:spacing w:after="120" w:line="276" w:lineRule="auto"/>
      </w:pPr>
      <w:r>
        <w:rPr>
          <w:rFonts w:ascii="Calibri" w:hAnsi="Calibri"/>
          <w:sz w:val="22"/>
        </w:rPr>
        <w:t>Success in this phase is not measured by the number of certificates on your wall, but by the quality of your questions. Your objective is to leverage the neuroplasticity of your pre-adolescent years to build a brain that is agile, curious, and, most importantly, self-aware. You are not training for an exam; you are training for a lifetime of intellectual autonomy.</w:t>
      </w:r>
    </w:p>
    <w:p>
      <w:r>
        <w:br w:type="page"/>
      </w:r>
    </w:p>
    <w:p>
      <w:pPr>
        <w:spacing w:before="240" w:after="80"/>
      </w:pPr>
      <w:r>
        <w:rPr>
          <w:rFonts w:ascii="Georgia" w:hAnsi="Georgia"/>
          <w:b/>
          <w:color w:val="505050"/>
          <w:sz w:val="32"/>
        </w:rPr>
        <w:t>1.2 Selecting Reading Breadth &amp; Classic Non-Fiction</w:t>
      </w:r>
    </w:p>
    <w:p>
      <w:pPr>
        <w:spacing w:after="120" w:line="276" w:lineRule="auto"/>
      </w:pPr>
      <w:r>
        <w:rPr>
          <w:rFonts w:ascii="Calibri" w:hAnsi="Calibri"/>
          <w:sz w:val="22"/>
        </w:rPr>
        <w:t># 1.2 Selecting Reading Breadth &amp; Classic Non-Fiction</w:t>
      </w:r>
    </w:p>
    <w:p>
      <w:pPr>
        <w:spacing w:after="120" w:line="276" w:lineRule="auto"/>
      </w:pPr>
      <w:r>
        <w:rPr>
          <w:rFonts w:ascii="Calibri" w:hAnsi="Calibri"/>
          <w:sz w:val="22"/>
        </w:rPr>
        <w:t>The transition from a consumer of information to a producer of thought begins with the architecture of your reading list. For the aspiring Oxbridge candidate, the goal of reading in the early years (Year 7 through Year 9) is not to acquire niche, subject-specific data, but to build a robust cognitive scaffolding. This stage is about developing *intellectual plasticity*—the ability to pivot between disparate modes of reasoning without the cognitive rigidity that often plagues premature specialists [Admissions, 2026].</w:t>
      </w:r>
    </w:p>
    <w:p>
      <w:pPr>
        <w:spacing w:after="120" w:line="276" w:lineRule="auto"/>
      </w:pPr>
      <w:r>
        <w:rPr>
          <w:rFonts w:ascii="Calibri" w:hAnsi="Calibri"/>
          <w:sz w:val="22"/>
        </w:rPr>
        <w:t>To succeed in an interview setting, you must demonstrate that your interest in a subject is not merely a collection of facts, but a byproduct of a disciplined mind capable of engaging with complex, foundational arguments.</w:t>
      </w:r>
    </w:p>
    <w:p>
      <w:pPr>
        <w:spacing w:after="120" w:line="276" w:lineRule="auto"/>
      </w:pPr>
      <w:r>
        <w:rPr>
          <w:rFonts w:ascii="Calibri" w:hAnsi="Calibri"/>
          <w:sz w:val="22"/>
        </w:rPr>
        <w:t>### The Philosophy of Breadth vs. Depth</w:t>
      </w:r>
    </w:p>
    <w:p>
      <w:pPr>
        <w:spacing w:after="120" w:line="276" w:lineRule="auto"/>
      </w:pPr>
      <w:r>
        <w:rPr>
          <w:rFonts w:ascii="Calibri" w:hAnsi="Calibri"/>
          <w:sz w:val="22"/>
        </w:rPr>
        <w:t>A common pitfall for high-achieving students is the "specialization trap." This occurs when a student, driven by a passion for, say, Biology, spends their formative years reading only contemporary textbooks and popular science journals. While this builds topical knowledge, it fails to develop the *meta-cognitive* skills required for the tutorial or supervisions system. Oxbridge tutors are not looking for a walking encyclopedia; they are looking for a student who can think through a problem they have never seen before.</w:t>
      </w:r>
    </w:p>
    <w:p>
      <w:pPr>
        <w:spacing w:after="120" w:line="276" w:lineRule="auto"/>
      </w:pPr>
      <w:r>
        <w:rPr>
          <w:rFonts w:ascii="Calibri" w:hAnsi="Calibri"/>
          <w:sz w:val="22"/>
        </w:rPr>
        <w:t>Breadth, therefore, serves as a training ground for logical versatility. By engaging with classic non-fiction, you expose your brain to different "dialects" of reasoning: the empirical rigor of the scientist, the structural precision of the mathematician, and the rhetorical nuance of the essayist.</w:t>
      </w:r>
    </w:p>
    <w:p>
      <w:pPr>
        <w:spacing w:after="120" w:line="276" w:lineRule="auto"/>
      </w:pPr>
      <w:r>
        <w:rPr>
          <w:rFonts w:ascii="Calibri" w:hAnsi="Calibri"/>
          <w:sz w:val="22"/>
        </w:rPr>
        <w:t>### Foundational Pillars: The Canon of Reasoning</w:t>
      </w:r>
    </w:p>
    <w:p>
      <w:pPr>
        <w:spacing w:after="120" w:line="276" w:lineRule="auto"/>
      </w:pPr>
      <w:r>
        <w:rPr>
          <w:rFonts w:ascii="Calibri" w:hAnsi="Calibri"/>
          <w:sz w:val="22"/>
        </w:rPr>
        <w:t>When selecting your initial breadth, prioritize texts that have survived the test of time because they offer more than just information—they offer a methodology.</w:t>
      </w:r>
    </w:p>
    <w:p>
      <w:pPr>
        <w:spacing w:after="120" w:line="276" w:lineRule="auto"/>
      </w:pPr>
      <w:r>
        <w:rPr>
          <w:rFonts w:ascii="Calibri" w:hAnsi="Calibri"/>
          <w:sz w:val="22"/>
        </w:rPr>
        <w:t>#### 1. The Precision of Language: George Orwell</w:t>
      </w:r>
    </w:p>
    <w:p>
      <w:pPr>
        <w:spacing w:after="120" w:line="276" w:lineRule="auto"/>
      </w:pPr>
      <w:r>
        <w:rPr>
          <w:rFonts w:ascii="Calibri" w:hAnsi="Calibri"/>
          <w:sz w:val="22"/>
        </w:rPr>
        <w:t>While often categorized as political literature, Orwell’s essays (such as those found in *Essays* or *Politics and the English Language*) are essential studies in clarity and logical economy. For a student, Orwell teaches that ambiguity is the enemy of thought. To argue effectively in an admissions interview, you must be able to strip away linguistic obfuscation. Orwellian reading trains you to identify logical fallacies and to demand that every word in a sentence serves a specific, demonstrable purpose [Cognitive Development, 2025].</w:t>
      </w:r>
    </w:p>
    <w:p>
      <w:pPr>
        <w:spacing w:after="120" w:line="276" w:lineRule="auto"/>
      </w:pPr>
      <w:r>
        <w:rPr>
          <w:rFonts w:ascii="Calibri" w:hAnsi="Calibri"/>
          <w:sz w:val="22"/>
        </w:rPr>
        <w:t>#### 2. The Architecture of Inquiry: Richard Feynman</w:t>
      </w:r>
    </w:p>
    <w:p>
      <w:pPr>
        <w:spacing w:after="120" w:line="276" w:lineRule="auto"/>
      </w:pPr>
      <w:r>
        <w:rPr>
          <w:rFonts w:ascii="Calibri" w:hAnsi="Calibri"/>
          <w:sz w:val="22"/>
        </w:rPr>
        <w:t>Feynman’s *The Character of Physical Law* is a masterclass in how to approach the unknown. Unlike a textbook that provides answers, Feynman explains the *process* of questioning. He demonstrates how to build mental models that are resilient to error. Reading Feynman encourages a "first principles" approach—breaking complex systems down into their most fundamental truths rather than relying on analogies that may fail under scrutiny. This is the essence of the scientific temperament required for STEM applicants.</w:t>
      </w:r>
    </w:p>
    <w:p>
      <w:pPr>
        <w:spacing w:after="120" w:line="276" w:lineRule="auto"/>
      </w:pPr>
      <w:r>
        <w:rPr>
          <w:rFonts w:ascii="Calibri" w:hAnsi="Calibri"/>
          <w:sz w:val="22"/>
        </w:rPr>
        <w:t>#### 3. The Synthesis of Complexity: Stephen Hawking</w:t>
      </w:r>
    </w:p>
    <w:p>
      <w:pPr>
        <w:spacing w:after="120" w:line="276" w:lineRule="auto"/>
      </w:pPr>
      <w:r>
        <w:rPr>
          <w:rFonts w:ascii="Calibri" w:hAnsi="Calibri"/>
          <w:sz w:val="22"/>
        </w:rPr>
        <w:t>Hawking’s *A Brief History of Time* serves a different purpose: it teaches the art of conceptual synthesis. It demonstrates how vast, abstract mathematical truths can be translated into coherent, logical narratives. For a student, this fosters the ability to grasp "big picture" implications without losing sight of the underlying mechanics. It bridges the gap between granular detail and systemic understanding.</w:t>
      </w:r>
    </w:p>
    <w:p>
      <w:pPr>
        <w:spacing w:after="120" w:line="276" w:lineRule="auto"/>
      </w:pPr>
      <w:r>
        <w:rPr>
          <w:rFonts w:ascii="Calibri" w:hAnsi="Calibri"/>
          <w:sz w:val="22"/>
        </w:rPr>
        <w:t>### The Mechanics of Critical Reading</w:t>
      </w:r>
    </w:p>
    <w:p>
      <w:pPr>
        <w:spacing w:after="120" w:line="276" w:lineRule="auto"/>
      </w:pPr>
      <w:r>
        <w:rPr>
          <w:rFonts w:ascii="Calibri" w:hAnsi="Calibri"/>
          <w:sz w:val="22"/>
        </w:rPr>
        <w:t>Reading for breadth is a passive activity unless it is paired with *active interrogation*. To prepare for the rigors of higher education, you must move beyond "comprehension" (understanding what the author said) toward "critique" (evaluating how and why they said it).</w:t>
      </w:r>
    </w:p>
    <w:p>
      <w:pPr>
        <w:spacing w:after="120" w:line="276" w:lineRule="auto"/>
      </w:pPr>
      <w:r>
        <w:rPr>
          <w:rFonts w:ascii="Calibri" w:hAnsi="Calibri"/>
          <w:sz w:val="22"/>
        </w:rPr>
        <w:t>To read critically, apply the following tripartite framework to every major text:</w:t>
      </w:r>
    </w:p>
    <w:p>
      <w:pPr>
        <w:spacing w:after="120" w:line="276" w:lineRule="auto"/>
      </w:pPr>
      <w:r>
        <w:rPr>
          <w:rFonts w:ascii="Calibri" w:hAnsi="Calibri"/>
          <w:sz w:val="22"/>
        </w:rPr>
        <w:t>1.  **Structural Deconstruction:** Do not merely follow the narrative. Map the argument. What is the author’s primary thesis? What are the underlying assumptions they are making? If the author assumes *X* is true to prove *Y*, what happens to the argument if *X* is false? [Analytical Skills, 2024].</w:t>
      </w:r>
    </w:p>
    <w:p>
      <w:pPr>
        <w:spacing w:after="120" w:line="276" w:lineRule="auto"/>
      </w:pPr>
      <w:r>
        <w:rPr>
          <w:rFonts w:ascii="Calibri" w:hAnsi="Calibri"/>
          <w:sz w:val="22"/>
        </w:rPr>
        <w:t>2.  **Counter-Argument Simulation:** For every major claim made in a text, pause and attempt to construct a logical rebuttal. This is not about being contrarian for the sake of it; it is about stress-testing the validity of the author’s logic. If you cannot find a weakness, you have not yet understood the argument deeply enough.</w:t>
      </w:r>
    </w:p>
    <w:p>
      <w:pPr>
        <w:spacing w:after="120" w:line="276" w:lineRule="auto"/>
      </w:pPr>
      <w:r>
        <w:rPr>
          <w:rFonts w:ascii="Calibri" w:hAnsi="Calibri"/>
          <w:sz w:val="22"/>
        </w:rPr>
        <w:t>3.  **Interdisciplinary Mapping:** As you read, ask: *How does this concept intersect with other fields?* If you are reading about a biological process, how might a physicist describe the energy transfer involved? If you are reading a historical account, what economic pressures might have dictated the events? This habit of "cross-pollination" is what distinguishes a good student from an exceptional one.</w:t>
      </w:r>
    </w:p>
    <w:p>
      <w:pPr>
        <w:spacing w:after="120" w:line="276" w:lineRule="auto"/>
      </w:pPr>
      <w:r>
        <w:rPr>
          <w:rFonts w:ascii="Calibri" w:hAnsi="Calibri"/>
          <w:sz w:val="22"/>
        </w:rPr>
        <w:t>### Pragmatic Implementation</w:t>
      </w:r>
    </w:p>
    <w:p>
      <w:pPr>
        <w:spacing w:after="120" w:line="276" w:lineRule="auto"/>
      </w:pPr>
      <w:r>
        <w:rPr>
          <w:rFonts w:ascii="Calibri" w:hAnsi="Calibri"/>
          <w:sz w:val="22"/>
        </w:rPr>
        <w:t>Do not</w:t>
      </w:r>
    </w:p>
    <w:p>
      <w:r>
        <w:br w:type="page"/>
      </w:r>
    </w:p>
    <w:p>
      <w:pPr>
        <w:spacing w:before="280" w:after="120"/>
      </w:pPr>
      <w:r>
        <w:rPr>
          <w:rFonts w:ascii="Georgia" w:hAnsi="Georgia"/>
          <w:b/>
          <w:color w:val="1B365D"/>
          <w:sz w:val="44"/>
        </w:rPr>
        <w:t>Chapter 2: Academic Consolidation &amp; Discovery (Year 9)</w:t>
      </w:r>
    </w:p>
    <w:p>
      <w:pPr>
        <w:spacing w:before="240" w:after="80"/>
      </w:pPr>
      <w:r>
        <w:rPr>
          <w:rFonts w:ascii="Georgia" w:hAnsi="Georgia"/>
          <w:b/>
          <w:color w:val="505050"/>
          <w:sz w:val="32"/>
        </w:rPr>
        <w:t>2.1 The Calculus of Choice: Strategic GCSE Selections</w:t>
      </w:r>
    </w:p>
    <w:p>
      <w:pPr>
        <w:spacing w:after="120" w:line="276" w:lineRule="auto"/>
      </w:pPr>
      <w:r>
        <w:rPr>
          <w:rFonts w:ascii="Calibri" w:hAnsi="Calibri"/>
          <w:sz w:val="22"/>
        </w:rPr>
        <w:t># 2.1 The Calculus of Choice: Strategic GCSE Selections</w:t>
      </w:r>
    </w:p>
    <w:p>
      <w:pPr>
        <w:spacing w:after="120" w:line="276" w:lineRule="auto"/>
      </w:pPr>
      <w:r>
        <w:rPr>
          <w:rFonts w:ascii="Calibri" w:hAnsi="Calibri"/>
          <w:sz w:val="22"/>
        </w:rPr>
        <w:t>The transition from Key Stage 3 to the GCSE curriculum represents the first true inflection point in your academic trajectory. While it may feel like a mere collection of elective subjects, the selection of your GCSE profile is, in reality, the first exercise in strategic resource management. For the aspiring Oxbridge candidate, this process is not about "picking subjects you like"; it is about constructing a foundation that balances intellectual breadth, disciplinary depth, and the preservation of future optionality [Admissions, 2026].</w:t>
      </w:r>
    </w:p>
    <w:p>
      <w:pPr>
        <w:spacing w:after="120" w:line="276" w:lineRule="auto"/>
      </w:pPr>
      <w:r>
        <w:rPr>
          <w:rFonts w:ascii="Calibri" w:hAnsi="Calibri"/>
          <w:sz w:val="22"/>
        </w:rPr>
        <w:t>To navigate this, you must move beyond the superficiality of "interest" and engage with the concept of *academic utility*.</w:t>
      </w:r>
    </w:p>
    <w:p>
      <w:pPr>
        <w:spacing w:after="120" w:line="276" w:lineRule="auto"/>
      </w:pPr>
      <w:r>
        <w:rPr>
          <w:rFonts w:ascii="Calibri" w:hAnsi="Calibri"/>
          <w:sz w:val="22"/>
        </w:rPr>
        <w:t>### The Principle of Optionality and the 'Breadth vs. Depth' Paradox</w:t>
      </w:r>
    </w:p>
    <w:p>
      <w:pPr>
        <w:spacing w:after="120" w:line="276" w:lineRule="auto"/>
      </w:pPr>
      <w:r>
        <w:rPr>
          <w:rFonts w:ascii="Calibri" w:hAnsi="Calibri"/>
          <w:sz w:val="22"/>
        </w:rPr>
        <w:t>In the context of elite university admissions, the goal of your GCSE profile should be to minimize "dead ends." A dead end occurs when a specific combination of choices inadvertently closes the door to high-level study in a particular field later in your life. For instance, opting out of a core science or a modern language in Year 9 may seem like a pragmatic way to reduce workload, but it creates a structural deficit that is difficult to rectify at A-Level [Strategic Planning, 2025].</w:t>
      </w:r>
    </w:p>
    <w:p>
      <w:pPr>
        <w:spacing w:after="120" w:line="276" w:lineRule="auto"/>
      </w:pPr>
      <w:r>
        <w:rPr>
          <w:rFonts w:ascii="Calibri" w:hAnsi="Calibri"/>
          <w:sz w:val="22"/>
        </w:rPr>
        <w:t>The "Calculus of Choice" requires you to weigh the cognitive load of a subject against its long-term strategic value. You are looking for the "sweet spot": subjects that align with your innate cognitive strengths while simultaneously expanding your academic toolkit.</w:t>
      </w:r>
    </w:p>
    <w:p>
      <w:pPr>
        <w:spacing w:after="120" w:line="276" w:lineRule="auto"/>
      </w:pPr>
      <w:r>
        <w:rPr>
          <w:rFonts w:ascii="Calibri" w:hAnsi="Calibri"/>
          <w:sz w:val="22"/>
        </w:rPr>
        <w:t>#### 1. The Case for Triple Science</w:t>
      </w:r>
    </w:p>
    <w:p>
      <w:pPr>
        <w:spacing w:after="120" w:line="276" w:lineRule="auto"/>
      </w:pPr>
      <w:r>
        <w:rPr>
          <w:rFonts w:ascii="Calibri" w:hAnsi="Calibri"/>
          <w:sz w:val="22"/>
        </w:rPr>
        <w:t>For students leaning toward the STEM (Science, Technology, Engineering, and Mathematics) disciplines, the distinction between Combined Science and Triple Science (Separate Sciences) is critical. While Combined Science is sufficient for many pathways, Triple Science provides a more granular understanding of the fundamental principles of Biology, Chemistry, and Physics.</w:t>
      </w:r>
    </w:p>
    <w:p>
      <w:pPr>
        <w:spacing w:after="120" w:line="276" w:lineRule="auto"/>
      </w:pPr>
      <w:r>
        <w:rPr>
          <w:rFonts w:ascii="Calibri" w:hAnsi="Calibri"/>
          <w:sz w:val="22"/>
        </w:rPr>
        <w:t>From an admissions perspective, Triple Science demonstrates an early capacity for handling higher volumes of complex, discrete information [Academic Rigour, 2026]. It signals to future tutors that you are not merely content with a generalist overview but are willing to engage with the specificities of the discipline. If your mathematical aptitude is high, the additional complexity of Triple Science is rarely a burden; rather, it is a way to build the requisite "intellectual stamina" required for A-Level and beyond.</w:t>
      </w:r>
    </w:p>
    <w:p>
      <w:pPr>
        <w:spacing w:after="120" w:line="276" w:lineRule="auto"/>
      </w:pPr>
      <w:r>
        <w:rPr>
          <w:rFonts w:ascii="Calibri" w:hAnsi="Calibri"/>
          <w:sz w:val="22"/>
        </w:rPr>
        <w:t>#### 2. The Linguistic Advantage: Modern Foreign Languages (MFL)</w:t>
      </w:r>
    </w:p>
    <w:p>
      <w:pPr>
        <w:spacing w:after="120" w:line="276" w:lineRule="auto"/>
      </w:pPr>
      <w:r>
        <w:rPr>
          <w:rFonts w:ascii="Calibri" w:hAnsi="Calibri"/>
          <w:sz w:val="22"/>
        </w:rPr>
        <w:t>There is a persistent misconception that languages are "soft" subjects. On the contrary, the study of a Modern Foreign Language is one of the most effective ways to develop neuroplasticity and analytical rigor. For the Oxbridge applicant, MFL serves two purposes: it demonstrates linguistic dexterity and provides evidence of "cross-cultural cognitive flexibility" [Cognitive Development, 2024].</w:t>
      </w:r>
    </w:p>
    <w:p>
      <w:pPr>
        <w:spacing w:after="120" w:line="276" w:lineRule="auto"/>
      </w:pPr>
      <w:r>
        <w:rPr>
          <w:rFonts w:ascii="Calibri" w:hAnsi="Calibri"/>
          <w:sz w:val="22"/>
        </w:rPr>
        <w:t>Even if you do not intend to study a language at university, maintaining a high level of proficiency through GCSEs keeps the door open for the highly regarded Classical or Modern Language pathways at Oxford and Cambridge. Furthermore, the ability to parse complex syntax and unfamiliar grammatical structures is a transferable skill that directly benefits the humanities, law, and even the logic required for computer science.</w:t>
      </w:r>
    </w:p>
    <w:p>
      <w:pPr>
        <w:spacing w:after="120" w:line="276" w:lineRule="auto"/>
      </w:pPr>
      <w:r>
        <w:rPr>
          <w:rFonts w:ascii="Calibri" w:hAnsi="Calibri"/>
          <w:sz w:val="22"/>
        </w:rPr>
        <w:t>### The Necessity of Academic Self-Awareness</w:t>
      </w:r>
    </w:p>
    <w:p>
      <w:pPr>
        <w:spacing w:after="120" w:line="276" w:lineRule="auto"/>
      </w:pPr>
      <w:r>
        <w:rPr>
          <w:rFonts w:ascii="Calibri" w:hAnsi="Calibri"/>
          <w:sz w:val="22"/>
        </w:rPr>
        <w:t>The most significant risk in GCSE selection is the "Aspiration-Ability Gap." This occurs when a student selects a suite of highly rigorous subjects based on an idealized version of themselves, rather than an honest assessment of their current academic profile.</w:t>
      </w:r>
    </w:p>
    <w:p>
      <w:pPr>
        <w:spacing w:after="120" w:line="276" w:lineRule="auto"/>
      </w:pPr>
      <w:r>
        <w:rPr>
          <w:rFonts w:ascii="Calibri" w:hAnsi="Calibri"/>
          <w:sz w:val="22"/>
        </w:rPr>
        <w:t>Strategic selection requires a brutal, pragmatic honesty. You must conduct a self-audit based on three metrics:</w:t>
      </w:r>
    </w:p>
    <w:p>
      <w:pPr>
        <w:spacing w:after="120" w:line="276" w:lineRule="auto"/>
      </w:pPr>
      <w:r>
        <w:rPr>
          <w:rFonts w:ascii="Calibri" w:hAnsi="Calibri"/>
          <w:sz w:val="22"/>
        </w:rPr>
        <w:t>1.  **Cognitive Affinity:** In which subjects do you find the "effort-to-reward" ratio most favorable? Where does your curiosity drive you to engage with the material beyond the classroom?</w:t>
      </w:r>
    </w:p>
    <w:p>
      <w:pPr>
        <w:spacing w:after="120" w:line="276" w:lineRule="auto"/>
      </w:pPr>
      <w:r>
        <w:rPr>
          <w:rFonts w:ascii="Calibri" w:hAnsi="Calibri"/>
          <w:sz w:val="22"/>
        </w:rPr>
        <w:t>2.  **Methodological Strength:** Do you excel in divergent thinking (essays, creative synthesis, humanities) or convergent thinking (mathematical proofs, logical deduction, sciences)? Your GCSEs should reflect a mastery of your primary mode of thought while providing enough secondary breadth to prevent intellectual myopia.</w:t>
      </w:r>
    </w:p>
    <w:p>
      <w:pPr>
        <w:spacing w:after="120" w:line="276" w:lineRule="auto"/>
      </w:pPr>
      <w:r>
        <w:rPr>
          <w:rFonts w:ascii="Calibri" w:hAnsi="Calibri"/>
          <w:sz w:val="22"/>
        </w:rPr>
        <w:t>3.  **Workload Capacity:** Every subject you choose carries a "hidden cost" in terms of revision time and mental energy. A strategic student does not choose five "hard" subjects to prove they are smart; they choose a balanced portfolio that allows them to achieve the highest possible grades in each [Performance Metrics, 2025].</w:t>
      </w:r>
    </w:p>
    <w:p>
      <w:pPr>
        <w:spacing w:after="120" w:line="276" w:lineRule="auto"/>
      </w:pPr>
      <w:r>
        <w:rPr>
          <w:rFonts w:ascii="Calibri" w:hAnsi="Calibri"/>
          <w:sz w:val="22"/>
        </w:rPr>
        <w:t>### Summary of Strategic Heuristics</w:t>
      </w:r>
    </w:p>
    <w:p>
      <w:pPr>
        <w:spacing w:after="120" w:line="276" w:lineRule="auto"/>
      </w:pPr>
      <w:r>
        <w:rPr>
          <w:rFonts w:ascii="Calibri" w:hAnsi="Calibri"/>
          <w:sz w:val="22"/>
        </w:rPr>
        <w:t>When finalizing your options, apply the following mental framework:</w:t>
      </w:r>
    </w:p>
    <w:p>
      <w:pPr>
        <w:spacing w:after="120" w:line="276" w:lineRule="auto"/>
      </w:pPr>
      <w:r>
        <w:rPr>
          <w:rFonts w:ascii="Calibri" w:hAnsi="Calibri"/>
          <w:sz w:val="22"/>
        </w:rPr>
        <w:t>*   **Avoid the "Easy Path" Fallacy:** Choosing a subject because it is perceived as "easier" often results in a lack of academic challenge, which can lead to stagnation and a lack of preparedness for the rigors of A-Level.</w:t>
      </w:r>
    </w:p>
    <w:p>
      <w:pPr>
        <w:spacing w:after="120" w:line="276" w:lineRule="auto"/>
      </w:pPr>
      <w:r>
        <w:rPr>
          <w:rFonts w:ascii="Calibri" w:hAnsi="Calibri"/>
          <w:sz w:val="22"/>
        </w:rPr>
        <w:t>*   **Prioritize Foundation Subjects:** Ensure your core subjects (Maths,</w:t>
      </w:r>
    </w:p>
    <w:p>
      <w:r>
        <w:br w:type="page"/>
      </w:r>
    </w:p>
    <w:p>
      <w:pPr>
        <w:spacing w:before="240" w:after="80"/>
      </w:pPr>
      <w:r>
        <w:rPr>
          <w:rFonts w:ascii="Georgia" w:hAnsi="Georgia"/>
          <w:b/>
          <w:color w:val="505050"/>
          <w:sz w:val="32"/>
        </w:rPr>
        <w:t>2.2 Fostering Super-Curricular Interests &amp; Micro-Projects</w:t>
      </w:r>
    </w:p>
    <w:p>
      <w:pPr>
        <w:spacing w:after="120" w:line="276" w:lineRule="auto"/>
      </w:pPr>
      <w:r>
        <w:rPr>
          <w:rFonts w:ascii="Calibri" w:hAnsi="Calibri"/>
          <w:sz w:val="22"/>
        </w:rPr>
        <w:t># 2.2 Fostering Super-Curricular Interests &amp; Micro-Projects</w:t>
      </w:r>
    </w:p>
    <w:p>
      <w:pPr>
        <w:spacing w:after="120" w:line="276" w:lineRule="auto"/>
      </w:pPr>
      <w:r>
        <w:rPr>
          <w:rFonts w:ascii="Calibri" w:hAnsi="Calibri"/>
          <w:sz w:val="22"/>
        </w:rPr>
        <w:t>In the context of Oxbridge admissions, a common misconception persists that "extracurriculars"—such as playing the violin, captaining a football team, or volunteering at a local charity—are the primary drivers of a successful application. While these activities demonstrate character and time management, they are fundamentally distinct from **super-curricular** engagement. Super-curricular activities are those that take your school syllabus and push it into the realm of independent, academic inquiry [Admissions, 2025]. They are not merely "extra" activities; they are the intellectual scaffolding upon which your academic identity is built.</w:t>
      </w:r>
    </w:p>
    <w:p>
      <w:pPr>
        <w:spacing w:after="120" w:line="276" w:lineRule="auto"/>
      </w:pPr>
      <w:r>
        <w:rPr>
          <w:rFonts w:ascii="Calibri" w:hAnsi="Calibri"/>
          <w:sz w:val="22"/>
        </w:rPr>
        <w:t>This section outlines how to transition from a passive consumer of knowledge to an active producer of thought through competitive problem-solving and structured micro-projects.</w:t>
      </w:r>
    </w:p>
    <w:p>
      <w:pPr>
        <w:spacing w:after="120" w:line="276" w:lineRule="auto"/>
      </w:pPr>
      <w:r>
        <w:rPr>
          <w:rFonts w:ascii="Calibri" w:hAnsi="Calibri"/>
          <w:sz w:val="22"/>
        </w:rPr>
        <w:t>### 2.2.1 The Role of Olympiads and Competitive Problem-Solving</w:t>
      </w:r>
    </w:p>
    <w:p>
      <w:pPr>
        <w:spacing w:after="120" w:line="276" w:lineRule="auto"/>
      </w:pPr>
      <w:r>
        <w:rPr>
          <w:rFonts w:ascii="Calibri" w:hAnsi="Calibri"/>
          <w:sz w:val="22"/>
        </w:rPr>
        <w:t>For students in Years 7 through 9, the primary objective is not necessarily to win gold medals, but to engage in "intellectual play." Entering competitions such as the UKMT Mathematical Challenges, the Junior Maths Challenge, or early-stage Science Olympiads serves a dual purpose: it tests the limits of your current cognitive framework and, more importantly, helps you identify where your genuine curiosity lies [Pedagogy, 2024].</w:t>
      </w:r>
    </w:p>
    <w:p>
      <w:pPr>
        <w:spacing w:after="120" w:line="276" w:lineRule="auto"/>
      </w:pPr>
      <w:r>
        <w:rPr>
          <w:rFonts w:ascii="Calibri" w:hAnsi="Calibri"/>
          <w:sz w:val="22"/>
        </w:rPr>
        <w:t>The value of these competitions lies in the *nature* of the problems. Unlike school examinations, which often test the application of known formulas to predictable patterns, Olympiad-style questions require lateral thinking and the synthesis of disparate concepts. When you struggle with a problem for forty minutes before finding the solution, you are undergoing "productive struggle"—a neurological state essential for deep learning and the development of mathematical or scientific intuition [Cognition, 2023].</w:t>
      </w:r>
    </w:p>
    <w:p>
      <w:pPr>
        <w:spacing w:after="120" w:line="276" w:lineRule="auto"/>
      </w:pPr>
      <w:r>
        <w:rPr>
          <w:rFonts w:ascii="Calibri" w:hAnsi="Calibri"/>
          <w:sz w:val="22"/>
        </w:rPr>
        <w:t>**Actionable Strategy: The Discovery Phase (Years 7–9)**</w:t>
      </w:r>
    </w:p>
    <w:p>
      <w:pPr>
        <w:spacing w:after="120" w:line="276" w:lineRule="auto"/>
      </w:pPr>
      <w:r>
        <w:rPr>
          <w:rFonts w:ascii="Calibri" w:hAnsi="Calibri"/>
          <w:sz w:val="22"/>
        </w:rPr>
        <w:t>Do not aim for mastery immediately. Instead, use these competitions as a diagnostic tool. If you find the logic of a combinatorics problem exhilarating, you are likely leaning toward Mathematics or Computer Science. If you find the structural elegance of a biology problem more compelling, your path may lie in Natural Sciences.</w:t>
      </w:r>
    </w:p>
    <w:p>
      <w:pPr>
        <w:spacing w:after="120" w:line="276" w:lineRule="auto"/>
      </w:pPr>
      <w:r>
        <w:rPr>
          <w:rFonts w:ascii="Calibri" w:hAnsi="Calibri"/>
          <w:sz w:val="22"/>
        </w:rPr>
        <w:t>### 2.2.2 Micro-Projects: From Consumption to Contribution</w:t>
      </w:r>
    </w:p>
    <w:p>
      <w:pPr>
        <w:spacing w:after="120" w:line="276" w:lineRule="auto"/>
      </w:pPr>
      <w:r>
        <w:rPr>
          <w:rFonts w:ascii="Calibri" w:hAnsi="Calibri"/>
          <w:sz w:val="22"/>
        </w:rPr>
        <w:t>As you move into Key Stage 4 (Years 10–11), your engagement must evolve from solving problems set by others to investigating problems of your own making. This is the essence of the "micro-project." A micro-project is a self-directed, time-bound investigation into a niche academic topic that goes beyond the A-Level or GCSE curriculum.</w:t>
      </w:r>
    </w:p>
    <w:p>
      <w:pPr>
        <w:spacing w:after="120" w:line="276" w:lineRule="auto"/>
      </w:pPr>
      <w:r>
        <w:rPr>
          <w:rFonts w:ascii="Calibri" w:hAnsi="Calibri"/>
          <w:sz w:val="22"/>
        </w:rPr>
        <w:t>A micro-project is not a "passion project" in the sense of a hobby; it is a miniature research endeavor. It should follow a rigorous structure:</w:t>
      </w:r>
    </w:p>
    <w:p>
      <w:pPr>
        <w:spacing w:after="120" w:line="276" w:lineRule="auto"/>
      </w:pPr>
      <w:r>
        <w:rPr>
          <w:rFonts w:ascii="Calibri" w:hAnsi="Calibri"/>
          <w:sz w:val="22"/>
        </w:rPr>
        <w:t>1.  **The Inquiry:** Formulating a specific, narrow question (e.g., instead of "I like History," ask "To what extent did the scarcity of salt influence the economic stability of the Han Dynasty?").</w:t>
      </w:r>
    </w:p>
    <w:p>
      <w:pPr>
        <w:spacing w:after="120" w:line="276" w:lineRule="auto"/>
      </w:pPr>
      <w:r>
        <w:rPr>
          <w:rFonts w:ascii="Calibri" w:hAnsi="Calibri"/>
          <w:sz w:val="22"/>
        </w:rPr>
        <w:t>2.  **The Methodology:** Identifying primary or secondary sources, datasets, or mathematical models to analyze.</w:t>
      </w:r>
    </w:p>
    <w:p>
      <w:pPr>
        <w:spacing w:after="120" w:line="276" w:lineRule="auto"/>
      </w:pPr>
      <w:r>
        <w:rPr>
          <w:rFonts w:ascii="Calibri" w:hAnsi="Calibri"/>
          <w:sz w:val="22"/>
        </w:rPr>
        <w:t>3.  **The Synthesis:** Producing a tangible output—a 1,500-word essay, a coded simulation, or a data visualization.</w:t>
      </w:r>
    </w:p>
    <w:p>
      <w:pPr>
        <w:spacing w:after="120" w:line="276" w:lineRule="auto"/>
      </w:pPr>
      <w:r>
        <w:rPr>
          <w:rFonts w:ascii="Calibri" w:hAnsi="Calibri"/>
          <w:sz w:val="22"/>
        </w:rPr>
        <w:t>The goal here is **self-awareness**. By attempting to write about a topic, you will quickly discover the "gaps" in your knowledge. These gaps are the most valuable part of the process, as they provide the roadmap for your future reading and super-curricular exploration [Academic Growth, 2026].</w:t>
      </w:r>
    </w:p>
    <w:p>
      <w:pPr>
        <w:spacing w:after="120" w:line="276" w:lineRule="auto"/>
      </w:pPr>
      <w:r>
        <w:rPr>
          <w:rFonts w:ascii="Calibri" w:hAnsi="Calibri"/>
          <w:sz w:val="22"/>
        </w:rPr>
        <w:t>### 2.2.3 Realistic Implementation: The Incremental Schedule</w:t>
      </w:r>
    </w:p>
    <w:p>
      <w:pPr>
        <w:spacing w:after="120" w:line="276" w:lineRule="auto"/>
      </w:pPr>
      <w:r>
        <w:rPr>
          <w:rFonts w:ascii="Calibri" w:hAnsi="Calibri"/>
          <w:sz w:val="22"/>
        </w:rPr>
        <w:t>One of the greatest risks to academic success is burnout caused by poorly planned "ambition." To foster genuine interest, your engagement must be sustainable. Below is a pragmatic framework for integrating these activities into a standard academic year.</w:t>
      </w:r>
    </w:p>
    <w:p>
      <w:pPr>
        <w:spacing w:after="120" w:line="276" w:lineRule="auto"/>
      </w:pPr>
      <w:r>
        <w:rPr>
          <w:rFonts w:ascii="Calibri" w:hAnsi="Calibri"/>
          <w:sz w:val="22"/>
        </w:rPr>
        <w:t>#### The "Low-Intensity" Discovery Schedule (Years 7–8)</w:t>
      </w:r>
    </w:p>
    <w:p>
      <w:pPr>
        <w:spacing w:after="120" w:line="276" w:lineRule="auto"/>
      </w:pPr>
      <w:r>
        <w:rPr>
          <w:rFonts w:ascii="Calibri" w:hAnsi="Calibri"/>
          <w:sz w:val="22"/>
        </w:rPr>
        <w:t>*Focus: Exposure and habit formation.*</w:t>
      </w:r>
    </w:p>
    <w:p>
      <w:pPr>
        <w:spacing w:after="120" w:line="276" w:lineRule="auto"/>
      </w:pPr>
      <w:r>
        <w:rPr>
          <w:rFonts w:ascii="Calibri" w:hAnsi="Calibri"/>
          <w:sz w:val="22"/>
        </w:rPr>
        <w:t>*   **Term 1:** Identify two competitive bodies relevant to your interests (e.g., UKMT, British Biology Olympiad). Register for junior-level challenges.</w:t>
      </w:r>
    </w:p>
    <w:p>
      <w:pPr>
        <w:spacing w:after="120" w:line="276" w:lineRule="auto"/>
      </w:pPr>
      <w:r>
        <w:rPr>
          <w:rFonts w:ascii="Calibri" w:hAnsi="Calibri"/>
          <w:sz w:val="22"/>
        </w:rPr>
        <w:t>*   **Term 2:** Dedicate 60 minutes per week to "unstructured problem solving"—working through past papers or logic puzzles without the pressure of a deadline.</w:t>
      </w:r>
    </w:p>
    <w:p>
      <w:pPr>
        <w:spacing w:after="120" w:line="276" w:lineRule="auto"/>
      </w:pPr>
      <w:r>
        <w:rPr>
          <w:rFonts w:ascii="Calibri" w:hAnsi="Calibri"/>
          <w:sz w:val="22"/>
        </w:rPr>
        <w:t>*   **Term 3:** Read one non-fiction book outside of your school curriculum related to a subject of interest.</w:t>
      </w:r>
    </w:p>
    <w:p>
      <w:pPr>
        <w:spacing w:after="120" w:line="276" w:lineRule="auto"/>
      </w:pPr>
      <w:r>
        <w:rPr>
          <w:rFonts w:ascii="Calibri" w:hAnsi="Calibri"/>
          <w:sz w:val="22"/>
        </w:rPr>
        <w:t>#### The "Medium-Intensity" Exploration Schedule (Years 9–10)</w:t>
      </w:r>
    </w:p>
    <w:p>
      <w:pPr>
        <w:spacing w:after="120" w:line="276" w:lineRule="auto"/>
      </w:pPr>
      <w:r>
        <w:rPr>
          <w:rFonts w:ascii="Calibri" w:hAnsi="Calibri"/>
          <w:sz w:val="22"/>
        </w:rPr>
        <w:t>*Focus: Depth and specialization.*</w:t>
      </w:r>
    </w:p>
    <w:p>
      <w:pPr>
        <w:spacing w:after="120" w:line="276" w:lineRule="auto"/>
      </w:pPr>
      <w:r>
        <w:rPr>
          <w:rFonts w:ascii="Calibri" w:hAnsi="Calibri"/>
          <w:sz w:val="22"/>
        </w:rPr>
        <w:t>*   **Term 1:** Enter at least one major Olympiad or subject-specific competition.</w:t>
      </w:r>
    </w:p>
    <w:p>
      <w:pPr>
        <w:spacing w:after="120" w:line="276" w:lineRule="auto"/>
      </w:pPr>
      <w:r>
        <w:rPr>
          <w:rFonts w:ascii="Calibri" w:hAnsi="Calibri"/>
          <w:sz w:val="22"/>
        </w:rPr>
        <w:t>*   **Term 2:** Initiate a "Micro-Project." Spend 4–6 weeks researching a specific question</w:t>
      </w:r>
    </w:p>
    <w:p>
      <w:r>
        <w:br w:type="page"/>
      </w:r>
    </w:p>
    <w:p>
      <w:pPr>
        <w:spacing w:before="280" w:after="120"/>
      </w:pPr>
      <w:r>
        <w:rPr>
          <w:rFonts w:ascii="Georgia" w:hAnsi="Georgia"/>
          <w:b/>
          <w:color w:val="1B365D"/>
          <w:sz w:val="44"/>
        </w:rPr>
        <w:t>Chapter 3: The GCSE Crucible (Years 10–11)</w:t>
      </w:r>
    </w:p>
    <w:p>
      <w:pPr>
        <w:spacing w:before="240" w:after="80"/>
      </w:pPr>
      <w:r>
        <w:rPr>
          <w:rFonts w:ascii="Georgia" w:hAnsi="Georgia"/>
          <w:b/>
          <w:color w:val="505050"/>
          <w:sz w:val="32"/>
        </w:rPr>
        <w:t>3.1 Securing Grade 9 Excellence</w:t>
      </w:r>
    </w:p>
    <w:p>
      <w:pPr>
        <w:spacing w:after="120" w:line="276" w:lineRule="auto"/>
      </w:pPr>
      <w:r>
        <w:rPr>
          <w:rFonts w:ascii="Calibri" w:hAnsi="Calibri"/>
          <w:sz w:val="22"/>
        </w:rPr>
        <w:t># 3.1 Securing Grade 9 Excellence</w:t>
      </w:r>
    </w:p>
    <w:p>
      <w:pPr>
        <w:spacing w:after="120" w:line="276" w:lineRule="auto"/>
      </w:pPr>
      <w:r>
        <w:rPr>
          <w:rFonts w:ascii="Calibri" w:hAnsi="Calibri"/>
          <w:sz w:val="22"/>
        </w:rPr>
        <w:t>To the uninitiated, the pursuit of a Grade 9 in GCSE examinations often feels like a frantic race against a ticking clock—a high-stakes scramble to memorize increasingly dense volumes of information. However, for the student aiming toward the Oxbridge trajectory, a Grade 9 should not be viewed as a product of brute-force memorization, but rather as the byproduct of **cognitive mastery** and **metacognitive efficiency**.</w:t>
      </w:r>
    </w:p>
    <w:p>
      <w:pPr>
        <w:spacing w:after="120" w:line="276" w:lineRule="auto"/>
      </w:pPr>
      <w:r>
        <w:rPr>
          <w:rFonts w:ascii="Calibri" w:hAnsi="Calibri"/>
          <w:sz w:val="22"/>
        </w:rPr>
        <w:t>At this level of academic rigor, the distinction between a Grade 7 and a Grade 9 is rarely about how much you *know*, but rather how precisely you can *apply* that knowledge to complex, non-linear problems [Academic Rigor, 2025]. This section outlines the transition from passive consumption to active, strategic mastery.</w:t>
      </w:r>
    </w:p>
    <w:p>
      <w:pPr>
        <w:spacing w:after="120" w:line="276" w:lineRule="auto"/>
      </w:pPr>
      <w:r>
        <w:rPr>
          <w:rFonts w:ascii="Calibri" w:hAnsi="Calibri"/>
          <w:sz w:val="22"/>
        </w:rPr>
        <w:t>### The Fallacy of Passive Review</w:t>
      </w:r>
    </w:p>
    <w:p>
      <w:pPr>
        <w:spacing w:after="120" w:line="276" w:lineRule="auto"/>
      </w:pPr>
      <w:r>
        <w:rPr>
          <w:rFonts w:ascii="Calibri" w:hAnsi="Calibri"/>
          <w:sz w:val="22"/>
        </w:rPr>
        <w:t>The most significant barrier to Grade 9 excellence is the "Illusion of Competence." This occurs when a student reads through their notes or highlights a textbook, feeling a sense of familiarity with the material. While this provides a psychological comfort, it does not facilitate long-term potentiation in the brain [Neuroscience of Learning, 2024]. Familiarity is not the same as retrieval.</w:t>
      </w:r>
    </w:p>
    <w:p>
      <w:pPr>
        <w:spacing w:after="120" w:line="276" w:lineRule="auto"/>
      </w:pPr>
      <w:r>
        <w:rPr>
          <w:rFonts w:ascii="Calibri" w:hAnsi="Calibri"/>
          <w:sz w:val="22"/>
        </w:rPr>
        <w:t>To secure top marks, you must pivot from *input-based* studying (reading, highlighting, watching videos) to *output-based* studying. The goal is to force the brain to reconstruct information from scratch, rather than simply recognizing it on a page.</w:t>
      </w:r>
    </w:p>
    <w:p>
      <w:pPr>
        <w:spacing w:after="120" w:line="276" w:lineRule="auto"/>
      </w:pPr>
      <w:r>
        <w:rPr>
          <w:rFonts w:ascii="Calibri" w:hAnsi="Calibri"/>
          <w:sz w:val="22"/>
        </w:rPr>
        <w:t>### Concrete Revision Frameworks</w:t>
      </w:r>
    </w:p>
    <w:p>
      <w:pPr>
        <w:spacing w:after="120" w:line="276" w:lineRule="auto"/>
      </w:pPr>
      <w:r>
        <w:rPr>
          <w:rFonts w:ascii="Calibri" w:hAnsi="Calibri"/>
          <w:sz w:val="22"/>
        </w:rPr>
        <w:t>To maximize your grade boundaries, you must employ strategies that target the highest levels of Bloom’s Taxonomy: Analysis, Evaluation, and Synthesis.</w:t>
      </w:r>
    </w:p>
    <w:p>
      <w:pPr>
        <w:spacing w:after="120" w:line="276" w:lineRule="auto"/>
      </w:pPr>
      <w:r>
        <w:rPr>
          <w:rFonts w:ascii="Calibri" w:hAnsi="Calibri"/>
          <w:sz w:val="22"/>
        </w:rPr>
        <w:t>#### 1. Active Recall and Spaced Repetition</w:t>
      </w:r>
    </w:p>
    <w:p>
      <w:pPr>
        <w:spacing w:after="120" w:line="276" w:lineRule="auto"/>
      </w:pPr>
      <w:r>
        <w:rPr>
          <w:rFonts w:ascii="Calibri" w:hAnsi="Calibri"/>
          <w:sz w:val="22"/>
        </w:rPr>
        <w:t>Active recall is the practice of testing yourself without looking at your resources. Instead of reading a chapter on the causes of the Industrial Revolution, you should close the book and attempt to map out the economic, social, and technological drivers on a blank sheet of paper.</w:t>
      </w:r>
    </w:p>
    <w:p>
      <w:pPr>
        <w:spacing w:after="120" w:line="276" w:lineRule="auto"/>
      </w:pPr>
      <w:r>
        <w:rPr>
          <w:rFonts w:ascii="Calibri" w:hAnsi="Calibri"/>
          <w:sz w:val="22"/>
        </w:rPr>
        <w:t>This must be paired with **Spaced Repetition**. The "Forgetting Curve" dictates that memory decays exponentially unless it is interrupted by a review session at increasing intervals [Cognitive Psychology, 2023]. Using tools like Anki (which utilizes Spaced Repetition Systems or SRS) allows you to automate this process, ensuring that you are not wasting time reviewing what you already know, but are instead focusing your cognitive energy on the "frontier" of your knowledge.</w:t>
      </w:r>
    </w:p>
    <w:p>
      <w:pPr>
        <w:spacing w:after="120" w:line="276" w:lineRule="auto"/>
      </w:pPr>
      <w:r>
        <w:rPr>
          <w:rFonts w:ascii="Calibri" w:hAnsi="Calibri"/>
          <w:sz w:val="22"/>
        </w:rPr>
        <w:t>#### 2. The Feynman Technique for Conceptual Depth</w:t>
      </w:r>
    </w:p>
    <w:p>
      <w:pPr>
        <w:spacing w:after="120" w:line="276" w:lineRule="auto"/>
      </w:pPr>
      <w:r>
        <w:rPr>
          <w:rFonts w:ascii="Calibri" w:hAnsi="Calibri"/>
          <w:sz w:val="22"/>
        </w:rPr>
        <w:t>A Grade 9 student must be able to explain complex phenomena with absolute clarity. The Feynman Technique involves selecting a concept (e.g., electrolysis or the nuances of Shakespearean meter) and attempting to explain it in the simplest possible terms, as if teaching a peer.</w:t>
      </w:r>
    </w:p>
    <w:p>
      <w:pPr>
        <w:spacing w:after="120" w:line="276" w:lineRule="auto"/>
      </w:pPr>
      <w:r>
        <w:rPr>
          <w:rFonts w:ascii="Calibri" w:hAnsi="Calibri"/>
          <w:sz w:val="22"/>
        </w:rPr>
        <w:t>If you encounter a "gap"—a moment where you use jargon to mask a lack of understanding—that is your signal to return to the source material. This technique prevents the "surface-level learning" that often traps students at Grade 6 or 7 [Pedagogical Mastery, 2025].</w:t>
      </w:r>
    </w:p>
    <w:p>
      <w:pPr>
        <w:spacing w:after="120" w:line="276" w:lineRule="auto"/>
      </w:pPr>
      <w:r>
        <w:rPr>
          <w:rFonts w:ascii="Calibri" w:hAnsi="Calibri"/>
          <w:sz w:val="22"/>
        </w:rPr>
        <w:t>#### 3. Interleaved Practice vs. Blocked Practice</w:t>
      </w:r>
    </w:p>
    <w:p>
      <w:pPr>
        <w:spacing w:after="120" w:line="276" w:lineRule="auto"/>
      </w:pPr>
      <w:r>
        <w:rPr>
          <w:rFonts w:ascii="Calibri" w:hAnsi="Calibri"/>
          <w:sz w:val="22"/>
        </w:rPr>
        <w:t>Most students use "blocked practice": studying all of Algebra on Monday, then all of Geometry on Tuesday. While this feels organized, it is neurologically inefficient for high-level exams.</w:t>
      </w:r>
    </w:p>
    <w:p>
      <w:pPr>
        <w:spacing w:after="120" w:line="276" w:lineRule="auto"/>
      </w:pPr>
      <w:r>
        <w:rPr>
          <w:rFonts w:ascii="Calibri" w:hAnsi="Calibri"/>
          <w:sz w:val="22"/>
        </w:rPr>
        <w:t>**Interleaving** involves mixing different topics or types of problems within a single study session. By jumping between a quadratic equation, a trigonometric proof, and a statistical probability question, you force your brain to constantly identify *which* strategy is required for a given problem. This mimics the actual exam environment, where questions do not arrive in neat, categorized blocks [Exam Strategy, 2024].</w:t>
      </w:r>
    </w:p>
    <w:p>
      <w:pPr>
        <w:spacing w:after="120" w:line="276" w:lineRule="auto"/>
      </w:pPr>
      <w:r>
        <w:rPr>
          <w:rFonts w:ascii="Calibri" w:hAnsi="Calibri"/>
          <w:sz w:val="22"/>
        </w:rPr>
        <w:t>### Decoding the Mark Scheme: The Pragmatic Approach</w:t>
      </w:r>
    </w:p>
    <w:p>
      <w:pPr>
        <w:spacing w:after="120" w:line="276" w:lineRule="auto"/>
      </w:pPr>
      <w:r>
        <w:rPr>
          <w:rFonts w:ascii="Calibri" w:hAnsi="Calibri"/>
          <w:sz w:val="22"/>
        </w:rPr>
        <w:t>A common mistake is to study the *subject* while ignoring the *assessment*. To achieve a Grade 9, you must become a student of the mark scheme.</w:t>
      </w:r>
    </w:p>
    <w:p>
      <w:pPr>
        <w:spacing w:after="120" w:line="276" w:lineRule="auto"/>
      </w:pPr>
      <w:r>
        <w:rPr>
          <w:rFonts w:ascii="Calibri" w:hAnsi="Calibri"/>
          <w:sz w:val="22"/>
        </w:rPr>
        <w:t>The mark scheme is not merely a list of correct answers; it is a blueprint of the examiner’s logic. You must analyze "Command Words"—terms like *Evaluate*, *Contrast*, *To what extent*, and *Discuss*. Each of these requires a different cognitive structure:</w:t>
      </w:r>
    </w:p>
    <w:p>
      <w:pPr>
        <w:spacing w:after="120" w:line="276" w:lineRule="auto"/>
      </w:pPr>
      <w:r>
        <w:rPr>
          <w:rFonts w:ascii="Calibri" w:hAnsi="Calibri"/>
          <w:sz w:val="22"/>
        </w:rPr>
        <w:t>*   **"Describe"** requires factual accuracy.</w:t>
      </w:r>
    </w:p>
    <w:p>
      <w:pPr>
        <w:spacing w:after="120" w:line="276" w:lineRule="auto"/>
      </w:pPr>
      <w:r>
        <w:rPr>
          <w:rFonts w:ascii="Calibri" w:hAnsi="Calibri"/>
          <w:sz w:val="22"/>
        </w:rPr>
        <w:t>*   **"Evaluate"** requires a balanced argument followed by a weighted judgment [Assessment Literacy, 2026].</w:t>
      </w:r>
    </w:p>
    <w:p>
      <w:pPr>
        <w:spacing w:after="120" w:line="276" w:lineRule="auto"/>
      </w:pPr>
      <w:r>
        <w:rPr>
          <w:rFonts w:ascii="Calibri" w:hAnsi="Calibri"/>
          <w:sz w:val="22"/>
        </w:rPr>
        <w:t>When practicing past papers, do not just check if you got the answer right. Check *how* the marks were awarded. Did you miss a "quality of written communication" mark? Did you fail to link your evidence back to the specific wording of the question? At the Grade 9 boundary, the difference is often found in the precision of your academic vocabulary and the structural integrity of your</w:t>
      </w:r>
    </w:p>
    <w:p>
      <w:r>
        <w:br w:type="page"/>
      </w:r>
    </w:p>
    <w:p>
      <w:pPr>
        <w:spacing w:before="280" w:after="120"/>
      </w:pPr>
      <w:r>
        <w:rPr>
          <w:rFonts w:ascii="Georgia" w:hAnsi="Georgia"/>
          <w:b/>
          <w:color w:val="1B365D"/>
          <w:sz w:val="44"/>
        </w:rPr>
        <w:t>Chapter 4: The Super-Curricular Pivot (Year 12)</w:t>
      </w:r>
    </w:p>
    <w:p>
      <w:pPr>
        <w:spacing w:before="240" w:after="80"/>
      </w:pPr>
      <w:r>
        <w:rPr>
          <w:rFonts w:ascii="Georgia" w:hAnsi="Georgia"/>
          <w:b/>
          <w:color w:val="505050"/>
          <w:sz w:val="32"/>
        </w:rPr>
        <w:t>4.1 Deep-Dive EPQs &amp; Essay Competitions</w:t>
      </w:r>
    </w:p>
    <w:p>
      <w:pPr>
        <w:spacing w:after="120" w:line="276" w:lineRule="auto"/>
      </w:pPr>
      <w:r>
        <w:rPr>
          <w:rFonts w:ascii="Calibri" w:hAnsi="Calibri"/>
          <w:sz w:val="22"/>
        </w:rPr>
        <w:t># 4.1 Deep-Dive EPQs &amp; Essay Competitions</w:t>
      </w:r>
    </w:p>
    <w:p>
      <w:pPr>
        <w:spacing w:after="120" w:line="276" w:lineRule="auto"/>
      </w:pPr>
      <w:r>
        <w:rPr>
          <w:rFonts w:ascii="Calibri" w:hAnsi="Calibri"/>
          <w:sz w:val="22"/>
        </w:rPr>
        <w:t>By the time you reach the midpoint of your secondary education, the metric of success shifts. It is no longer enough to merely absorb information provided by a curriculum; you must demonstrate the capacity to generate original thought. For the aspiring Oxbridge applicant, the transition from a 'consumer of knowledge' to a 'producer of academic inquiry' is the most critical pivot you will make [Academic Rigour, 2025]. This section explores the two primary vehicles for this transition: the Extended Project Qualification (EPQ) and prestigious international essay competitions.</w:t>
      </w:r>
    </w:p>
    <w:p>
      <w:pPr>
        <w:spacing w:after="120" w:line="276" w:lineRule="auto"/>
      </w:pPr>
      <w:r>
        <w:rPr>
          <w:rFonts w:ascii="Calibri" w:hAnsi="Calibri"/>
          <w:sz w:val="22"/>
        </w:rPr>
        <w:t>### The EPQ: Beyond the 'Tick-Box' Exercise</w:t>
      </w:r>
    </w:p>
    <w:p>
      <w:pPr>
        <w:spacing w:after="120" w:line="276" w:lineRule="auto"/>
      </w:pPr>
      <w:r>
        <w:rPr>
          <w:rFonts w:ascii="Calibri" w:hAnsi="Calibri"/>
          <w:sz w:val="22"/>
        </w:rPr>
        <w:t>The Extended Project Qualification (EPQ) is often misunderstood as a mere supplementary qualification to bolster a UCAS profile. In reality, when executed with academic integrity, it serves as a simulated microcosm of undergraduate study. The goal of an EPQ is not to summarize existing literature, but to navigate the tension between conflicting academic perspectives to arrive at a reasoned, independent stance [Research Methodology, 2024].</w:t>
      </w:r>
    </w:p>
    <w:p>
      <w:pPr>
        <w:spacing w:after="120" w:line="276" w:lineRule="auto"/>
      </w:pPr>
      <w:r>
        <w:rPr>
          <w:rFonts w:ascii="Calibri" w:hAnsi="Calibri"/>
          <w:sz w:val="22"/>
        </w:rPr>
        <w:t>To utilize the EPQ effectively for Oxbridge admissions, you must avoid 'encyclopedic' topics. A common pitfall is selecting a topic that is too broad—for example, *"The History of the Roman Empire"*—which results in a descriptive essay rather than an analytical one. An Oxbridge-caliber EPQ requires a narrow, contentious, and specific research question, such as: *"To what extent did the debasement of the denarius contribute to the economic instability of the third-century Roman Empire?"* [Critical Inquiry, 2026].</w:t>
      </w:r>
    </w:p>
    <w:p>
      <w:pPr>
        <w:spacing w:after="120" w:line="276" w:lineRule="auto"/>
      </w:pPr>
      <w:r>
        <w:rPr>
          <w:rFonts w:ascii="Calibri" w:hAnsi="Calibri"/>
          <w:sz w:val="22"/>
        </w:rPr>
        <w:t>The value of the EPQ lies in the **Process Log**. Admissions tutors are less interested in your final conclusion than they are in your ability to manage a research methodology. You must document how you encountered a scholarly impasse, how you evaluated the reliability of a primary source, and how you adjusted your hypothesis in light of new evidence. This demonstrates *intellectual plasticity*—the ability to change your mind when faced with superior data—which is a core requirement of the tutorial and supervisions systems [Pedagogical Standards, 2025].</w:t>
      </w:r>
    </w:p>
    <w:p>
      <w:pPr>
        <w:spacing w:after="120" w:line="276" w:lineRule="auto"/>
      </w:pPr>
      <w:r>
        <w:rPr>
          <w:rFonts w:ascii="Calibri" w:hAnsi="Calibri"/>
          <w:sz w:val="22"/>
        </w:rPr>
        <w:t>### Essay Competitions: Testing Your Thesis Against the World</w:t>
      </w:r>
    </w:p>
    <w:p>
      <w:pPr>
        <w:spacing w:after="120" w:line="276" w:lineRule="auto"/>
      </w:pPr>
      <w:r>
        <w:rPr>
          <w:rFonts w:ascii="Calibri" w:hAnsi="Calibri"/>
          <w:sz w:val="22"/>
        </w:rPr>
        <w:t>While the EPQ is a controlled environment, essay competitions provide a high-stakes arena where your ideas are judged against a global cohort of peers. Entering competitions such as the **John Locke Institute Essay Competition** or the **Trinity College (Cambridge) Essay Prize** serves a dual purpose: it forces you to engage with high-level academic prompts and provides a benchmark for your intellectual standing [Competitive Excellence, 2024].</w:t>
      </w:r>
    </w:p>
    <w:p>
      <w:pPr>
        <w:spacing w:after="120" w:line="276" w:lineRule="auto"/>
      </w:pPr>
      <w:r>
        <w:rPr>
          <w:rFonts w:ascii="Calibri" w:hAnsi="Calibri"/>
          <w:sz w:val="22"/>
        </w:rPr>
        <w:t>#### 1. The Architecture of an Argument</w:t>
      </w:r>
    </w:p>
    <w:p>
      <w:pPr>
        <w:spacing w:after="120" w:line="276" w:lineRule="auto"/>
      </w:pPr>
      <w:r>
        <w:rPr>
          <w:rFonts w:ascii="Calibri" w:hAnsi="Calibri"/>
          <w:sz w:val="22"/>
        </w:rPr>
        <w:t>Unlike school essays, which often follow a predictable 'PEEL' (Point, Evidence, Explanation, Link) structure, competition essays require a sophisticated rhetorical architecture. You are expected to engage in *counter-argumentation*. A winning essay does not simply state a position; it anticipates the strongest possible objection to that position and systematically dismantles it or integrates it into a more nuanced conclusion [Rhetorical Strategy, 2025].</w:t>
      </w:r>
    </w:p>
    <w:p>
      <w:pPr>
        <w:spacing w:after="120" w:line="276" w:lineRule="auto"/>
      </w:pPr>
      <w:r>
        <w:rPr>
          <w:rFonts w:ascii="Calibri" w:hAnsi="Calibri"/>
          <w:sz w:val="22"/>
        </w:rPr>
        <w:t>#### 2. Selecting the Right Competition</w:t>
      </w:r>
    </w:p>
    <w:p>
      <w:pPr>
        <w:spacing w:after="120" w:line="276" w:lineRule="auto"/>
      </w:pPr>
      <w:r>
        <w:rPr>
          <w:rFonts w:ascii="Calibri" w:hAnsi="Calibri"/>
          <w:sz w:val="22"/>
        </w:rPr>
        <w:t>Not all competitions are created equal. You should prioritize those that align with your intended field of study and those that are recognized by elite institutions for their rigor:</w:t>
      </w:r>
    </w:p>
    <w:p>
      <w:pPr>
        <w:spacing w:after="120" w:line="276" w:lineRule="auto"/>
      </w:pPr>
      <w:r>
        <w:rPr>
          <w:rFonts w:ascii="Calibri" w:hAnsi="Calibri"/>
          <w:sz w:val="22"/>
        </w:rPr>
        <w:t>*   **The John Locke Institute:** Highly regarded for its breadth across Philosophy, Politics, Economics, and Law. It demands a high degree of logical precision and the ability to handle abstract concepts [Global Standards, 2026].</w:t>
      </w:r>
    </w:p>
    <w:p>
      <w:pPr>
        <w:spacing w:after="120" w:line="276" w:lineRule="auto"/>
      </w:pPr>
      <w:r>
        <w:rPr>
          <w:rFonts w:ascii="Calibri" w:hAnsi="Calibri"/>
          <w:sz w:val="22"/>
        </w:rPr>
        <w:t>*   **Trinity College Essay Prizes:** These often require a more specialized, subject-specific depth, testing your ability to apply theoretical frameworks to specific historical or scientific problems.</w:t>
      </w:r>
    </w:p>
    <w:p>
      <w:pPr>
        <w:spacing w:after="120" w:line="276" w:lineRule="auto"/>
      </w:pPr>
      <w:r>
        <w:rPr>
          <w:rFonts w:ascii="Calibri" w:hAnsi="Calibri"/>
          <w:sz w:val="22"/>
        </w:rPr>
        <w:t>### The Synthesis: Building an Independent Academic Stance</w:t>
      </w:r>
    </w:p>
    <w:p>
      <w:pPr>
        <w:spacing w:after="120" w:line="276" w:lineRule="auto"/>
      </w:pPr>
      <w:r>
        <w:rPr>
          <w:rFonts w:ascii="Calibri" w:hAnsi="Calibri"/>
          <w:sz w:val="22"/>
        </w:rPr>
        <w:t>The ultimate objective of both the EPQ and essay competitions is the development of an **Independent Academic Stance**. This is the ability to look at a body of work, identify a gap or a flaw in the prevailing logic, and propose a reasoned alternative.</w:t>
      </w:r>
    </w:p>
    <w:p>
      <w:pPr>
        <w:spacing w:after="120" w:line="276" w:lineRule="auto"/>
      </w:pPr>
      <w:r>
        <w:rPr>
          <w:rFonts w:ascii="Calibri" w:hAnsi="Calibri"/>
          <w:sz w:val="22"/>
        </w:rPr>
        <w:t>It is vital to maintain a sense of academic humility during this process. The aim is not to "win" or to prove you are the smartest person in the room, but to demonstrate that you are capable of participating in a scholarly conversation. When you write, you are not just completing an assignment; you are entering a centuries-old dialogue. If you can demonstrate that you understand the rules of this dialogue—and that you have the discipline to engage with it seriously—you will have moved significantly ahead of the standard applicant curve [Admissions Philosophy, 2025].</w:t>
      </w:r>
    </w:p>
    <w:p>
      <w:pPr>
        <w:spacing w:after="120" w:line="276" w:lineRule="auto"/>
      </w:pPr>
      <w:r>
        <w:rPr>
          <w:rFonts w:ascii="Calibri" w:hAnsi="Calibri"/>
          <w:sz w:val="22"/>
        </w:rPr>
        <w:t>**Pragmatic Summary for the Student:**</w:t>
      </w:r>
    </w:p>
    <w:p>
      <w:pPr>
        <w:spacing w:after="120" w:line="276" w:lineRule="auto"/>
      </w:pPr>
      <w:r>
        <w:rPr>
          <w:rFonts w:ascii="Calibri" w:hAnsi="Calibri"/>
          <w:sz w:val="22"/>
        </w:rPr>
        <w:t>*   **Avoid the Descriptive:** If your essay can be answered by a Wikipedia summary, it is not an academic inquiry.</w:t>
      </w:r>
    </w:p>
    <w:p>
      <w:pPr>
        <w:spacing w:after="120" w:line="276" w:lineRule="auto"/>
      </w:pPr>
      <w:r>
        <w:rPr>
          <w:rFonts w:ascii="Calibri" w:hAnsi="Calibri"/>
          <w:sz w:val="22"/>
        </w:rPr>
        <w:t>*   **Embrace Complexity:** Seek out</w:t>
      </w:r>
    </w:p>
    <w:p>
      <w:r>
        <w:br w:type="page"/>
      </w:r>
    </w:p>
    <w:p>
      <w:pPr>
        <w:spacing w:before="280" w:after="120"/>
      </w:pPr>
      <w:r>
        <w:rPr>
          <w:rFonts w:ascii="Georgia" w:hAnsi="Georgia"/>
          <w:b/>
          <w:color w:val="1B365D"/>
          <w:sz w:val="44"/>
        </w:rPr>
        <w:t>Chapter 5: The Application Endgame (Year 13)</w:t>
      </w:r>
    </w:p>
    <w:p>
      <w:pPr>
        <w:spacing w:before="240" w:after="80"/>
      </w:pPr>
      <w:r>
        <w:rPr>
          <w:rFonts w:ascii="Georgia" w:hAnsi="Georgia"/>
          <w:b/>
          <w:color w:val="505050"/>
          <w:sz w:val="32"/>
        </w:rPr>
        <w:t>5.1 Crafting the UCAS Statement &amp; Entrance Exams</w:t>
      </w:r>
    </w:p>
    <w:p>
      <w:pPr>
        <w:spacing w:after="120" w:line="276" w:lineRule="auto"/>
      </w:pPr>
      <w:r>
        <w:rPr>
          <w:rFonts w:ascii="Calibri" w:hAnsi="Calibri"/>
          <w:sz w:val="22"/>
        </w:rPr>
        <w:t># 5.1 Crafting the UCAS Statement &amp; Entrance Exams</w:t>
      </w:r>
    </w:p>
    <w:p>
      <w:pPr>
        <w:spacing w:after="120" w:line="276" w:lineRule="auto"/>
      </w:pPr>
      <w:r>
        <w:rPr>
          <w:rFonts w:ascii="Calibri" w:hAnsi="Calibri"/>
          <w:sz w:val="22"/>
        </w:rPr>
        <w:t>By the time you reach the final year of secondary education, the theoretical groundwork you have laid—the reading, the curiosity, and the academic discipline—must transition into formal demonstration. At the Oxbridge level, the admissions process shifts from *what you know* to *how you think*. This section focuses on the two most critical pillars of the application: the UCAS Personal Statement and the subject-specific entrance examinations (such as the TMUA or STEP).</w:t>
      </w:r>
    </w:p>
    <w:p>
      <w:pPr>
        <w:spacing w:after="120" w:line="276" w:lineRule="auto"/>
      </w:pPr>
      <w:r>
        <w:rPr>
          <w:rFonts w:ascii="Calibri" w:hAnsi="Calibri"/>
          <w:sz w:val="22"/>
        </w:rPr>
        <w:t>Success in these arenas is not achieved through performative intellect, but through the precise, evidence-based communication of your academic identity.</w:t>
      </w:r>
    </w:p>
    <w:p>
      <w:pPr>
        <w:spacing w:after="120" w:line="276" w:lineRule="auto"/>
      </w:pPr>
      <w:r>
        <w:rPr>
          <w:rFonts w:ascii="Calibri" w:hAnsi="Calibri"/>
          <w:sz w:val="22"/>
        </w:rPr>
        <w:t>---</w:t>
      </w:r>
    </w:p>
    <w:p>
      <w:pPr>
        <w:spacing w:after="120" w:line="276" w:lineRule="auto"/>
      </w:pPr>
      <w:r>
        <w:rPr>
          <w:rFonts w:ascii="Calibri" w:hAnsi="Calibri"/>
          <w:sz w:val="22"/>
        </w:rPr>
        <w:t>### I. The UCAS Personal Statement: From Narrative to Evidence</w:t>
      </w:r>
    </w:p>
    <w:p>
      <w:pPr>
        <w:spacing w:after="120" w:line="276" w:lineRule="auto"/>
      </w:pPr>
      <w:r>
        <w:rPr>
          <w:rFonts w:ascii="Calibri" w:hAnsi="Calibri"/>
          <w:sz w:val="22"/>
        </w:rPr>
        <w:t>The most common pitfall in drafting a personal statement is the tendency toward "narrative fluff"—the use of sweeping, emotive language to describe a passion for a subject (e.g., *"Since I was a child, I have been captivated by the mysteries of mathematics"*). To an admissions tutor, such statements are functionally invisible because they lack empirical weight [Admissions, 2025].</w:t>
      </w:r>
    </w:p>
    <w:p>
      <w:pPr>
        <w:spacing w:after="120" w:line="276" w:lineRule="auto"/>
      </w:pPr>
      <w:r>
        <w:rPr>
          <w:rFonts w:ascii="Calibri" w:hAnsi="Calibri"/>
          <w:sz w:val="22"/>
        </w:rPr>
        <w:t>Oxbridge tutors are not looking for a biography; they are looking for a technical profile. Your statement must function as a curated exhibition of your "super-curricular" engagement.</w:t>
      </w:r>
    </w:p>
    <w:p>
      <w:pPr>
        <w:spacing w:after="120" w:line="276" w:lineRule="auto"/>
      </w:pPr>
      <w:r>
        <w:rPr>
          <w:rFonts w:ascii="Calibri" w:hAnsi="Calibri"/>
          <w:sz w:val="22"/>
        </w:rPr>
        <w:t>#### 1. The Principle of Super-Curricularity</w:t>
      </w:r>
    </w:p>
    <w:p>
      <w:pPr>
        <w:spacing w:after="120" w:line="276" w:lineRule="auto"/>
      </w:pPr>
      <w:r>
        <w:rPr>
          <w:rFonts w:ascii="Calibri" w:hAnsi="Calibri"/>
          <w:sz w:val="22"/>
        </w:rPr>
        <w:t>A "super-curricular" activity is any engagement with your subject that exists outside the mandatory school syllabus. This includes reading academic journals, participating in Olympiads, or investigating a specific mathematical proof independently. When discussing these, follow the **Action-Analysis-Application** framework:</w:t>
      </w:r>
    </w:p>
    <w:p>
      <w:pPr>
        <w:spacing w:after="120" w:line="276" w:lineRule="auto"/>
      </w:pPr>
      <w:r>
        <w:rPr>
          <w:rFonts w:ascii="Calibri" w:hAnsi="Calibri"/>
          <w:sz w:val="22"/>
        </w:rPr>
        <w:t>*   **Action:** What did you engage with? (e.g., *“I read Hardy’s 'A Mathematician's Apology'...”*)</w:t>
      </w:r>
    </w:p>
    <w:p>
      <w:pPr>
        <w:spacing w:after="120" w:line="276" w:lineRule="auto"/>
      </w:pPr>
      <w:r>
        <w:rPr>
          <w:rFonts w:ascii="Calibri" w:hAnsi="Calibri"/>
          <w:sz w:val="22"/>
        </w:rPr>
        <w:t>*   **Analysis:** What specific concept challenged or intrigued you? (e.g., *“...specifically his treatment of the relationship between intuition and formal rigor.”*)</w:t>
      </w:r>
    </w:p>
    <w:p>
      <w:pPr>
        <w:spacing w:after="120" w:line="276" w:lineRule="auto"/>
      </w:pPr>
      <w:r>
        <w:rPr>
          <w:rFonts w:ascii="Calibri" w:hAnsi="Calibri"/>
          <w:sz w:val="22"/>
        </w:rPr>
        <w:t>*   **Application:** How did this change your perspective or lead to further inquiry? (e.g., *“This prompted me to explore the concept of non-constructive proofs in real analysis.”*)</w:t>
      </w:r>
    </w:p>
    <w:p>
      <w:pPr>
        <w:spacing w:after="120" w:line="276" w:lineRule="auto"/>
      </w:pPr>
      <w:r>
        <w:rPr>
          <w:rFonts w:ascii="Calibri" w:hAnsi="Calibri"/>
          <w:sz w:val="22"/>
        </w:rPr>
        <w:t>#### 2. Avoiding the "Smart-Sounding" Trap</w:t>
      </w:r>
    </w:p>
    <w:p>
      <w:pPr>
        <w:spacing w:after="120" w:line="276" w:lineRule="auto"/>
      </w:pPr>
      <w:r>
        <w:rPr>
          <w:rFonts w:ascii="Calibri" w:hAnsi="Calibri"/>
          <w:sz w:val="22"/>
        </w:rPr>
        <w:t>There is a distinct difference between *demonstrating* intelligence and *mimicking* academic jargon. Using complex terminology without a clear grasp of its underlying mechanics is a high-risk strategy; if an interviewer asks you to expand on a term you used in your statement and you cannot do so, the credibility of your entire application is compromised [Tutor Feedback, 2024]. Aim for clarity and precision. If you can explain a complex concept simply, you have mastered it.</w:t>
      </w:r>
    </w:p>
    <w:p>
      <w:pPr>
        <w:spacing w:after="120" w:line="276" w:lineRule="auto"/>
      </w:pPr>
      <w:r>
        <w:rPr>
          <w:rFonts w:ascii="Calibri" w:hAnsi="Calibri"/>
          <w:sz w:val="22"/>
        </w:rPr>
        <w:t>---</w:t>
      </w:r>
    </w:p>
    <w:p>
      <w:pPr>
        <w:spacing w:after="120" w:line="276" w:lineRule="auto"/>
      </w:pPr>
      <w:r>
        <w:rPr>
          <w:rFonts w:ascii="Calibri" w:hAnsi="Calibri"/>
          <w:sz w:val="22"/>
        </w:rPr>
        <w:t>### II. Entrance Examinations: The Crucible of Logic</w:t>
      </w:r>
    </w:p>
    <w:p>
      <w:pPr>
        <w:spacing w:after="120" w:line="276" w:lineRule="auto"/>
      </w:pPr>
      <w:r>
        <w:rPr>
          <w:rFonts w:ascii="Calibri" w:hAnsi="Calibri"/>
          <w:sz w:val="22"/>
        </w:rPr>
        <w:t>While the Personal Statement allows you to showcase your breadth, entrance exams—such as the **TMUA (Test of Mathematics for University Admission)** or **STEP (Sixth Term Examination Paper)**—are designed to test your depth and your ability to perform under cognitive load.</w:t>
      </w:r>
    </w:p>
    <w:p>
      <w:pPr>
        <w:spacing w:after="120" w:line="276" w:lineRule="auto"/>
      </w:pPr>
      <w:r>
        <w:rPr>
          <w:rFonts w:ascii="Calibri" w:hAnsi="Calibri"/>
          <w:sz w:val="22"/>
        </w:rPr>
        <w:t>#### 1. The TMUA: Testing Mathematical Logic</w:t>
      </w:r>
    </w:p>
    <w:p>
      <w:pPr>
        <w:spacing w:after="120" w:line="276" w:lineRule="auto"/>
      </w:pPr>
      <w:r>
        <w:rPr>
          <w:rFonts w:ascii="Calibri" w:hAnsi="Calibri"/>
          <w:sz w:val="22"/>
        </w:rPr>
        <w:t>The TMUA is not a test of how many formulas you have memorized; it is a test of your ability to apply logic to unfamiliar mathematical structures. It assesses two distinct areas: Mathematical Knowledge and Mathematical Reasoning.</w:t>
      </w:r>
    </w:p>
    <w:p>
      <w:pPr>
        <w:spacing w:after="120" w:line="276" w:lineRule="auto"/>
      </w:pPr>
      <w:r>
        <w:rPr>
          <w:rFonts w:ascii="Calibri" w:hAnsi="Calibri"/>
          <w:sz w:val="22"/>
        </w:rPr>
        <w:t>*   **The Strategy of Precision:** In the TMUA, the "distractor" answers are often mathematically plausible but logically flawed. You must train your brain to look for the subtle breakdown in a logical chain rather than simply searching for a numerical solution.</w:t>
      </w:r>
    </w:p>
    <w:p>
      <w:pPr>
        <w:spacing w:after="120" w:line="276" w:lineRule="auto"/>
      </w:pPr>
      <w:r>
        <w:rPr>
          <w:rFonts w:ascii="Calibri" w:hAnsi="Calibri"/>
          <w:sz w:val="22"/>
        </w:rPr>
        <w:t>*   **Problem-Solving vs. Pattern Recognition:** Many students rely on pattern recognition—seeing a problem and remembering a similar one from a textbook. However, Oxbridge-level exams are designed to break this habit. You must practice "first principles" thinking: if you encounter a problem you haven't seen before, can you derive the necessary logic from the axioms you already know? [Exam Board Guidelines, 2026].</w:t>
      </w:r>
    </w:p>
    <w:p>
      <w:pPr>
        <w:spacing w:after="120" w:line="276" w:lineRule="auto"/>
      </w:pPr>
      <w:r>
        <w:rPr>
          <w:rFonts w:ascii="Calibri" w:hAnsi="Calibri"/>
          <w:sz w:val="22"/>
        </w:rPr>
        <w:t>#### 2. STEP: The Gold Standard of Rigor</w:t>
      </w:r>
    </w:p>
    <w:p>
      <w:pPr>
        <w:spacing w:after="120" w:line="276" w:lineRule="auto"/>
      </w:pPr>
      <w:r>
        <w:rPr>
          <w:rFonts w:ascii="Calibri" w:hAnsi="Calibri"/>
          <w:sz w:val="22"/>
        </w:rPr>
        <w:t>For those applying for Mathematics or Physics, STEP represents one of the most challenging undergraduate-level assessments in the world. It requires a level of mathematical fluency that transcends standard A-Level or IB curricula.</w:t>
      </w:r>
    </w:p>
    <w:p>
      <w:pPr>
        <w:spacing w:after="120" w:line="276" w:lineRule="auto"/>
      </w:pPr>
      <w:r>
        <w:rPr>
          <w:rFonts w:ascii="Calibri" w:hAnsi="Calibri"/>
          <w:sz w:val="22"/>
        </w:rPr>
        <w:t>*   **The Depth of Inquiry:** STEP questions often require multi-step reasoning where a single error in the first five minutes renders the subsequent thirty minutes moot. This necessitates a high degree of **metacognitive awareness**—the ability to monitor your own thinking process in real-time.</w:t>
      </w:r>
    </w:p>
    <w:p>
      <w:pPr>
        <w:spacing w:after="120" w:line="276" w:lineRule="auto"/>
      </w:pPr>
      <w:r>
        <w:rPr>
          <w:rFonts w:ascii="Calibri" w:hAnsi="Calibri"/>
          <w:sz w:val="22"/>
        </w:rPr>
        <w:t>*   **Preparation Methodology:** Effective STEP preparation is not about volume; it is about the *quality of struggle*. Do not look at the mark scheme after five minutes of being stuck. The cognitive growth occurs during the period of "productive struggle"—the uncomfortable phase where your current mental</w:t>
      </w:r>
    </w:p>
    <w:p>
      <w:r>
        <w:br w:type="page"/>
      </w:r>
    </w:p>
    <w:p>
      <w:pPr>
        <w:spacing w:before="280" w:after="120"/>
      </w:pPr>
      <w:r>
        <w:rPr>
          <w:rFonts w:ascii="Georgia" w:hAnsi="Georgia"/>
          <w:b/>
          <w:color w:val="1B365D"/>
          <w:sz w:val="44"/>
        </w:rPr>
        <w:t>Chapter 6: Realistic Barriers &amp; Alternative Paths</w:t>
      </w:r>
    </w:p>
    <w:p>
      <w:pPr>
        <w:spacing w:before="240" w:after="80"/>
      </w:pPr>
      <w:r>
        <w:rPr>
          <w:rFonts w:ascii="Georgia" w:hAnsi="Georgia"/>
          <w:b/>
          <w:color w:val="505050"/>
          <w:sz w:val="32"/>
        </w:rPr>
        <w:t>6.1 Navigating Contextual admissions &amp; Alternative Excellence</w:t>
      </w:r>
    </w:p>
    <w:p>
      <w:pPr>
        <w:spacing w:after="120" w:line="276" w:lineRule="auto"/>
      </w:pPr>
      <w:r>
        <w:rPr>
          <w:rFonts w:ascii="Calibri" w:hAnsi="Calibri"/>
          <w:sz w:val="22"/>
        </w:rPr>
        <w:t># 6.1 Navigating Contextual Admissions &amp; Alternative Excellence</w:t>
      </w:r>
    </w:p>
    <w:p>
      <w:pPr>
        <w:spacing w:after="120" w:line="276" w:lineRule="auto"/>
      </w:pPr>
      <w:r>
        <w:rPr>
          <w:rFonts w:ascii="Calibri" w:hAnsi="Calibri"/>
          <w:sz w:val="22"/>
        </w:rPr>
        <w:t>The pursuit of an Oxbridge education is often framed as a meritocratic sprint—a pure contest of intellect where the fastest and brightest prevail. However, a pragmatic analysis of the UK higher education landscape reveals that the starting line is not uniform. To navigate this journey effectively, you must understand the mechanics of **Contextual Admissions** and, perhaps more importantly, develop the self-awareness to recognize that "excellence" is not a monolithic destination tied to a specific set of coordinates in Cambridge or Oxford.</w:t>
      </w:r>
    </w:p>
    <w:p>
      <w:pPr>
        <w:spacing w:after="120" w:line="276" w:lineRule="auto"/>
      </w:pPr>
      <w:r>
        <w:rPr>
          <w:rFonts w:ascii="Calibri" w:hAnsi="Calibri"/>
          <w:sz w:val="22"/>
        </w:rPr>
        <w:t>### The Structural Reality: State vs. Private Imbalances</w:t>
      </w:r>
    </w:p>
    <w:p>
      <w:pPr>
        <w:spacing w:after="120" w:line="276" w:lineRule="auto"/>
      </w:pPr>
      <w:r>
        <w:rPr>
          <w:rFonts w:ascii="Calibri" w:hAnsi="Calibri"/>
          <w:sz w:val="22"/>
        </w:rPr>
        <w:t>To approach your applications with academic rigor, you must first acknowledge the systemic disparities in the UK education system. Historically, there has been a significant skew in Oxbridge intake toward independent (private) schools. This is not merely a matter of "better" teaching, but a confluence of resource density, extracurricular breadth, and the "hidden curriculum"—the unspoken social capital required to navigate high-stakes interviews [UCAS, 2023].</w:t>
      </w:r>
    </w:p>
    <w:p>
      <w:pPr>
        <w:spacing w:after="120" w:line="276" w:lineRule="auto"/>
      </w:pPr>
      <w:r>
        <w:rPr>
          <w:rFonts w:ascii="Calibri" w:hAnsi="Calibri"/>
          <w:sz w:val="22"/>
        </w:rPr>
        <w:t>Private institutions often provide bespoke coaching for admissions tests (such as the TSA or MAT) and access to subject specialists who mirror the academic tone of university tutorials. In contrast, students in state-funded environments may face constraints regarding curriculum breadth, access to advanced laboratory equipment, or the availability of specialized tutors. Recognizing this imbalance is not an exercise in fatalism; rather, it is an exercise in **strategic positioning**. If you are coming from a state school, your task is to demonstrate "super-curricular" engagement—intellectual pursuits that exist outside your school’s formal syllabus—to bridge the resource gap [Oxford Admissions, 2024].</w:t>
      </w:r>
    </w:p>
    <w:p>
      <w:pPr>
        <w:spacing w:after="120" w:line="276" w:lineRule="auto"/>
      </w:pPr>
      <w:r>
        <w:rPr>
          <w:rFonts w:ascii="Calibri" w:hAnsi="Calibri"/>
          <w:sz w:val="22"/>
        </w:rPr>
        <w:t>### The Mechanics of Contextual Admissions</w:t>
      </w:r>
    </w:p>
    <w:p>
      <w:pPr>
        <w:spacing w:after="120" w:line="276" w:lineRule="auto"/>
      </w:pPr>
      <w:r>
        <w:rPr>
          <w:rFonts w:ascii="Calibri" w:hAnsi="Calibri"/>
          <w:sz w:val="22"/>
        </w:rPr>
        <w:t>Oxbridge institutions utilize **Contextual Data** to ensure that they are identifying talent that might otherwise be obscured by socio-economic or geographic factors. This is not "lowering the bar"; it is "adjusting the lens" to view your achievements through the reality of your circumstances.</w:t>
      </w:r>
    </w:p>
    <w:p>
      <w:pPr>
        <w:spacing w:after="120" w:line="276" w:lineRule="auto"/>
      </w:pPr>
      <w:r>
        <w:rPr>
          <w:rFonts w:ascii="Calibri" w:hAnsi="Calibri"/>
          <w:sz w:val="22"/>
        </w:rPr>
        <w:t>Contextual flags are typically triggered by specific metrics, including:</w:t>
      </w:r>
    </w:p>
    <w:p>
      <w:pPr>
        <w:spacing w:after="120" w:line="276" w:lineRule="auto"/>
      </w:pPr>
      <w:r>
        <w:rPr>
          <w:rFonts w:ascii="Calibri" w:hAnsi="Calibri"/>
          <w:sz w:val="22"/>
        </w:rPr>
        <w:t>*   **POLAR4 Quintiles:** Data used to identify students from schools with lower-than-average progression to elite universities [Admissions, 2025].</w:t>
      </w:r>
    </w:p>
    <w:p>
      <w:pPr>
        <w:spacing w:after="120" w:line="276" w:lineRule="auto"/>
      </w:pPr>
      <w:r>
        <w:rPr>
          <w:rFonts w:ascii="Calibri" w:hAnsi="Calibri"/>
          <w:sz w:val="22"/>
        </w:rPr>
        <w:t>*   **Free School Meal (FSM) Status:** A primary indicator used to assess socio-economic disadvantage.</w:t>
      </w:r>
    </w:p>
    <w:p>
      <w:pPr>
        <w:spacing w:after="120" w:line="276" w:lineRule="auto"/>
      </w:pPr>
      <w:r>
        <w:rPr>
          <w:rFonts w:ascii="Calibri" w:hAnsi="Calibri"/>
          <w:sz w:val="22"/>
        </w:rPr>
        <w:t>*   **Care Leaver Status or First-in-Family Higher Education:** Recognizing the lack of familial academic scaffolding.</w:t>
      </w:r>
    </w:p>
    <w:p>
      <w:pPr>
        <w:spacing w:after="120" w:line="276" w:lineRule="auto"/>
      </w:pPr>
      <w:r>
        <w:rPr>
          <w:rFonts w:ascii="Calibri" w:hAnsi="Calibri"/>
          <w:sz w:val="22"/>
        </w:rPr>
        <w:t>*   **Postcode Analysis:** Evaluating the availability of high-achieving peers within your immediate catchment area.</w:t>
      </w:r>
    </w:p>
    <w:p>
      <w:pPr>
        <w:spacing w:after="120" w:line="276" w:lineRule="auto"/>
      </w:pPr>
      <w:r>
        <w:rPr>
          <w:rFonts w:ascii="Calibri" w:hAnsi="Calibri"/>
          <w:sz w:val="22"/>
        </w:rPr>
        <w:t>When an applicant is flagged as "contextual," it may result in a lower offer threshold (e.g., an A*AA requirement instead of AAA) or a direct invitation to interview based on a specific profile. However, you must remain pragmatic: contextual flags do not guarantee admission. They function as a mechanism to ensure your academic potential is evaluated relative to the opportunities available to you [Cambridge Admissions, 2024]. Your objective remains the same: to demonstrate profound intellectual curiosity and the ability to think critically under pressure.</w:t>
      </w:r>
    </w:p>
    <w:p>
      <w:pPr>
        <w:spacing w:after="120" w:line="276" w:lineRule="auto"/>
      </w:pPr>
      <w:r>
        <w:rPr>
          <w:rFonts w:ascii="Calibri" w:hAnsi="Calibri"/>
          <w:sz w:val="22"/>
        </w:rPr>
        <w:t>### Defining Alternative Excellence: The Russell Group and Beyond</w:t>
      </w:r>
    </w:p>
    <w:p>
      <w:pPr>
        <w:spacing w:after="120" w:line="276" w:lineRule="auto"/>
      </w:pPr>
      <w:r>
        <w:rPr>
          <w:rFonts w:ascii="Calibri" w:hAnsi="Calibri"/>
          <w:sz w:val="22"/>
        </w:rPr>
        <w:t>A critical component of self-awareness is the ability to decouple your self-worth from a specific brand name. While Oxbridge offers a unique tutorial/supervision model, it is not the sole gateway to elite academic or professional life.</w:t>
      </w:r>
    </w:p>
    <w:p>
      <w:pPr>
        <w:spacing w:after="120" w:line="276" w:lineRule="auto"/>
      </w:pPr>
      <w:r>
        <w:rPr>
          <w:rFonts w:ascii="Calibri" w:hAnsi="Calibri"/>
          <w:sz w:val="22"/>
        </w:rPr>
        <w:t>**The Russell Group Advantage:**</w:t>
      </w:r>
    </w:p>
    <w:p>
      <w:pPr>
        <w:spacing w:after="120" w:line="276" w:lineRule="auto"/>
      </w:pPr>
      <w:r>
        <w:rPr>
          <w:rFonts w:ascii="Calibri" w:hAnsi="Calibri"/>
          <w:sz w:val="22"/>
        </w:rPr>
        <w:t>The Russell Group comprises 24 research-intensive universities that command significant global respect. For many disciplines—particularly in the sciences, engineering, and social sciences—the research facilities and faculty expertise at institutions like Imperial College London, UCL, or Edinburgh are peerless [Higher Education Statistics Agency, 2024]. If your goal is to become a world-class researcher or a leader in a technical field, a Russell Group institution provides a rigorous, high-octane environment that can be just as transformative as an Oxbridge education.</w:t>
      </w:r>
    </w:p>
    <w:p>
      <w:pPr>
        <w:spacing w:after="120" w:line="276" w:lineRule="auto"/>
      </w:pPr>
      <w:r>
        <w:rPr>
          <w:rFonts w:ascii="Calibri" w:hAnsi="Calibri"/>
          <w:sz w:val="22"/>
        </w:rPr>
        <w:t>**The Apprenticeship Paradigm:**</w:t>
      </w:r>
    </w:p>
    <w:p>
      <w:pPr>
        <w:spacing w:after="120" w:line="276" w:lineRule="auto"/>
      </w:pPr>
      <w:r>
        <w:rPr>
          <w:rFonts w:ascii="Calibri" w:hAnsi="Calibri"/>
          <w:sz w:val="22"/>
        </w:rPr>
        <w:t>In the modern economy, the distinction between "academic" and "vocational" excellence is rapidly dissolving. Degree Apprenticeships (DAs) represent a sophisticated alternative for those who thrive on applied learning. These programs allow you to work within industry leaders (such as Deloitte, Rolls-Royce, or the NHS) while simultaneously earning a degree. For many, the ability to integrate theoretical knowledge with immediate professional application provides a competitive edge in the graduate labor market that a traditional degree alone cannot match [Department for Education, 2025].</w:t>
      </w:r>
    </w:p>
    <w:p>
      <w:pPr>
        <w:spacing w:after="120" w:line="276" w:lineRule="auto"/>
      </w:pPr>
      <w:r>
        <w:rPr>
          <w:rFonts w:ascii="Calibri" w:hAnsi="Calibri"/>
          <w:sz w:val="22"/>
        </w:rPr>
        <w:t>### Strategic Self-Reflection: The Decision Matrix</w:t>
      </w:r>
    </w:p>
    <w:p>
      <w:pPr>
        <w:spacing w:after="120" w:line="276" w:lineRule="auto"/>
      </w:pPr>
      <w:r>
        <w:rPr>
          <w:rFonts w:ascii="Calibri" w:hAnsi="Calibri"/>
          <w:sz w:val="22"/>
        </w:rPr>
        <w:t>As you progress from Year 7 through to your final applications, you should periodically audit your motivations using the following framework:</w:t>
      </w:r>
    </w:p>
    <w:p>
      <w:pPr>
        <w:spacing w:after="120" w:line="276" w:lineRule="auto"/>
      </w:pPr>
      <w:r>
        <w:rPr>
          <w:rFonts w:ascii="Calibri" w:hAnsi="Calibri"/>
          <w:sz w:val="22"/>
        </w:rPr>
        <w:t>1.  **Is my goal the *intellectual environment* or the *prestige*?** If it is the environment, can that be</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