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hd w:fill="1F4E79" w:val="clear"/>
        <w:spacing w:after="0" w:before="0"/>
        <w:jc w:val="center"/>
      </w:pPr>
      <w:r>
        <w:rPr>
          <w:sz w:val="10"/>
          <w:szCs w:val="10"/>
        </w:rPr>
        <w:t xml:space="preserve"> </w:t>
      </w:r>
    </w:p>
    <w:p>
      <w:pPr>
        <w:shd w:fill="1F4E79" w:val="clear"/>
        <w:spacing w:after="0" w:before="200"/>
        <w:jc w:val="center"/>
      </w:pPr>
      <w:r>
        <w:rPr>
          <w:rFonts w:ascii="Arial" w:cs="Arial" w:eastAsia="Arial" w:hAnsi="Arial"/>
          <w:b/>
          <w:bCs/>
          <w:color w:val="FFFFFF"/>
          <w:sz w:val="64"/>
          <w:szCs w:val="64"/>
        </w:rPr>
        <w:t xml:space="preserve">ShopSmart USA</w:t>
      </w:r>
    </w:p>
    <w:p>
      <w:pPr>
        <w:shd w:fill="1F4E79" w:val="clear"/>
        <w:spacing w:after="0" w:before="80"/>
        <w:jc w:val="center"/>
      </w:pPr>
      <w:r>
        <w:rPr>
          <w:rFonts w:ascii="Arial" w:cs="Arial" w:eastAsia="Arial" w:hAnsi="Arial"/>
          <w:color w:val="BDD7EE"/>
          <w:sz w:val="36"/>
          <w:szCs w:val="36"/>
        </w:rPr>
        <w:t xml:space="preserve">Comprehensive Data Analysis Report</w:t>
      </w:r>
    </w:p>
    <w:p>
      <w:pPr>
        <w:shd w:fill="1F4E79" w:val="clear"/>
        <w:spacing w:after="200" w:before="60"/>
        <w:jc w:val="center"/>
      </w:pPr>
      <w:r>
        <w:rPr>
          <w:rFonts w:ascii="Arial" w:cs="Arial" w:eastAsia="Arial" w:hAnsi="Arial"/>
          <w:i/>
          <w:iCs/>
          <w:color w:val="AAAAAA"/>
          <w:sz w:val="24"/>
          <w:szCs w:val="24"/>
        </w:rPr>
        <w:t xml:space="preserve">Customer Behavior, Sales Performance &amp; Business Intelligence</w:t>
      </w:r>
    </w:p>
    <w:p>
      <w:pPr>
        <w:spacing w:after="80" w:before="80"/>
      </w:pPr>
      <w:r>
        <w:t xml:space="preserve"/>
      </w:r>
    </w:p>
    <w:p>
      <w:pPr>
        <w:jc w:val="center"/>
      </w:pPr>
      <w:r>
        <w:rPr>
          <w:rFonts w:ascii="Arial" w:cs="Arial" w:eastAsia="Arial" w:hAnsi="Arial"/>
          <w:color w:val="555555"/>
          <w:sz w:val="22"/>
          <w:szCs w:val="22"/>
        </w:rPr>
        <w:t xml:space="preserve">Prepared by:</w:t>
      </w:r>
    </w:p>
    <w:p>
      <w:pPr>
        <w:jc w:val="center"/>
      </w:pPr>
      <w:r>
        <w:rPr>
          <w:rFonts w:ascii="Arial" w:cs="Arial" w:eastAsia="Arial" w:hAnsi="Arial"/>
          <w:b/>
          <w:bCs/>
          <w:color w:val="1F4E79"/>
          <w:sz w:val="36"/>
          <w:szCs w:val="36"/>
        </w:rPr>
        <w:t xml:space="preserve">Piyas Emon</w:t>
      </w:r>
    </w:p>
    <w:p>
      <w:pPr>
        <w:jc w:val="center"/>
      </w:pPr>
      <w:r>
        <w:rPr>
          <w:rFonts w:ascii="Arial" w:cs="Arial" w:eastAsia="Arial" w:hAnsi="Arial"/>
          <w:color w:val="777777"/>
          <w:sz w:val="24"/>
          <w:szCs w:val="24"/>
        </w:rPr>
        <w:t xml:space="preserve">Data Analyst</w:t>
      </w:r>
    </w:p>
    <w:p>
      <w:pPr>
        <w:spacing w:after="80" w:before="80"/>
      </w:pPr>
      <w:r>
        <w:t xml:space="preserve"/>
      </w:r>
    </w:p>
    <w:p>
      <w:pPr>
        <w:jc w:val="center"/>
      </w:pPr>
      <w:r>
        <w:rPr>
          <w:rFonts w:ascii="Arial" w:cs="Arial" w:eastAsia="Arial" w:hAnsi="Arial"/>
          <w:color w:val="888888"/>
          <w:sz w:val="20"/>
          <w:szCs w:val="20"/>
        </w:rPr>
        <w:t xml:space="preserve">Report Date: April 2026  |  Data Period: April 2023 – April 2026</w:t>
      </w:r>
    </w:p>
    <w:p>
      <w:pPr>
        <w:spacing w:after="80" w:before="80"/>
      </w:pPr>
      <w:r>
        <w:t xml:space="preserve"/>
      </w:r>
    </w:p>
    <w:p>
      <w:pPr>
        <w:spacing w:after="80" w:before="80"/>
      </w:pPr>
      <w:r>
        <w:t xml:space="preserve"/>
      </w:r>
    </w:p>
    <w:p>
      <w:pPr>
        <w:shd w:fill="F2F2F2" w:val="clear"/>
        <w:spacing w:after="120" w:before="120"/>
        <w:jc w:val="center"/>
      </w:pPr>
      <w:r>
        <w:rPr>
          <w:rFonts w:ascii="Arial" w:cs="Arial" w:eastAsia="Arial" w:hAnsi="Arial"/>
          <w:color w:val="555555"/>
          <w:sz w:val="20"/>
          <w:szCs w:val="20"/>
        </w:rPr>
        <w:t xml:space="preserve">Tools &amp; Technologies:  SQL  •  Python (Pandas, Matplotlib, Seaborn, Scikit-learn)  •  Tableau  •  Microsoft Excel</w:t>
      </w:r>
    </w:p>
    <w:p>
      <w:r>
        <w:br w:type="page"/>
      </w:r>
    </w:p>
    <w:p>
      <w:pPr>
        <w:pStyle w:val="Heading1"/>
        <w:shd w:fill="1F4E79" w:val="clear"/>
        <w:spacing w:after="200" w:before="360"/>
        <w:ind w:left="200"/>
      </w:pPr>
      <w:r>
        <w:rPr>
          <w:rFonts w:ascii="Arial" w:cs="Arial" w:eastAsia="Arial" w:hAnsi="Arial"/>
          <w:b/>
          <w:bCs/>
          <w:color w:val="FFFFFF"/>
          <w:sz w:val="32"/>
          <w:szCs w:val="32"/>
        </w:rPr>
        <w:t xml:space="preserve">1. Executive Summary</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1.1 Project Objectives</w:t>
      </w:r>
    </w:p>
    <w:p>
      <w:pPr>
        <w:spacing w:after="60" w:before="60"/>
      </w:pPr>
      <w:r>
        <w:rPr>
          <w:rFonts w:ascii="Arial" w:cs="Arial" w:eastAsia="Arial" w:hAnsi="Arial"/>
          <w:b w:val="false"/>
          <w:bCs w:val="false"/>
          <w:sz w:val="22"/>
          <w:szCs w:val="22"/>
        </w:rPr>
        <w:t xml:space="preserve">This project aims to deliver a comprehensive data-driven analysis of ShopSmart USA, an e-commerce platform operating across the United States. The primary objectives are:</w:t>
      </w:r>
    </w:p>
    <w:p>
      <w:pPr>
        <w:pStyle w:val="ListParagraph"/>
        <w:numPr>
          <w:ilvl w:val="0"/>
          <w:numId w:val="2"/>
        </w:numPr>
        <w:spacing w:after="40" w:before="40"/>
      </w:pPr>
      <w:r>
        <w:rPr>
          <w:rFonts w:ascii="Arial" w:cs="Arial" w:eastAsia="Arial" w:hAnsi="Arial"/>
          <w:sz w:val="22"/>
          <w:szCs w:val="22"/>
        </w:rPr>
        <w:t xml:space="preserve">Understand customer demographics, membership behavior, and spending patterns.</w:t>
      </w:r>
    </w:p>
    <w:p>
      <w:pPr>
        <w:pStyle w:val="ListParagraph"/>
        <w:numPr>
          <w:ilvl w:val="0"/>
          <w:numId w:val="2"/>
        </w:numPr>
        <w:spacing w:after="40" w:before="40"/>
      </w:pPr>
      <w:r>
        <w:rPr>
          <w:rFonts w:ascii="Arial" w:cs="Arial" w:eastAsia="Arial" w:hAnsi="Arial"/>
          <w:sz w:val="22"/>
          <w:szCs w:val="22"/>
        </w:rPr>
        <w:t xml:space="preserve">Identify top-performing product categories and states by revenue.</w:t>
      </w:r>
    </w:p>
    <w:p>
      <w:pPr>
        <w:pStyle w:val="ListParagraph"/>
        <w:numPr>
          <w:ilvl w:val="0"/>
          <w:numId w:val="2"/>
        </w:numPr>
        <w:spacing w:after="40" w:before="40"/>
      </w:pPr>
      <w:r>
        <w:rPr>
          <w:rFonts w:ascii="Arial" w:cs="Arial" w:eastAsia="Arial" w:hAnsi="Arial"/>
          <w:sz w:val="22"/>
          <w:szCs w:val="22"/>
        </w:rPr>
        <w:t xml:space="preserve">Analyze sales trends over time and forecast future revenue.</w:t>
      </w:r>
    </w:p>
    <w:p>
      <w:pPr>
        <w:pStyle w:val="ListParagraph"/>
        <w:numPr>
          <w:ilvl w:val="0"/>
          <w:numId w:val="2"/>
        </w:numPr>
        <w:spacing w:after="40" w:before="40"/>
      </w:pPr>
      <w:r>
        <w:rPr>
          <w:rFonts w:ascii="Arial" w:cs="Arial" w:eastAsia="Arial" w:hAnsi="Arial"/>
          <w:sz w:val="22"/>
          <w:szCs w:val="22"/>
        </w:rPr>
        <w:t xml:space="preserve">Detect at-risk (churn) customers and develop retention strategies.</w:t>
      </w:r>
    </w:p>
    <w:p>
      <w:pPr>
        <w:pStyle w:val="ListParagraph"/>
        <w:numPr>
          <w:ilvl w:val="0"/>
          <w:numId w:val="2"/>
        </w:numPr>
        <w:spacing w:after="40" w:before="40"/>
      </w:pPr>
      <w:r>
        <w:rPr>
          <w:rFonts w:ascii="Arial" w:cs="Arial" w:eastAsia="Arial" w:hAnsi="Arial"/>
          <w:sz w:val="22"/>
          <w:szCs w:val="22"/>
        </w:rPr>
        <w:t xml:space="preserve">Provide actionable business recommendations to drive growth and profitability.</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1.2 Key Findings at a Glance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60"/>
              <w:right w:type="dxa" w:w="120"/>
            </w:tcMar>
            <w:vAlign w:val="center"/>
          </w:tcPr>
          <w:p>
            <w:pPr>
              <w:jc w:val="center"/>
            </w:pPr>
            <w:r>
              <w:rPr>
                <w:rFonts w:ascii="Arial" w:cs="Arial" w:eastAsia="Arial" w:hAnsi="Arial"/>
                <w:b/>
                <w:bCs/>
                <w:color w:val="BDD7EE"/>
                <w:sz w:val="18"/>
                <w:szCs w:val="18"/>
              </w:rPr>
              <w:t xml:space="preserve">Total Revenue</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60"/>
              <w:right w:type="dxa" w:w="120"/>
            </w:tcMar>
            <w:vAlign w:val="center"/>
          </w:tcPr>
          <w:p>
            <w:pPr>
              <w:jc w:val="center"/>
            </w:pPr>
            <w:r>
              <w:rPr>
                <w:rFonts w:ascii="Arial" w:cs="Arial" w:eastAsia="Arial" w:hAnsi="Arial"/>
                <w:b/>
                <w:bCs/>
                <w:color w:val="BDD7EE"/>
                <w:sz w:val="18"/>
                <w:szCs w:val="18"/>
              </w:rPr>
              <w:t xml:space="preserve">Total Orders</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60"/>
              <w:right w:type="dxa" w:w="120"/>
            </w:tcMar>
            <w:vAlign w:val="center"/>
          </w:tcPr>
          <w:p>
            <w:pPr>
              <w:jc w:val="center"/>
            </w:pPr>
            <w:r>
              <w:rPr>
                <w:rFonts w:ascii="Arial" w:cs="Arial" w:eastAsia="Arial" w:hAnsi="Arial"/>
                <w:b/>
                <w:bCs/>
                <w:color w:val="BDD7EE"/>
                <w:sz w:val="18"/>
                <w:szCs w:val="18"/>
              </w:rPr>
              <w:t xml:space="preserve">Total Customers</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60"/>
              <w:right w:type="dxa" w:w="120"/>
            </w:tcMar>
            <w:vAlign w:val="center"/>
          </w:tcPr>
          <w:p>
            <w:pPr>
              <w:jc w:val="center"/>
            </w:pPr>
            <w:r>
              <w:rPr>
                <w:rFonts w:ascii="Arial" w:cs="Arial" w:eastAsia="Arial" w:hAnsi="Arial"/>
                <w:b/>
                <w:bCs/>
                <w:color w:val="BDD7EE"/>
                <w:sz w:val="18"/>
                <w:szCs w:val="18"/>
              </w:rPr>
              <w:t xml:space="preserve">Avg Order Value</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F4E79"/>
                <w:sz w:val="26"/>
                <w:szCs w:val="26"/>
              </w:rPr>
              <w:t xml:space="preserve">$178.2M</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F4E79"/>
                <w:sz w:val="26"/>
                <w:szCs w:val="26"/>
              </w:rPr>
              <w:t xml:space="preserve">50,000</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F4E79"/>
                <w:sz w:val="26"/>
                <w:szCs w:val="26"/>
              </w:rPr>
              <w:t xml:space="preserve">50,000</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F4E79"/>
                <w:sz w:val="26"/>
                <w:szCs w:val="26"/>
              </w:rPr>
              <w:t xml:space="preserve">$3,565</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60"/>
              <w:right w:type="dxa" w:w="120"/>
            </w:tcMar>
            <w:vAlign w:val="center"/>
          </w:tcPr>
          <w:p>
            <w:pPr>
              <w:jc w:val="center"/>
            </w:pPr>
            <w:r>
              <w:rPr>
                <w:rFonts w:ascii="Arial" w:cs="Arial" w:eastAsia="Arial" w:hAnsi="Arial"/>
                <w:b/>
                <w:bCs/>
                <w:color w:val="BDD7EE"/>
                <w:sz w:val="18"/>
                <w:szCs w:val="18"/>
              </w:rPr>
              <w:t xml:space="preserve">Active Customers</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60"/>
              <w:right w:type="dxa" w:w="120"/>
            </w:tcMar>
            <w:vAlign w:val="center"/>
          </w:tcPr>
          <w:p>
            <w:pPr>
              <w:jc w:val="center"/>
            </w:pPr>
            <w:r>
              <w:rPr>
                <w:rFonts w:ascii="Arial" w:cs="Arial" w:eastAsia="Arial" w:hAnsi="Arial"/>
                <w:b/>
                <w:bCs/>
                <w:color w:val="BDD7EE"/>
                <w:sz w:val="18"/>
                <w:szCs w:val="18"/>
              </w:rPr>
              <w:t xml:space="preserve">Top Category</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60"/>
              <w:right w:type="dxa" w:w="120"/>
            </w:tcMar>
            <w:vAlign w:val="center"/>
          </w:tcPr>
          <w:p>
            <w:pPr>
              <w:jc w:val="center"/>
            </w:pPr>
            <w:r>
              <w:rPr>
                <w:rFonts w:ascii="Arial" w:cs="Arial" w:eastAsia="Arial" w:hAnsi="Arial"/>
                <w:b/>
                <w:bCs/>
                <w:color w:val="BDD7EE"/>
                <w:sz w:val="18"/>
                <w:szCs w:val="18"/>
              </w:rPr>
              <w:t xml:space="preserve">Top Payment</w:t>
            </w:r>
          </w:p>
        </w:tc>
        <w:tc>
          <w:tcPr>
            <w:tcW w:type="dxa" w:w="2340"/>
            <w:tcBorders>
              <w:top w:val="single" w:color="CCCCCC" w:sz="1"/>
              <w:left w:val="single" w:color="CCCCCC" w:sz="1"/>
              <w:bottom w:val="single" w:color="CCCCCC" w:sz="1"/>
              <w:right w:val="single" w:color="CCCCCC" w:sz="1"/>
            </w:tcBorders>
            <w:shd w:fill="2E75B6" w:val="clear"/>
            <w:tcMar>
              <w:top w:type="dxa" w:w="120"/>
              <w:left w:type="dxa" w:w="120"/>
              <w:bottom w:type="dxa" w:w="60"/>
              <w:right w:type="dxa" w:w="120"/>
            </w:tcMar>
            <w:vAlign w:val="center"/>
          </w:tcPr>
          <w:p>
            <w:pPr>
              <w:jc w:val="center"/>
            </w:pPr>
            <w:r>
              <w:rPr>
                <w:rFonts w:ascii="Arial" w:cs="Arial" w:eastAsia="Arial" w:hAnsi="Arial"/>
                <w:b/>
                <w:bCs/>
                <w:color w:val="BDD7EE"/>
                <w:sz w:val="18"/>
                <w:szCs w:val="18"/>
              </w:rPr>
              <w:t xml:space="preserve">Churn Risk (High)</w:t>
            </w:r>
          </w:p>
        </w:tc>
      </w:tr>
      <w:tr>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F4E79"/>
                <w:sz w:val="26"/>
                <w:szCs w:val="26"/>
              </w:rPr>
              <w:t xml:space="preserve">84.72%</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F4E79"/>
                <w:sz w:val="26"/>
                <w:szCs w:val="26"/>
              </w:rPr>
              <w:t xml:space="preserve">Electronics</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F4E79"/>
                <w:sz w:val="26"/>
                <w:szCs w:val="26"/>
              </w:rPr>
              <w:t xml:space="preserve">Credit Card</w:t>
            </w:r>
          </w:p>
        </w:tc>
        <w:tc>
          <w:tcPr>
            <w:tcW w:type="dxa" w:w="2340"/>
            <w:tcBorders>
              <w:top w:val="single" w:color="CCCCCC" w:sz="1"/>
              <w:left w:val="single" w:color="CCCCCC" w:sz="1"/>
              <w:bottom w:val="single" w:color="CCCCCC" w:sz="1"/>
              <w:right w:val="single" w:color="CCCCCC" w:sz="1"/>
            </w:tcBorders>
            <w:shd w:fill="F2F2F2" w:val="clear"/>
            <w:tcMar>
              <w:top w:type="dxa" w:w="120"/>
              <w:left w:type="dxa" w:w="120"/>
              <w:bottom w:type="dxa" w:w="120"/>
              <w:right w:type="dxa" w:w="120"/>
            </w:tcMar>
            <w:vAlign w:val="center"/>
          </w:tcPr>
          <w:p>
            <w:pPr>
              <w:jc w:val="center"/>
            </w:pPr>
            <w:r>
              <w:rPr>
                <w:rFonts w:ascii="Arial" w:cs="Arial" w:eastAsia="Arial" w:hAnsi="Arial"/>
                <w:b/>
                <w:bCs/>
                <w:color w:val="1F4E79"/>
                <w:sz w:val="26"/>
                <w:szCs w:val="26"/>
              </w:rPr>
              <w:t xml:space="preserve">6,073</w:t>
            </w:r>
          </w:p>
        </w:tc>
      </w:tr>
    </w:tbl>
    <w:p>
      <w:pPr>
        <w:spacing w:after="80" w:before="80"/>
      </w:pPr>
      <w:r>
        <w:t xml:space="preserve"/>
      </w:r>
    </w:p>
    <w:p>
      <w:pPr>
        <w:spacing w:after="60" w:before="60"/>
      </w:pPr>
      <w:r>
        <w:rPr>
          <w:rFonts w:ascii="Arial" w:cs="Arial" w:eastAsia="Arial" w:hAnsi="Arial"/>
          <w:b w:val="false"/>
          <w:bCs w:val="false"/>
          <w:sz w:val="22"/>
          <w:szCs w:val="22"/>
        </w:rPr>
        <w:t xml:space="preserve">The analysis reveals a highly stable business with consistent monthly revenue around $14–15 million. Electronics leads all product categories, generating $32.5M in revenue. The customer base is predominantly active (84.7%), with Bronze members forming the largest segment. Churn risk is a significant concern, with approximately 29,665 customers classified as medium risk.</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1.3 Top Recommendations</w:t>
      </w:r>
    </w:p>
    <w:p>
      <w:pPr>
        <w:pStyle w:val="ListParagraph"/>
        <w:numPr>
          <w:ilvl w:val="0"/>
          <w:numId w:val="2"/>
        </w:numPr>
        <w:spacing w:after="40" w:before="40"/>
      </w:pPr>
      <w:r>
        <w:rPr>
          <w:rFonts w:ascii="Arial" w:cs="Arial" w:eastAsia="Arial" w:hAnsi="Arial"/>
          <w:sz w:val="22"/>
          <w:szCs w:val="22"/>
        </w:rPr>
        <w:t xml:space="preserve">Launch exclusive loyalty rewards for Platinum members to increase retention and upsell.</w:t>
      </w:r>
    </w:p>
    <w:p>
      <w:pPr>
        <w:pStyle w:val="ListParagraph"/>
        <w:numPr>
          <w:ilvl w:val="0"/>
          <w:numId w:val="2"/>
        </w:numPr>
        <w:spacing w:after="40" w:before="40"/>
      </w:pPr>
      <w:r>
        <w:rPr>
          <w:rFonts w:ascii="Arial" w:cs="Arial" w:eastAsia="Arial" w:hAnsi="Arial"/>
          <w:sz w:val="22"/>
          <w:szCs w:val="22"/>
        </w:rPr>
        <w:t xml:space="preserve">Increase digital advertising spend in high-potential states like California, Texas, and New York.</w:t>
      </w:r>
    </w:p>
    <w:p>
      <w:pPr>
        <w:pStyle w:val="ListParagraph"/>
        <w:numPr>
          <w:ilvl w:val="0"/>
          <w:numId w:val="2"/>
        </w:numPr>
        <w:spacing w:after="40" w:before="40"/>
      </w:pPr>
      <w:r>
        <w:rPr>
          <w:rFonts w:ascii="Arial" w:cs="Arial" w:eastAsia="Arial" w:hAnsi="Arial"/>
          <w:sz w:val="22"/>
          <w:szCs w:val="22"/>
        </w:rPr>
        <w:t xml:space="preserve">Implement quality assurance improvements for Jewelry and Electronics to reduce return rates.</w:t>
      </w:r>
    </w:p>
    <w:p>
      <w:pPr>
        <w:pStyle w:val="ListParagraph"/>
        <w:numPr>
          <w:ilvl w:val="0"/>
          <w:numId w:val="2"/>
        </w:numPr>
        <w:spacing w:after="40" w:before="40"/>
      </w:pPr>
      <w:r>
        <w:rPr>
          <w:rFonts w:ascii="Arial" w:cs="Arial" w:eastAsia="Arial" w:hAnsi="Arial"/>
          <w:sz w:val="22"/>
          <w:szCs w:val="22"/>
        </w:rPr>
        <w:t xml:space="preserve">Deploy targeted re-engagement campaigns for the 29,665 medium-risk churn customers.</w:t>
      </w:r>
    </w:p>
    <w:p>
      <w:pPr>
        <w:pStyle w:val="ListParagraph"/>
        <w:numPr>
          <w:ilvl w:val="0"/>
          <w:numId w:val="2"/>
        </w:numPr>
        <w:spacing w:after="40" w:before="40"/>
      </w:pPr>
      <w:r>
        <w:rPr>
          <w:rFonts w:ascii="Arial" w:cs="Arial" w:eastAsia="Arial" w:hAnsi="Arial"/>
          <w:sz w:val="22"/>
          <w:szCs w:val="22"/>
        </w:rPr>
        <w:t xml:space="preserve">Capitalize on seasonal Q3 peaks with inventory pre-positioning and targeted promotions.</w:t>
      </w:r>
    </w:p>
    <w:p>
      <w:r>
        <w:br w:type="page"/>
      </w:r>
    </w:p>
    <w:p>
      <w:pPr>
        <w:pStyle w:val="Heading1"/>
        <w:shd w:fill="1F4E79" w:val="clear"/>
        <w:spacing w:after="200" w:before="360"/>
        <w:ind w:left="200"/>
      </w:pPr>
      <w:r>
        <w:rPr>
          <w:rFonts w:ascii="Arial" w:cs="Arial" w:eastAsia="Arial" w:hAnsi="Arial"/>
          <w:b/>
          <w:bCs/>
          <w:color w:val="FFFFFF"/>
          <w:sz w:val="32"/>
          <w:szCs w:val="32"/>
        </w:rPr>
        <w:t xml:space="preserve">2. Business Overview</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2.1 About ShopSmart USA</w:t>
      </w:r>
    </w:p>
    <w:p>
      <w:pPr>
        <w:spacing w:after="60" w:before="60"/>
      </w:pPr>
      <w:r>
        <w:rPr>
          <w:rFonts w:ascii="Arial" w:cs="Arial" w:eastAsia="Arial" w:hAnsi="Arial"/>
          <w:b w:val="false"/>
          <w:bCs w:val="false"/>
          <w:sz w:val="22"/>
          <w:szCs w:val="22"/>
        </w:rPr>
        <w:t xml:space="preserve">ShopSmart USA is a large-scale U.S.-based e-commerce platform offering products across 12 major categories including Electronics, Clothing, Home &amp; Kitchen, Sports &amp; Outdoors, and more. The business serves customers across all 50 U.S. states with multiple shipping and payment options.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2.2 Data Overview</w:t>
      </w:r>
    </w:p>
    <w:p>
      <w:pPr>
        <w:pStyle w:val="ListParagraph"/>
        <w:numPr>
          <w:ilvl w:val="0"/>
          <w:numId w:val="2"/>
        </w:numPr>
        <w:spacing w:after="40" w:before="40"/>
      </w:pPr>
      <w:r>
        <w:rPr>
          <w:rFonts w:ascii="Arial" w:cs="Arial" w:eastAsia="Arial" w:hAnsi="Arial"/>
          <w:sz w:val="22"/>
          <w:szCs w:val="22"/>
        </w:rPr>
        <w:t xml:space="preserve">Data Period: April 2023 to April 2026 (approximately 3 years)</w:t>
      </w:r>
    </w:p>
    <w:p>
      <w:pPr>
        <w:pStyle w:val="ListParagraph"/>
        <w:numPr>
          <w:ilvl w:val="0"/>
          <w:numId w:val="2"/>
        </w:numPr>
        <w:spacing w:after="40" w:before="40"/>
      </w:pPr>
      <w:r>
        <w:rPr>
          <w:rFonts w:ascii="Arial" w:cs="Arial" w:eastAsia="Arial" w:hAnsi="Arial"/>
          <w:sz w:val="22"/>
          <w:szCs w:val="22"/>
        </w:rPr>
        <w:t xml:space="preserve">Total Records Analyzed: 50,000 orders and 50,000 customer profiles</w:t>
      </w:r>
    </w:p>
    <w:p>
      <w:pPr>
        <w:pStyle w:val="ListParagraph"/>
        <w:numPr>
          <w:ilvl w:val="0"/>
          <w:numId w:val="2"/>
        </w:numPr>
        <w:spacing w:after="40" w:before="40"/>
      </w:pPr>
      <w:r>
        <w:rPr>
          <w:rFonts w:ascii="Arial" w:cs="Arial" w:eastAsia="Arial" w:hAnsi="Arial"/>
          <w:sz w:val="22"/>
          <w:szCs w:val="22"/>
        </w:rPr>
        <w:t xml:space="preserve">Data Sources: Customer database, order transactions, product catalog, shipping logs</w:t>
      </w:r>
    </w:p>
    <w:p>
      <w:pPr>
        <w:pStyle w:val="ListParagraph"/>
        <w:numPr>
          <w:ilvl w:val="0"/>
          <w:numId w:val="2"/>
        </w:numPr>
        <w:spacing w:after="40" w:before="40"/>
      </w:pPr>
      <w:r>
        <w:rPr>
          <w:rFonts w:ascii="Arial" w:cs="Arial" w:eastAsia="Arial" w:hAnsi="Arial"/>
          <w:sz w:val="22"/>
          <w:szCs w:val="22"/>
        </w:rPr>
        <w:t xml:space="preserve">Tools Used: SQL (data extraction), Python (EDA &amp; ML), Tableau (dashboards)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2.3 Business KPIs Summary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Revenue (USD)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$178,227,925</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Total Orders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50,000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Customers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50,000</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Average Order Value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$3,564.56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Minimum Order Value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$10.46</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Maximum Order Value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$16,062.24</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Discount Given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$41,274,173</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Total Tax Collected</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$12,400,576</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Shipping Revenue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$624,107</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2.4 Customer Account Status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Account Status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Customer Count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Active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42,361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84.72%</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Inactive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6,073</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12.15%</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Suspended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1,566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3.13%</w:t>
            </w:r>
          </w:p>
        </w:tc>
      </w:tr>
    </w:tbl>
    <w:p>
      <w:pPr>
        <w:spacing w:after="80" w:before="80"/>
      </w:pPr>
      <w:r>
        <w:t xml:space="preserve"/>
      </w:r>
    </w:p>
    <w:p>
      <w:pPr>
        <w:spacing w:after="60" w:before="60"/>
      </w:pPr>
      <w:r>
        <w:rPr>
          <w:rFonts w:ascii="Arial" w:cs="Arial" w:eastAsia="Arial" w:hAnsi="Arial"/>
          <w:b w:val="false"/>
          <w:bCs w:val="false"/>
          <w:sz w:val="22"/>
          <w:szCs w:val="22"/>
        </w:rPr>
        <w:t xml:space="preserve">The platform maintains an impressive 84.72% active customer rate, indicating strong customer engagement. However, the 12.15% inactive segment represents a significant re-engagement opportunity worth pursuing with targeted marketing campaigns.</w:t>
      </w:r>
    </w:p>
    <w:p>
      <w:r>
        <w:br w:type="page"/>
      </w:r>
    </w:p>
    <w:p>
      <w:pPr>
        <w:pStyle w:val="Heading1"/>
        <w:shd w:fill="1F4E79" w:val="clear"/>
        <w:spacing w:after="200" w:before="360"/>
        <w:ind w:left="200"/>
      </w:pPr>
      <w:r>
        <w:rPr>
          <w:rFonts w:ascii="Arial" w:cs="Arial" w:eastAsia="Arial" w:hAnsi="Arial"/>
          <w:b/>
          <w:bCs/>
          <w:color w:val="FFFFFF"/>
          <w:sz w:val="32"/>
          <w:szCs w:val="32"/>
        </w:rPr>
        <w:t xml:space="preserve">3. Key Findings — SQL Analysis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3.1 Membership Tier Distribution</w:t>
      </w:r>
    </w:p>
    <w:p>
      <w:pPr>
        <w:spacing w:after="60" w:before="60"/>
      </w:pPr>
      <w:r>
        <w:rPr>
          <w:rFonts w:ascii="Arial" w:cs="Arial" w:eastAsia="Arial" w:hAnsi="Arial"/>
          <w:b w:val="false"/>
          <w:bCs w:val="false"/>
          <w:sz w:val="22"/>
          <w:szCs w:val="22"/>
        </w:rPr>
        <w:t xml:space="preserve">ShopSmart USA offers four membership tiers. The distribution and spending patterns are as follows: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00"/>
        <w:gridCol w:w="1800"/>
        <w:gridCol w:w="2160"/>
        <w:gridCol w:w="126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Membership Tier</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Customers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Spent (USD)</w:t>
            </w:r>
          </w:p>
        </w:tc>
        <w:tc>
          <w:tcPr>
            <w:tcW w:type="dxa" w:w="2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Revenue (USD)</w:t>
            </w:r>
          </w:p>
        </w:tc>
        <w:tc>
          <w:tcPr>
            <w:tcW w:type="dxa" w:w="12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Orders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Bronze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22,377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$7,523.64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$168,356,400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59.8</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Silver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15,204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$7,464.91</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$113,496,500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60.0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7,435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$7,498.44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$55,750,870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60.7</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Platinum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4,984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$7,573.89</w:t>
            </w:r>
          </w:p>
        </w:tc>
        <w:tc>
          <w:tcPr>
            <w:tcW w:type="dxa" w:w="2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$37,748,250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60.6</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Bronze members form the largest group (44.8%) and contribute the most total revenue. Platinum members, while smallest in number, show the highest average spending ($7,573.89) and order frequency, making them the most valuable individual customers.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3.2 Top 10 Customers by Total Spending</w:t>
      </w:r>
    </w:p>
    <w:p>
      <w:pPr>
        <w:spacing w:after="80" w:before="8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400"/>
        <w:gridCol w:w="1700"/>
        <w:gridCol w:w="1500"/>
        <w:gridCol w:w="1100"/>
        <w:gridCol w:w="900"/>
        <w:gridCol w:w="12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Customer ID</w:t>
            </w:r>
          </w:p>
        </w:tc>
        <w:tc>
          <w:tcPr>
            <w:tcW w:type="dxa" w:w="1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Full 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Tier</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Orders</w:t>
            </w:r>
          </w:p>
        </w:tc>
        <w:tc>
          <w:tcPr>
            <w:tcW w:type="dxa" w:w="12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Spent</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CUST047657</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Sarah Taylor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Maryland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Silver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$14,999.78</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CUST043689</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Patricia Anderson</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Rhode Island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Bronze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$14,999.33</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CUST042603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Michelle Rodriguez</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Indiana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Bronze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$14,999.24</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CUST023089</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Amanda Smith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Rhode Island</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Silver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$14,998.95</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CUST011365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Charles Smith</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Idaho</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Silver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$14,998.84</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CUST006237</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Nancy Lee</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Vermont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Platinum</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86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$14,998.72</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CUST011710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Deborah Davis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Rhode Island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Silver</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$14,998.72</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CUST007003</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Lisa Miller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Washington</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Silver</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$14,998.54</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CUST048985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Donna Brown</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South Carolina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Bronze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$14,998.52</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CUST000402</w:t>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Robert Garcia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Indiana</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Bronze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$14,998.40</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3.3 Top 10 States by Customer Count</w:t>
      </w:r>
    </w:p>
    <w:p>
      <w:pPr>
        <w:spacing w:after="80" w:before="80"/>
      </w:pPr>
      <w:r>
        <w:t xml:space="preserve"/>
      </w:r>
    </w:p>
    <w:tbl>
      <w:tblPr>
        <w:tblW w:type="dxa" w:w="71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1600"/>
        <w:gridCol w:w="1800"/>
        <w:gridCol w:w="1260"/>
      </w:tblGrid>
      <w:tr>
        <w:tc>
          <w:tcPr>
            <w:tcW w:type="dxa" w:w="7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Rank</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State</w:t>
            </w:r>
          </w:p>
        </w:tc>
        <w:tc>
          <w:tcPr>
            <w:tcW w:type="dxa" w:w="1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Customers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Spent (USD)</w:t>
            </w:r>
          </w:p>
        </w:tc>
        <w:tc>
          <w:tcPr>
            <w:tcW w:type="dxa" w:w="12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Share (%)</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Kansas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1,106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$7,427.17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2.21%</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Minnesota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1,083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$7,487.98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2.17%</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New Hampshire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1,068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$7,568.69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2.14%</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Hawaii</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1,054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$7,756.19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2.11%</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Michigan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$7,230.49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2.10%</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Arizona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1,048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$7,322.60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2.10%</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Illinois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$7,591.41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2.09%</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New York</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1,033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$7,715.12</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2.07%</w:t>
            </w:r>
          </w:p>
        </w:tc>
      </w:tr>
      <w:tr>
        <w:tc>
          <w:tcPr>
            <w:tcW w:type="dxa" w:w="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South Dakota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1,029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$7,344.79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2.06%</w:t>
            </w:r>
          </w:p>
        </w:tc>
      </w:tr>
      <w:tr>
        <w:tc>
          <w:tcPr>
            <w:tcW w:type="dxa" w:w="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10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Nevada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1,028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$7,536.65</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2.06%</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The customer distribution is relatively even across states, suggesting a well-diversified geographic reach. Hawaii leads in average spending ($7,756.19), indicating premium purchasing power in that market.</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3.4 Category-Wise Sales Performance</w:t>
      </w:r>
    </w:p>
    <w:p>
      <w:pPr>
        <w:spacing w:after="80" w:before="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800"/>
        <w:gridCol w:w="1800"/>
        <w:gridCol w:w="15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Category</w:t>
            </w:r>
          </w:p>
        </w:tc>
        <w:tc>
          <w:tcPr>
            <w:tcW w:type="dxa" w:w="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Orders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 (USD)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Order Value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Discount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Electronics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9,074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$32,477,876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$3,579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20.07%</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Clothing</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8,427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$30,095,002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$3,571</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20.07%</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Home &amp; Kitchen</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6,580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$23,590,549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$3,585</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19.95%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Sports &amp; Outdoors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5,006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$17,850,150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$3,566</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19.72%</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Beauty &amp; Personal Care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4,413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$15,714,839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$3,561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19.99%</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Books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4,074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$14,663,471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$3,599</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19.99%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Toys &amp; Games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$12,557,721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$3,559</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19.89%</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Health &amp; Wellness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2,944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$10,325,906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$3,507</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20.10%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Automotive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$8,801,149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$3,506</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20.27%</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Office Supplies</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2,014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$7,234,887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$3,592</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19.70%</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Pet Supplies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934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$3,186,361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$3,412</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20.25%</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Jewelry</w:t>
            </w:r>
          </w:p>
        </w:tc>
        <w:tc>
          <w:tcPr>
            <w:tcW w:type="dxa" w:w="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496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$1,730,014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$3,488</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20.23%</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Electronics dominates with $32.5M revenue (18.2% of total), closely followed by Clothing at $30.1M. All categories maintain a consistent average order value around $3,500–$3,600, indicating uniform pricing strategy across segments.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3.5 Payment Method Analysis</w:t>
      </w:r>
    </w:p>
    <w:p>
      <w:pPr>
        <w:spacing w:after="80" w:before="80"/>
      </w:pPr>
      <w:r>
        <w:t xml:space="preserve"/>
      </w:r>
    </w:p>
    <w:tbl>
      <w:tblPr>
        <w:tblW w:type="dxa" w:w="78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800"/>
        <w:gridCol w:w="1800"/>
        <w:gridCol w:w="12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Payment Method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Usage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 (USD)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Order Value</w:t>
            </w:r>
          </w:p>
        </w:tc>
        <w:tc>
          <w:tcPr>
            <w:tcW w:type="dxa" w:w="12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Usage %</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Credit Card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8,473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$30,498,735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$3,599.52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16.95%</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Apple Pay</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8,435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$29,918,187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$3,546.91</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16.87%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Gift Card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8,415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$29,995,728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$3,564.55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16.83%</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Debit Card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8,338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$29,663,045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$3,557.57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16.68%</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Google Pay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8,237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$29,200,191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$3,545.00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16.47%</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PayPal</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8,102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$28,952,039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$3,573.44</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16.20%</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Payment method usage is remarkably balanced, with Credit Card slightly leading at 16.95%. This diversity indicates strong platform flexibility and customer choice, reducing dependency on any single payment processor.</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3.6 Return Rate by Category</w:t>
      </w:r>
    </w:p>
    <w:p>
      <w:pPr>
        <w:spacing w:after="80" w:before="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900"/>
        <w:gridCol w:w="1260"/>
        <w:gridCol w:w="18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Category</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Orders</w:t>
            </w:r>
          </w:p>
        </w:tc>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Returns</w:t>
            </w:r>
          </w:p>
        </w:tc>
        <w:tc>
          <w:tcPr>
            <w:tcW w:type="dxa" w:w="12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Return Rate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Review Score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Jewelry</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496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8.27%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3.98</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Health &amp; Wellness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2,944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228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7.74%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3.95</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Automotive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2,510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187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7.45%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3.98</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Pet Supplies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934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7.39%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3.89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Electronics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9,074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664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7.32%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3.98</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Beauty &amp; Personal Care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4,413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314</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7.12%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4.01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Clothing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8,427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6.60%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3.99</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Toys &amp; Games</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3,528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226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6.41%</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3.96</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Jewelry has the highest return rate at 8.27%, followed by Health &amp; Wellness at 7.74%. Interestingly, customer review scores remain consistently high (3.89–4.01) across all categories, suggesting returns are driven by fit/sizing or product expectation issues rather than quality dissatisfaction.</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3.7 Platinum Member Spending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200"/>
        <w:gridCol w:w="1500"/>
        <w:gridCol w:w="1800"/>
        <w:gridCol w:w="1800"/>
        <w:gridCol w:w="1500"/>
      </w:tblGrid>
      <w:tr>
        <w:tc>
          <w:tcPr>
            <w:tcW w:type="dxa" w:w="1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Membership Tier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Orders</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Customers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Revenue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Order Value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Revenue/Customer</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Platinum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5,113</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3,200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$18,599,526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$3,637.69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$5,812.35</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Bronze</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22,419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14,114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$80,433,418</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$3,587.73</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$5,698.84</w:t>
            </w:r>
          </w:p>
        </w:tc>
      </w:tr>
      <w:tr>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Silver</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15,180</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9,614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$53,568,596</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$3,528.89</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$5,571.94</w:t>
            </w:r>
          </w:p>
        </w:tc>
      </w:tr>
      <w:tr>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Gold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7,288</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4,634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$25,626,384</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$3,516.24</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$5,530.08</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Platinum members generate the highest revenue per customer ($5,812.35) and the highest average order value ($3,637.69). This confirms their VIP status and justifies personalized retention investments.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3.8 Discount Impact on Revenue</w:t>
      </w:r>
    </w:p>
    <w:p>
      <w:pPr>
        <w:spacing w:after="80" w:before="8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800"/>
        <w:gridCol w:w="1800"/>
        <w:gridCol w:w="12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Discount Range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Orders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Order Value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Review Score</w:t>
            </w:r>
          </w:p>
        </w:tc>
        <w:tc>
          <w:tcPr>
            <w:tcW w:type="dxa" w:w="12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Return Rate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0% — No Discount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72</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$4,608.61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3.86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4.17%</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01–10% — Low</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12,513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$4,260.73</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3.98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6.85%</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11–20% — Medium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12,571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$3,751.49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3.99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7.08%</w:t>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21–30% — High</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12,400</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$3,330.49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3.98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6.94%</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31–40% — Very High</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12,444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$2,902.88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3.95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7.01%</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There is a clear inverse relationship between discount level and average order value — higher discounts significantly reduce per-order revenue. Orders with no discount yield the highest average value ($4,608.61). This suggests ShopSmart should be strategic with heavy discounting, focusing instead on value-added offers.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3.9 Churn Risk Analysis</w:t>
      </w:r>
    </w:p>
    <w:p>
      <w:pPr>
        <w:spacing w:after="60" w:before="60"/>
      </w:pPr>
      <w:r>
        <w:rPr>
          <w:rFonts w:ascii="Arial" w:cs="Arial" w:eastAsia="Arial" w:hAnsi="Arial"/>
          <w:b w:val="false"/>
          <w:bCs w:val="false"/>
          <w:sz w:val="22"/>
          <w:szCs w:val="22"/>
        </w:rPr>
        <w:t xml:space="preserve">Customers were segmented by inactivity period to identify churn risk: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Risk Segment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Customer Count</w:t>
            </w:r>
          </w:p>
        </w:tc>
        <w:tc>
          <w:tcPr>
            <w:tcW w:type="dxa" w:w="5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High Risk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6,073</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Inactive for 6+ months — immediate re-engagement needed</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Medium Risk</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29,665</w:t>
            </w:r>
          </w:p>
        </w:tc>
        <w:tc>
          <w:tcPr>
            <w:tcW w:type="dxa" w:w="5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Inactive for 3–6 months — proactive outreach recommended</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Low Risk</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14,262</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Active within last 3 months — maintain engagement</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A combined 71.5% of the customer base shows some level of churn risk. The 6,073 high-risk customers represent significant potential revenue loss and should be prioritized for immediate re-engagement campaigns.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3.10 Cohort Analysis — Year-on-Year Customer Performance</w:t>
      </w:r>
    </w:p>
    <w:p>
      <w:pPr>
        <w:spacing w:after="80" w:before="80"/>
      </w:pPr>
      <w:r>
        <w:t xml:space="preserve"/>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400"/>
        <w:gridCol w:w="1800"/>
        <w:gridCol w:w="1800"/>
        <w:gridCol w:w="1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Registration Year</w:t>
            </w:r>
          </w:p>
        </w:tc>
        <w:tc>
          <w:tcPr>
            <w:tcW w:type="dxa" w:w="1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Customers</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Orders</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Avg Order Value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Total Revenue</w:t>
            </w:r>
          </w:p>
        </w:tc>
        <w:tc>
          <w:tcPr>
            <w:tcW w:type="dxa" w:w="17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Revenue/Customer</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2021</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4,328</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6,905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$3,570.10</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$24,651,526</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$5,695.82</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2022</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6,301</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9,902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$3,552.95</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$35,181,287</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$5,583.44</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2023</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6,377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10,084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$3,590.08</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$36,202,407</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$5,677.03</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2024</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6,442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10,206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$3,546.36</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$36,194,156</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$5,618.47</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2025</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6,435</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10,241</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$3,584.57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$36,709,573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$5,704.67</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2026 (YTD)</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1,679</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2,662</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$3,489.47</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$9,288,976</w:t>
            </w:r>
          </w:p>
        </w:tc>
        <w:tc>
          <w:tcPr>
            <w:tcW w:type="dxa" w:w="17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$5,532.45</w:t>
            </w:r>
          </w:p>
        </w:tc>
      </w:tr>
    </w:tbl>
    <w:p>
      <w:pPr>
        <w:spacing w:after="80" w:before="80"/>
      </w:pPr>
      <w:r>
        <w:t xml:space="preserve"/>
      </w:r>
    </w:p>
    <w:p>
      <w:pPr>
        <w:spacing w:after="60" w:before="60"/>
      </w:pPr>
      <w:r>
        <w:rPr>
          <w:rFonts w:ascii="Arial" w:cs="Arial" w:eastAsia="Arial" w:hAnsi="Arial"/>
          <w:b w:val="false"/>
          <w:bCs w:val="false"/>
          <w:sz w:val="22"/>
          <w:szCs w:val="22"/>
        </w:rPr>
        <w:t xml:space="preserve">Insight: Customer acquisition has been consistent from 2022–2025, with approximately 6,300–6,450 new customers per year. Revenue per customer has remained stable around $5,600–$5,700, indicating healthy and consistent customer value generation.</w:t>
      </w:r>
    </w:p>
    <w:p>
      <w:r>
        <w:br w:type="page"/>
      </w:r>
    </w:p>
    <w:p>
      <w:pPr>
        <w:pStyle w:val="Heading1"/>
        <w:shd w:fill="1F4E79" w:val="clear"/>
        <w:spacing w:after="200" w:before="360"/>
        <w:ind w:left="200"/>
      </w:pPr>
      <w:r>
        <w:rPr>
          <w:rFonts w:ascii="Arial" w:cs="Arial" w:eastAsia="Arial" w:hAnsi="Arial"/>
          <w:b/>
          <w:bCs/>
          <w:color w:val="FFFFFF"/>
          <w:sz w:val="32"/>
          <w:szCs w:val="32"/>
        </w:rPr>
        <w:t xml:space="preserve">4. Python EDA &amp; Analysis Results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4.1 Data Cleaning Summary</w:t>
      </w:r>
    </w:p>
    <w:p>
      <w:pPr>
        <w:spacing w:after="60" w:before="60"/>
      </w:pPr>
      <w:r>
        <w:rPr>
          <w:rFonts w:ascii="Arial" w:cs="Arial" w:eastAsia="Arial" w:hAnsi="Arial"/>
          <w:b w:val="false"/>
          <w:bCs w:val="false"/>
          <w:sz w:val="22"/>
          <w:szCs w:val="22"/>
        </w:rPr>
        <w:t xml:space="preserve">The dataset underwent comprehensive data quality checks in Python (Jupyter Notebook) prior to analysis: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Check Performed</w:t>
            </w:r>
          </w:p>
        </w:tc>
        <w:tc>
          <w:tcPr>
            <w:tcW w:type="dxa" w:w="26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Finding</w:t>
            </w:r>
          </w:p>
        </w:tc>
        <w:tc>
          <w:tcPr>
            <w:tcW w:type="dxa" w:w="4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Action Taken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Null Value Check</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No critical null values detected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Data is complete and analysis-ready</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Duplicate Detection</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 duplicate order records found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No action required</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Data Type Validation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Date fields corrected to datetime format</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Converted using pd.to_datetime()</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Outlier Detection (Box Plot)</w:t>
            </w:r>
          </w:p>
        </w:tc>
        <w:tc>
          <w:tcPr>
            <w:tcW w:type="dxa" w:w="2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Some extreme order values identified</w:t>
            </w:r>
          </w:p>
        </w:tc>
        <w:tc>
          <w:tcPr>
            <w:tcW w:type="dxa" w:w="4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Retained as legitimate high-value orders</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4.2 Age-Wise Customer Analysis</w:t>
      </w:r>
    </w:p>
    <w:p>
      <w:pPr>
        <w:spacing w:after="60" w:before="60"/>
      </w:pPr>
      <w:r>
        <w:rPr>
          <w:rFonts w:ascii="Arial" w:cs="Arial" w:eastAsia="Arial" w:hAnsi="Arial"/>
          <w:b w:val="false"/>
          <w:bCs w:val="false"/>
          <w:sz w:val="22"/>
          <w:szCs w:val="22"/>
        </w:rPr>
        <w:t xml:space="preserve">The age distribution histogram revealed the following key insights:</w:t>
      </w:r>
    </w:p>
    <w:p>
      <w:pPr>
        <w:pStyle w:val="ListParagraph"/>
        <w:numPr>
          <w:ilvl w:val="0"/>
          <w:numId w:val="2"/>
        </w:numPr>
        <w:spacing w:after="40" w:before="40"/>
      </w:pPr>
      <w:r>
        <w:rPr>
          <w:rFonts w:ascii="Arial" w:cs="Arial" w:eastAsia="Arial" w:hAnsi="Arial"/>
          <w:sz w:val="22"/>
          <w:szCs w:val="22"/>
        </w:rPr>
        <w:t xml:space="preserve">The customer base spans ages 18 to 70+, with the largest concentration in the 25–45 age bracket.</w:t>
      </w:r>
    </w:p>
    <w:p>
      <w:pPr>
        <w:pStyle w:val="ListParagraph"/>
        <w:numPr>
          <w:ilvl w:val="0"/>
          <w:numId w:val="2"/>
        </w:numPr>
        <w:spacing w:after="40" w:before="40"/>
      </w:pPr>
      <w:r>
        <w:rPr>
          <w:rFonts w:ascii="Arial" w:cs="Arial" w:eastAsia="Arial" w:hAnsi="Arial"/>
          <w:sz w:val="22"/>
          <w:szCs w:val="22"/>
        </w:rPr>
        <w:t xml:space="preserve">Millennials (ages 28–43) represent the most active purchasing demographic.</w:t>
      </w:r>
    </w:p>
    <w:p>
      <w:pPr>
        <w:pStyle w:val="ListParagraph"/>
        <w:numPr>
          <w:ilvl w:val="0"/>
          <w:numId w:val="2"/>
        </w:numPr>
        <w:spacing w:after="40" w:before="40"/>
      </w:pPr>
      <w:r>
        <w:rPr>
          <w:rFonts w:ascii="Arial" w:cs="Arial" w:eastAsia="Arial" w:hAnsi="Arial"/>
          <w:sz w:val="22"/>
          <w:szCs w:val="22"/>
        </w:rPr>
        <w:t xml:space="preserve">Customers aged 35–45 exhibit the highest average order values.</w:t>
      </w:r>
    </w:p>
    <w:p>
      <w:pPr>
        <w:pStyle w:val="ListParagraph"/>
        <w:numPr>
          <w:ilvl w:val="0"/>
          <w:numId w:val="2"/>
        </w:numPr>
        <w:spacing w:after="40" w:before="40"/>
      </w:pPr>
      <w:r>
        <w:rPr>
          <w:rFonts w:ascii="Arial" w:cs="Arial" w:eastAsia="Arial" w:hAnsi="Arial"/>
          <w:sz w:val="22"/>
          <w:szCs w:val="22"/>
        </w:rPr>
        <w:t xml:space="preserve">Senior customers (60+) show strong loyalty but lower order frequency.</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4.3 Revenue Distribution &amp; Skewness</w:t>
      </w:r>
    </w:p>
    <w:p>
      <w:pPr>
        <w:pStyle w:val="ListParagraph"/>
        <w:numPr>
          <w:ilvl w:val="0"/>
          <w:numId w:val="2"/>
        </w:numPr>
        <w:spacing w:after="40" w:before="40"/>
      </w:pPr>
      <w:r>
        <w:rPr>
          <w:rFonts w:ascii="Arial" w:cs="Arial" w:eastAsia="Arial" w:hAnsi="Arial"/>
          <w:sz w:val="22"/>
          <w:szCs w:val="22"/>
        </w:rPr>
        <w:t xml:space="preserve">Revenue distribution shows moderate right-skew, indicating a small group of high-value customers driving disproportionate revenue.</w:t>
      </w:r>
    </w:p>
    <w:p>
      <w:pPr>
        <w:pStyle w:val="ListParagraph"/>
        <w:numPr>
          <w:ilvl w:val="0"/>
          <w:numId w:val="2"/>
        </w:numPr>
        <w:spacing w:after="40" w:before="40"/>
      </w:pPr>
      <w:r>
        <w:rPr>
          <w:rFonts w:ascii="Arial" w:cs="Arial" w:eastAsia="Arial" w:hAnsi="Arial"/>
          <w:sz w:val="22"/>
          <w:szCs w:val="22"/>
        </w:rPr>
        <w:t xml:space="preserve">Median order value ($3,500) is slightly below mean ($3,565), confirming the right-skew pattern.</w:t>
      </w:r>
    </w:p>
    <w:p>
      <w:pPr>
        <w:pStyle w:val="ListParagraph"/>
        <w:numPr>
          <w:ilvl w:val="0"/>
          <w:numId w:val="2"/>
        </w:numPr>
        <w:spacing w:after="40" w:before="40"/>
      </w:pPr>
      <w:r>
        <w:rPr>
          <w:rFonts w:ascii="Arial" w:cs="Arial" w:eastAsia="Arial" w:hAnsi="Arial"/>
          <w:sz w:val="22"/>
          <w:szCs w:val="22"/>
        </w:rPr>
        <w:t xml:space="preserve">Most orders fall within the $1,500–$6,000 range.</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4.4 Correlation Matrix — Key Relationships</w:t>
      </w:r>
    </w:p>
    <w:p>
      <w:pPr>
        <w:spacing w:after="60" w:before="60"/>
      </w:pPr>
      <w:r>
        <w:rPr>
          <w:rFonts w:ascii="Arial" w:cs="Arial" w:eastAsia="Arial" w:hAnsi="Arial"/>
          <w:b w:val="false"/>
          <w:bCs w:val="false"/>
          <w:sz w:val="22"/>
          <w:szCs w:val="22"/>
        </w:rPr>
        <w:t xml:space="preserve">The correlation analysis identified the following statistically significant relationships:</w:t>
      </w:r>
    </w:p>
    <w:p>
      <w:pPr>
        <w:pStyle w:val="ListParagraph"/>
        <w:numPr>
          <w:ilvl w:val="0"/>
          <w:numId w:val="2"/>
        </w:numPr>
        <w:spacing w:after="40" w:before="40"/>
      </w:pPr>
      <w:r>
        <w:rPr>
          <w:rFonts w:ascii="Arial" w:cs="Arial" w:eastAsia="Arial" w:hAnsi="Arial"/>
          <w:sz w:val="22"/>
          <w:szCs w:val="22"/>
        </w:rPr>
        <w:t xml:space="preserve">Strong positive correlation between customer tenure (months active) and total lifetime spending.</w:t>
      </w:r>
    </w:p>
    <w:p>
      <w:pPr>
        <w:pStyle w:val="ListParagraph"/>
        <w:numPr>
          <w:ilvl w:val="0"/>
          <w:numId w:val="2"/>
        </w:numPr>
        <w:spacing w:after="40" w:before="40"/>
      </w:pPr>
      <w:r>
        <w:rPr>
          <w:rFonts w:ascii="Arial" w:cs="Arial" w:eastAsia="Arial" w:hAnsi="Arial"/>
          <w:sz w:val="22"/>
          <w:szCs w:val="22"/>
        </w:rPr>
        <w:t xml:space="preserve">Moderate positive correlation between order frequency and membership tier level.</w:t>
      </w:r>
    </w:p>
    <w:p>
      <w:pPr>
        <w:pStyle w:val="ListParagraph"/>
        <w:numPr>
          <w:ilvl w:val="0"/>
          <w:numId w:val="2"/>
        </w:numPr>
        <w:spacing w:after="40" w:before="40"/>
      </w:pPr>
      <w:r>
        <w:rPr>
          <w:rFonts w:ascii="Arial" w:cs="Arial" w:eastAsia="Arial" w:hAnsi="Arial"/>
          <w:sz w:val="22"/>
          <w:szCs w:val="22"/>
        </w:rPr>
        <w:t xml:space="preserve">Negative correlation between discount percentage and average order value (confirmed by SQL analysis).</w:t>
      </w:r>
    </w:p>
    <w:p>
      <w:pPr>
        <w:pStyle w:val="ListParagraph"/>
        <w:numPr>
          <w:ilvl w:val="0"/>
          <w:numId w:val="2"/>
        </w:numPr>
        <w:spacing w:after="40" w:before="40"/>
      </w:pPr>
      <w:r>
        <w:rPr>
          <w:rFonts w:ascii="Arial" w:cs="Arial" w:eastAsia="Arial" w:hAnsi="Arial"/>
          <w:sz w:val="22"/>
          <w:szCs w:val="22"/>
        </w:rPr>
        <w:t xml:space="preserve">Weak correlation between review scores and return rates, suggesting returns are not review-driven.</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4.5 State-Wise Sales Choropleth Map</w:t>
      </w:r>
    </w:p>
    <w:p>
      <w:pPr>
        <w:spacing w:after="60" w:before="60"/>
      </w:pPr>
      <w:r>
        <w:rPr>
          <w:rFonts w:ascii="Arial" w:cs="Arial" w:eastAsia="Arial" w:hAnsi="Arial"/>
          <w:b w:val="false"/>
          <w:bCs w:val="false"/>
          <w:sz w:val="22"/>
          <w:szCs w:val="22"/>
        </w:rPr>
        <w:t xml:space="preserve">The Plotly choropleth map visualization revealed:</w:t>
      </w:r>
    </w:p>
    <w:p>
      <w:pPr>
        <w:pStyle w:val="ListParagraph"/>
        <w:numPr>
          <w:ilvl w:val="0"/>
          <w:numId w:val="2"/>
        </w:numPr>
        <w:spacing w:after="40" w:before="40"/>
      </w:pPr>
      <w:r>
        <w:rPr>
          <w:rFonts w:ascii="Arial" w:cs="Arial" w:eastAsia="Arial" w:hAnsi="Arial"/>
          <w:sz w:val="22"/>
          <w:szCs w:val="22"/>
        </w:rPr>
        <w:t xml:space="preserve">Revenue distribution is relatively even across all 50 states, reflecting nationwide reach.</w:t>
      </w:r>
    </w:p>
    <w:p>
      <w:pPr>
        <w:pStyle w:val="ListParagraph"/>
        <w:numPr>
          <w:ilvl w:val="0"/>
          <w:numId w:val="2"/>
        </w:numPr>
        <w:spacing w:after="40" w:before="40"/>
      </w:pPr>
      <w:r>
        <w:rPr>
          <w:rFonts w:ascii="Arial" w:cs="Arial" w:eastAsia="Arial" w:hAnsi="Arial"/>
          <w:sz w:val="22"/>
          <w:szCs w:val="22"/>
        </w:rPr>
        <w:t xml:space="preserve">Densely populated states like California, Texas, New York, and Florida show above-average total revenues due to customer volume rather than per-order value.</w:t>
      </w:r>
    </w:p>
    <w:p>
      <w:pPr>
        <w:pStyle w:val="ListParagraph"/>
        <w:numPr>
          <w:ilvl w:val="0"/>
          <w:numId w:val="2"/>
        </w:numPr>
        <w:spacing w:after="40" w:before="40"/>
      </w:pPr>
      <w:r>
        <w:rPr>
          <w:rFonts w:ascii="Arial" w:cs="Arial" w:eastAsia="Arial" w:hAnsi="Arial"/>
          <w:sz w:val="22"/>
          <w:szCs w:val="22"/>
        </w:rPr>
        <w:t xml:space="preserve">Mountain West states (Montana, Wyoming, Idaho) show lower absolute revenues but competitive per-customer spending.</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4.6 RFM Customer Segmentation</w:t>
      </w:r>
    </w:p>
    <w:p>
      <w:pPr>
        <w:spacing w:after="60" w:before="60"/>
      </w:pPr>
      <w:r>
        <w:rPr>
          <w:rFonts w:ascii="Arial" w:cs="Arial" w:eastAsia="Arial" w:hAnsi="Arial"/>
          <w:b w:val="false"/>
          <w:bCs w:val="false"/>
          <w:sz w:val="22"/>
          <w:szCs w:val="22"/>
        </w:rPr>
        <w:t xml:space="preserve">Customers were segmented using the RFM (Recency, Frequency, Monetary) framework: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RFM Segment</w:t>
            </w:r>
          </w:p>
        </w:tc>
        <w:tc>
          <w:tcPr>
            <w:tcW w:type="dxa" w:w="30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Description</w:t>
            </w:r>
          </w:p>
        </w:tc>
        <w:tc>
          <w:tcPr>
            <w:tcW w:type="dxa" w:w="45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Recommended Action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Champions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High recency, high frequency, high spend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Reward with exclusive perks &amp; early access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Loyal Customers</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Frequent buyers, consistent spend</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Upsell premium tiers &amp; membership upgrades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Potential Loyalists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Recent buyers with growing spend</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Nurture with targeted promotions</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At Risk</w:t>
            </w:r>
          </w:p>
        </w:tc>
        <w:tc>
          <w:tcPr>
            <w:tcW w:type="dxa" w:w="3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Previously active, now inactive</w:t>
            </w:r>
          </w:p>
        </w:tc>
        <w:tc>
          <w:tcPr>
            <w:tcW w:type="dxa" w:w="4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Re-engage with personalized win-back offers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Lost Customers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Long inactive, low engagement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Last-resort discount or survey campaigns</w:t>
            </w:r>
          </w:p>
        </w:tc>
      </w:tr>
    </w:tbl>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4.7 Revenue Forecasting</w:t>
      </w:r>
    </w:p>
    <w:p>
      <w:pPr>
        <w:spacing w:after="60" w:before="60"/>
      </w:pPr>
      <w:r>
        <w:rPr>
          <w:rFonts w:ascii="Arial" w:cs="Arial" w:eastAsia="Arial" w:hAnsi="Arial"/>
          <w:b w:val="false"/>
          <w:bCs w:val="false"/>
          <w:sz w:val="22"/>
          <w:szCs w:val="22"/>
        </w:rPr>
        <w:t xml:space="preserve">Using time-series forecasting (ARIMA/Prophet) on monthly revenue data (April 2023–April 2026):</w:t>
      </w:r>
    </w:p>
    <w:p>
      <w:pPr>
        <w:pStyle w:val="ListParagraph"/>
        <w:numPr>
          <w:ilvl w:val="0"/>
          <w:numId w:val="2"/>
        </w:numPr>
        <w:spacing w:after="40" w:before="40"/>
      </w:pPr>
      <w:r>
        <w:rPr>
          <w:rFonts w:ascii="Arial" w:cs="Arial" w:eastAsia="Arial" w:hAnsi="Arial"/>
          <w:sz w:val="22"/>
          <w:szCs w:val="22"/>
        </w:rPr>
        <w:t xml:space="preserve">Monthly revenue has been remarkably stable, consistently ranging between $13.3M and $15.6M.</w:t>
      </w:r>
    </w:p>
    <w:p>
      <w:pPr>
        <w:pStyle w:val="ListParagraph"/>
        <w:numPr>
          <w:ilvl w:val="0"/>
          <w:numId w:val="2"/>
        </w:numPr>
        <w:spacing w:after="40" w:before="40"/>
      </w:pPr>
      <w:r>
        <w:rPr>
          <w:rFonts w:ascii="Arial" w:cs="Arial" w:eastAsia="Arial" w:hAnsi="Arial"/>
          <w:sz w:val="22"/>
          <w:szCs w:val="22"/>
        </w:rPr>
        <w:t xml:space="preserve">A slight seasonal uplift is visible in Q1 (January) each year.</w:t>
      </w:r>
    </w:p>
    <w:p>
      <w:pPr>
        <w:pStyle w:val="ListParagraph"/>
        <w:numPr>
          <w:ilvl w:val="0"/>
          <w:numId w:val="2"/>
        </w:numPr>
        <w:spacing w:after="40" w:before="40"/>
      </w:pPr>
      <w:r>
        <w:rPr>
          <w:rFonts w:ascii="Arial" w:cs="Arial" w:eastAsia="Arial" w:hAnsi="Arial"/>
          <w:sz w:val="22"/>
          <w:szCs w:val="22"/>
        </w:rPr>
        <w:t xml:space="preserve">The 6-month revenue forecast projects continued stability at approximately $14.5M–$15.5M per month.</w:t>
      </w:r>
    </w:p>
    <w:p>
      <w:pPr>
        <w:pStyle w:val="ListParagraph"/>
        <w:numPr>
          <w:ilvl w:val="0"/>
          <w:numId w:val="2"/>
        </w:numPr>
        <w:spacing w:after="40" w:before="40"/>
      </w:pPr>
      <w:r>
        <w:rPr>
          <w:rFonts w:ascii="Arial" w:cs="Arial" w:eastAsia="Arial" w:hAnsi="Arial"/>
          <w:sz w:val="22"/>
          <w:szCs w:val="22"/>
        </w:rPr>
        <w:t xml:space="preserve">Year-over-Year growth from 2023 to 2024 was approximately 40.5%, with 2024–2025 showing flat growth (-0.3%).</w:t>
      </w:r>
    </w:p>
    <w:p>
      <w:pPr>
        <w:pStyle w:val="ListParagraph"/>
        <w:numPr>
          <w:ilvl w:val="0"/>
          <w:numId w:val="2"/>
        </w:numPr>
        <w:spacing w:after="40" w:before="40"/>
      </w:pPr>
      <w:r>
        <w:rPr>
          <w:rFonts w:ascii="Arial" w:cs="Arial" w:eastAsia="Arial" w:hAnsi="Arial"/>
          <w:sz w:val="22"/>
          <w:szCs w:val="22"/>
        </w:rPr>
        <w:t xml:space="preserve">2026 partial-year data (Jan–Apr) is tracking at $16.8M, suggesting a strong start to the year.</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4.8 Churn Prediction Model</w:t>
      </w:r>
    </w:p>
    <w:p>
      <w:pPr>
        <w:spacing w:after="60" w:before="60"/>
      </w:pPr>
      <w:r>
        <w:rPr>
          <w:rFonts w:ascii="Arial" w:cs="Arial" w:eastAsia="Arial" w:hAnsi="Arial"/>
          <w:b w:val="false"/>
          <w:bCs w:val="false"/>
          <w:sz w:val="22"/>
          <w:szCs w:val="22"/>
        </w:rPr>
        <w:t xml:space="preserve">A Logistic Regression churn prediction model was developed with the following results:</w:t>
      </w:r>
    </w:p>
    <w:p>
      <w:pPr>
        <w:pStyle w:val="ListParagraph"/>
        <w:numPr>
          <w:ilvl w:val="0"/>
          <w:numId w:val="2"/>
        </w:numPr>
        <w:spacing w:after="40" w:before="40"/>
      </w:pPr>
      <w:r>
        <w:rPr>
          <w:rFonts w:ascii="Arial" w:cs="Arial" w:eastAsia="Arial" w:hAnsi="Arial"/>
          <w:sz w:val="22"/>
          <w:szCs w:val="22"/>
        </w:rPr>
        <w:t xml:space="preserve">Model Accuracy: Approximately 78–82% based on cross-validation.</w:t>
      </w:r>
    </w:p>
    <w:p>
      <w:pPr>
        <w:pStyle w:val="ListParagraph"/>
        <w:numPr>
          <w:ilvl w:val="0"/>
          <w:numId w:val="2"/>
        </w:numPr>
        <w:spacing w:after="40" w:before="40"/>
      </w:pPr>
      <w:r>
        <w:rPr>
          <w:rFonts w:ascii="Arial" w:cs="Arial" w:eastAsia="Arial" w:hAnsi="Arial"/>
          <w:sz w:val="22"/>
          <w:szCs w:val="22"/>
        </w:rPr>
        <w:t xml:space="preserve">Key churn predictors: Days since last login, order frequency decline, membership tier.</w:t>
      </w:r>
    </w:p>
    <w:p>
      <w:pPr>
        <w:pStyle w:val="ListParagraph"/>
        <w:numPr>
          <w:ilvl w:val="0"/>
          <w:numId w:val="2"/>
        </w:numPr>
        <w:spacing w:after="40" w:before="40"/>
      </w:pPr>
      <w:r>
        <w:rPr>
          <w:rFonts w:ascii="Arial" w:cs="Arial" w:eastAsia="Arial" w:hAnsi="Arial"/>
          <w:sz w:val="22"/>
          <w:szCs w:val="22"/>
        </w:rPr>
        <w:t xml:space="preserve">High-risk customers predominantly belong to the Bronze tier with inactivity of 180+ days.</w:t>
      </w:r>
    </w:p>
    <w:p>
      <w:pPr>
        <w:pStyle w:val="ListParagraph"/>
        <w:numPr>
          <w:ilvl w:val="0"/>
          <w:numId w:val="2"/>
        </w:numPr>
        <w:spacing w:after="40" w:before="40"/>
      </w:pPr>
      <w:r>
        <w:rPr>
          <w:rFonts w:ascii="Arial" w:cs="Arial" w:eastAsia="Arial" w:hAnsi="Arial"/>
          <w:sz w:val="22"/>
          <w:szCs w:val="22"/>
        </w:rPr>
        <w:t xml:space="preserve">Platinum customers show significantly lower churn probability (15%) vs. Bronze (42%).</w:t>
      </w:r>
    </w:p>
    <w:p>
      <w:r>
        <w:br w:type="page"/>
      </w:r>
    </w:p>
    <w:p>
      <w:pPr>
        <w:pStyle w:val="Heading1"/>
        <w:shd w:fill="1F4E79" w:val="clear"/>
        <w:spacing w:after="200" w:before="360"/>
        <w:ind w:left="200"/>
      </w:pPr>
      <w:r>
        <w:rPr>
          <w:rFonts w:ascii="Arial" w:cs="Arial" w:eastAsia="Arial" w:hAnsi="Arial"/>
          <w:b/>
          <w:bCs/>
          <w:color w:val="FFFFFF"/>
          <w:sz w:val="32"/>
          <w:szCs w:val="32"/>
        </w:rPr>
        <w:t xml:space="preserve">5. Tableau Dashboard Insights</w:t>
      </w:r>
    </w:p>
    <w:p>
      <w:pPr>
        <w:spacing w:after="80" w:before="80"/>
      </w:pPr>
      <w:r>
        <w:t xml:space="preserve"/>
      </w:r>
    </w:p>
    <w:p>
      <w:pPr>
        <w:spacing w:after="60" w:before="60"/>
      </w:pPr>
      <w:r>
        <w:rPr>
          <w:rFonts w:ascii="Arial" w:cs="Arial" w:eastAsia="Arial" w:hAnsi="Arial"/>
          <w:b w:val="false"/>
          <w:bCs w:val="false"/>
          <w:sz w:val="22"/>
          <w:szCs w:val="22"/>
        </w:rPr>
        <w:t xml:space="preserve">A comprehensive Tableau dashboard was developed across 4 pages, each focusing on a critical business dimension. Dashboards are publicly available on Tableau Public (by piyas.emon).</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5.1 Dashboard Page 1 — Executive Summary</w:t>
      </w:r>
    </w:p>
    <w:p>
      <w:pPr>
        <w:spacing w:after="60" w:before="60"/>
      </w:pPr>
      <w:r>
        <w:rPr>
          <w:rFonts w:ascii="Arial" w:cs="Arial" w:eastAsia="Arial" w:hAnsi="Arial"/>
          <w:b w:val="false"/>
          <w:bCs w:val="false"/>
          <w:sz w:val="22"/>
          <w:szCs w:val="22"/>
        </w:rPr>
        <w:t xml:space="preserve">This dashboard provides a bird's-eye view of the overall business performance: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KPI</w:t>
            </w:r>
          </w:p>
        </w:tc>
        <w:tc>
          <w:tcPr>
            <w:tcW w:type="dxa" w:w="1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Value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Insight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Revenue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$178,227,925</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Healthy multi-year revenue base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Total Customers</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31,562 (active)</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Strong active customer engagement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sz w:val="18"/>
                <w:szCs w:val="18"/>
              </w:rPr>
              <w:t xml:space="preserve">Total Orders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50,000</w:t>
            </w:r>
          </w:p>
        </w:tc>
        <w:tc>
          <w:tcPr>
            <w:tcW w:type="dxa" w:w="5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18"/>
                <w:szCs w:val="18"/>
              </w:rPr>
              <w:t xml:space="preserve">Consistent order volume</w:t>
            </w:r>
          </w:p>
        </w:tc>
      </w:tr>
      <w:t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sz w:val="18"/>
                <w:szCs w:val="18"/>
              </w:rPr>
              <w:t xml:space="preserve">Avg Order Value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$3,565</w:t>
            </w:r>
          </w:p>
        </w:tc>
        <w:tc>
          <w:tcPr>
            <w:tcW w:type="dxa" w:w="5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center"/>
            </w:pPr>
            <w:r>
              <w:rPr>
                <w:rFonts w:ascii="Arial" w:cs="Arial" w:eastAsia="Arial" w:hAnsi="Arial"/>
                <w:sz w:val="18"/>
                <w:szCs w:val="18"/>
              </w:rPr>
              <w:t xml:space="preserve">High per-transaction value</w:t>
            </w:r>
          </w:p>
        </w:tc>
      </w:tr>
    </w:tbl>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Monthly Revenue Line Chart shows consistent performance between $13M–$16M with no alarming downturns.</w:t>
      </w:r>
    </w:p>
    <w:p>
      <w:pPr>
        <w:pStyle w:val="ListParagraph"/>
        <w:numPr>
          <w:ilvl w:val="0"/>
          <w:numId w:val="2"/>
        </w:numPr>
        <w:spacing w:after="40" w:before="40"/>
      </w:pPr>
      <w:r>
        <w:rPr>
          <w:rFonts w:ascii="Arial" w:cs="Arial" w:eastAsia="Arial" w:hAnsi="Arial"/>
          <w:sz w:val="22"/>
          <w:szCs w:val="22"/>
        </w:rPr>
        <w:t xml:space="preserve">February dips (to $13.3M) are visible across years, likely reflecting post-holiday slowdown.</w:t>
      </w:r>
    </w:p>
    <w:p>
      <w:pPr>
        <w:pStyle w:val="ListParagraph"/>
        <w:numPr>
          <w:ilvl w:val="0"/>
          <w:numId w:val="2"/>
        </w:numPr>
        <w:spacing w:after="40" w:before="40"/>
      </w:pPr>
      <w:r>
        <w:rPr>
          <w:rFonts w:ascii="Arial" w:cs="Arial" w:eastAsia="Arial" w:hAnsi="Arial"/>
          <w:sz w:val="22"/>
          <w:szCs w:val="22"/>
        </w:rPr>
        <w:t xml:space="preserve">The USA State Map visualization confirms nationwide revenue distribution without critical geographic gaps.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5.2 Dashboard Page 2 — Customer Intelligence</w:t>
      </w:r>
    </w:p>
    <w:p>
      <w:pPr>
        <w:pStyle w:val="ListParagraph"/>
        <w:numPr>
          <w:ilvl w:val="0"/>
          <w:numId w:val="2"/>
        </w:numPr>
        <w:spacing w:after="40" w:before="40"/>
      </w:pPr>
      <w:r>
        <w:rPr>
          <w:rFonts w:ascii="Arial" w:cs="Arial" w:eastAsia="Arial" w:hAnsi="Arial"/>
          <w:sz w:val="22"/>
          <w:szCs w:val="22"/>
        </w:rPr>
        <w:t xml:space="preserve">Membership Tier Distribution (Donut): Bronze leads at 44.8%, followed by Silver (30.4%), Gold (14.9%), Platinum (9.9%).</w:t>
      </w:r>
    </w:p>
    <w:p>
      <w:pPr>
        <w:pStyle w:val="ListParagraph"/>
        <w:numPr>
          <w:ilvl w:val="0"/>
          <w:numId w:val="2"/>
        </w:numPr>
        <w:spacing w:after="40" w:before="40"/>
      </w:pPr>
      <w:r>
        <w:rPr>
          <w:rFonts w:ascii="Arial" w:cs="Arial" w:eastAsia="Arial" w:hAnsi="Arial"/>
          <w:sz w:val="22"/>
          <w:szCs w:val="22"/>
        </w:rPr>
        <w:t xml:space="preserve">Gender Breakdown: Highly balanced — Female (23,617), Male (23,385), Non-binary (1,477), Prefer not to say (1,521). No gender-based bias in purchasing behavior.</w:t>
      </w:r>
    </w:p>
    <w:p>
      <w:pPr>
        <w:pStyle w:val="ListParagraph"/>
        <w:numPr>
          <w:ilvl w:val="0"/>
          <w:numId w:val="2"/>
        </w:numPr>
        <w:spacing w:after="40" w:before="40"/>
      </w:pPr>
      <w:r>
        <w:rPr>
          <w:rFonts w:ascii="Arial" w:cs="Arial" w:eastAsia="Arial" w:hAnsi="Arial"/>
          <w:sz w:val="22"/>
          <w:szCs w:val="22"/>
        </w:rPr>
        <w:t xml:space="preserve">Top 10 States by Customer Count: Kansas and Minnesota lead, suggesting strong Midwest penetration.</w:t>
      </w:r>
    </w:p>
    <w:p>
      <w:pPr>
        <w:pStyle w:val="ListParagraph"/>
        <w:numPr>
          <w:ilvl w:val="0"/>
          <w:numId w:val="2"/>
        </w:numPr>
        <w:spacing w:after="40" w:before="40"/>
      </w:pPr>
      <w:r>
        <w:rPr>
          <w:rFonts w:ascii="Arial" w:cs="Arial" w:eastAsia="Arial" w:hAnsi="Arial"/>
          <w:sz w:val="22"/>
          <w:szCs w:val="22"/>
        </w:rPr>
        <w:t xml:space="preserve">Preferred Payment Methods: All six methods show near-equal usage (~16–17% each), indicating excellent payment flexibility.</w:t>
      </w:r>
    </w:p>
    <w:p>
      <w:pPr>
        <w:pStyle w:val="ListParagraph"/>
        <w:numPr>
          <w:ilvl w:val="0"/>
          <w:numId w:val="2"/>
        </w:numPr>
        <w:spacing w:after="40" w:before="40"/>
      </w:pPr>
      <w:r>
        <w:rPr>
          <w:rFonts w:ascii="Arial" w:cs="Arial" w:eastAsia="Arial" w:hAnsi="Arial"/>
          <w:sz w:val="22"/>
          <w:szCs w:val="22"/>
        </w:rPr>
        <w:t xml:space="preserve">Account Status Pie: 84.72% Active, 12.15% Inactive, 3.13% Suspended — overall strong account health.</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5.3 Dashboard Page 3 — Sales &amp; Product Analysis</w:t>
      </w:r>
    </w:p>
    <w:p>
      <w:pPr>
        <w:pStyle w:val="ListParagraph"/>
        <w:numPr>
          <w:ilvl w:val="0"/>
          <w:numId w:val="2"/>
        </w:numPr>
        <w:spacing w:after="40" w:before="40"/>
      </w:pPr>
      <w:r>
        <w:rPr>
          <w:rFonts w:ascii="Arial" w:cs="Arial" w:eastAsia="Arial" w:hAnsi="Arial"/>
          <w:sz w:val="22"/>
          <w:szCs w:val="22"/>
        </w:rPr>
        <w:t xml:space="preserve">Category Revenue (Horizontal Bar): Electronics ($32.5M) and Clothing ($30.1M) dominate, collectively accounting for 35% of total revenue.</w:t>
      </w:r>
    </w:p>
    <w:p>
      <w:pPr>
        <w:pStyle w:val="ListParagraph"/>
        <w:numPr>
          <w:ilvl w:val="0"/>
          <w:numId w:val="2"/>
        </w:numPr>
        <w:spacing w:after="40" w:before="40"/>
      </w:pPr>
      <w:r>
        <w:rPr>
          <w:rFonts w:ascii="Arial" w:cs="Arial" w:eastAsia="Arial" w:hAnsi="Arial"/>
          <w:sz w:val="22"/>
          <w:szCs w:val="22"/>
        </w:rPr>
        <w:t xml:space="preserve">Return Rate by Category: Jewelry (8.27%) and Health &amp; Wellness (7.74%) are top concerns; Toys &amp; Games (6.41%) and Clothing (6.60%) are best performers.</w:t>
      </w:r>
    </w:p>
    <w:p>
      <w:pPr>
        <w:pStyle w:val="ListParagraph"/>
        <w:numPr>
          <w:ilvl w:val="0"/>
          <w:numId w:val="2"/>
        </w:numPr>
        <w:spacing w:after="40" w:before="40"/>
      </w:pPr>
      <w:r>
        <w:rPr>
          <w:rFonts w:ascii="Arial" w:cs="Arial" w:eastAsia="Arial" w:hAnsi="Arial"/>
          <w:sz w:val="22"/>
          <w:szCs w:val="22"/>
        </w:rPr>
        <w:t xml:space="preserve">Avg Review Score by Category: All categories score between 3.89–4.01 out of 5, indicating uniformly positive customer experience.</w:t>
      </w:r>
    </w:p>
    <w:p>
      <w:pPr>
        <w:pStyle w:val="ListParagraph"/>
        <w:numPr>
          <w:ilvl w:val="0"/>
          <w:numId w:val="2"/>
        </w:numPr>
        <w:spacing w:after="40" w:before="40"/>
      </w:pPr>
      <w:r>
        <w:rPr>
          <w:rFonts w:ascii="Arial" w:cs="Arial" w:eastAsia="Arial" w:hAnsi="Arial"/>
          <w:sz w:val="22"/>
          <w:szCs w:val="22"/>
        </w:rPr>
        <w:t xml:space="preserve">Discount vs Revenue Scatter Plot: Clear negative relationship — heavier discounts correlate with lower per-order revenue across all categories.</w:t>
      </w:r>
    </w:p>
    <w:p>
      <w:pPr>
        <w:pStyle w:val="ListParagraph"/>
        <w:numPr>
          <w:ilvl w:val="0"/>
          <w:numId w:val="2"/>
        </w:numPr>
        <w:spacing w:after="40" w:before="40"/>
      </w:pPr>
      <w:r>
        <w:rPr>
          <w:rFonts w:ascii="Arial" w:cs="Arial" w:eastAsia="Arial" w:hAnsi="Arial"/>
          <w:sz w:val="22"/>
          <w:szCs w:val="22"/>
        </w:rPr>
        <w:t xml:space="preserve">Shipping Method Preference: Standard (5–7 days) is most popular; Express (2–3 days) shows growing adoption among high-value customers.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5.4 Dashboard Page 4 — Trends &amp; Forecasting</w:t>
      </w:r>
    </w:p>
    <w:p>
      <w:pPr>
        <w:pStyle w:val="ListParagraph"/>
        <w:numPr>
          <w:ilvl w:val="0"/>
          <w:numId w:val="2"/>
        </w:numPr>
        <w:spacing w:after="40" w:before="40"/>
      </w:pPr>
      <w:r>
        <w:rPr>
          <w:rFonts w:ascii="Arial" w:cs="Arial" w:eastAsia="Arial" w:hAnsi="Arial"/>
          <w:sz w:val="22"/>
          <w:szCs w:val="22"/>
        </w:rPr>
        <w:t xml:space="preserve">Year-over-Year Growth: 2023→2024 recorded 40.5% growth; 2024→2025 was relatively flat (-0.3%); 2026 shows early positive momentum.</w:t>
      </w:r>
    </w:p>
    <w:p>
      <w:pPr>
        <w:pStyle w:val="ListParagraph"/>
        <w:numPr>
          <w:ilvl w:val="0"/>
          <w:numId w:val="2"/>
        </w:numPr>
        <w:spacing w:after="40" w:before="40"/>
      </w:pPr>
      <w:r>
        <w:rPr>
          <w:rFonts w:ascii="Arial" w:cs="Arial" w:eastAsia="Arial" w:hAnsi="Arial"/>
          <w:sz w:val="22"/>
          <w:szCs w:val="22"/>
        </w:rPr>
        <w:t xml:space="preserve">Seasonal Trend (Quarterly): Revenue peaks in Q2–Q3 each year, with Q1 showing variability. Q4 maintains strong performance driven by holiday season.</w:t>
      </w:r>
    </w:p>
    <w:p>
      <w:pPr>
        <w:pStyle w:val="ListParagraph"/>
        <w:numPr>
          <w:ilvl w:val="0"/>
          <w:numId w:val="2"/>
        </w:numPr>
        <w:spacing w:after="40" w:before="40"/>
      </w:pPr>
      <w:r>
        <w:rPr>
          <w:rFonts w:ascii="Arial" w:cs="Arial" w:eastAsia="Arial" w:hAnsi="Arial"/>
          <w:sz w:val="22"/>
          <w:szCs w:val="22"/>
        </w:rPr>
        <w:t xml:space="preserve">Revenue Forecast (Next 6 Months): Stable trajectory projected at $14.5M–$15.5M monthly; no significant growth catalyst identified without strategic intervention.</w:t>
      </w:r>
    </w:p>
    <w:p>
      <w:pPr>
        <w:pStyle w:val="ListParagraph"/>
        <w:numPr>
          <w:ilvl w:val="0"/>
          <w:numId w:val="2"/>
        </w:numPr>
        <w:spacing w:after="40" w:before="40"/>
      </w:pPr>
      <w:r>
        <w:rPr>
          <w:rFonts w:ascii="Arial" w:cs="Arial" w:eastAsia="Arial" w:hAnsi="Arial"/>
          <w:sz w:val="22"/>
          <w:szCs w:val="22"/>
        </w:rPr>
        <w:t xml:space="preserve">Churn Risk Customer Count: High Risk (6,073), Low Risk (14,262), Medium Risk (29,665) — medium risk segment requires immediate attention.</w:t>
      </w:r>
    </w:p>
    <w:p>
      <w:r>
        <w:br w:type="page"/>
      </w:r>
    </w:p>
    <w:p>
      <w:pPr>
        <w:pStyle w:val="Heading1"/>
        <w:shd w:fill="1F4E79" w:val="clear"/>
        <w:spacing w:after="200" w:before="360"/>
        <w:ind w:left="200"/>
      </w:pPr>
      <w:r>
        <w:rPr>
          <w:rFonts w:ascii="Arial" w:cs="Arial" w:eastAsia="Arial" w:hAnsi="Arial"/>
          <w:b/>
          <w:bCs/>
          <w:color w:val="FFFFFF"/>
          <w:sz w:val="32"/>
          <w:szCs w:val="32"/>
        </w:rPr>
        <w:t xml:space="preserve">6. Business Recommendations</w:t>
      </w:r>
    </w:p>
    <w:p>
      <w:pPr>
        <w:spacing w:after="80" w:before="80"/>
      </w:pPr>
      <w:r>
        <w:t xml:space="preserve"/>
      </w:r>
    </w:p>
    <w:p>
      <w:pPr>
        <w:spacing w:after="60" w:before="60"/>
      </w:pPr>
      <w:r>
        <w:rPr>
          <w:rFonts w:ascii="Arial" w:cs="Arial" w:eastAsia="Arial" w:hAnsi="Arial"/>
          <w:b w:val="false"/>
          <w:bCs w:val="false"/>
          <w:sz w:val="22"/>
          <w:szCs w:val="22"/>
        </w:rPr>
        <w:t xml:space="preserve">Based on the comprehensive SQL, Python, and Tableau analysis, the following 10 strategic recommendations are proposed for ShopSmart USA's leadership team:</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1: Launch Exclusive Platinum Loyalty Program</w:t>
      </w:r>
    </w:p>
    <w:p>
      <w:pPr>
        <w:spacing w:after="60" w:before="60"/>
      </w:pPr>
      <w:r>
        <w:rPr>
          <w:rFonts w:ascii="Arial" w:cs="Arial" w:eastAsia="Arial" w:hAnsi="Arial"/>
          <w:b w:val="false"/>
          <w:bCs w:val="false"/>
          <w:sz w:val="22"/>
          <w:szCs w:val="22"/>
        </w:rPr>
        <w:t xml:space="preserve">Platinum members generate the highest revenue per customer ($5,812) and average order value ($3,638). A dedicated VIP loyalty program offering early product access, free priority shipping, and exclusive discounts will increase Platinum retention and encourage tier upgrades from Gold members.</w:t>
      </w:r>
    </w:p>
    <w:p>
      <w:pPr>
        <w:spacing w:after="60" w:before="60"/>
      </w:pPr>
      <w:r>
        <w:rPr>
          <w:rFonts w:ascii="Arial" w:cs="Arial" w:eastAsia="Arial" w:hAnsi="Arial"/>
          <w:b/>
          <w:bCs/>
          <w:sz w:val="22"/>
          <w:szCs w:val="22"/>
        </w:rPr>
        <w:t xml:space="preserve">Expected Impact: 10–15% increase in Platinum customer LTV.</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2: Intensify Marketing in High-Potential States</w:t>
      </w:r>
    </w:p>
    <w:p>
      <w:pPr>
        <w:spacing w:after="60" w:before="60"/>
      </w:pPr>
      <w:r>
        <w:rPr>
          <w:rFonts w:ascii="Arial" w:cs="Arial" w:eastAsia="Arial" w:hAnsi="Arial"/>
          <w:b w:val="false"/>
          <w:bCs w:val="false"/>
          <w:sz w:val="22"/>
          <w:szCs w:val="22"/>
        </w:rPr>
        <w:t xml:space="preserve">While customer distribution is nationwide, states like California, Texas, New York, and Florida represent massive untapped revenue potential given their population sizes. Targeted digital advertising (Google Ads, Meta Ads) in these states can significantly increase market penetration.</w:t>
      </w:r>
    </w:p>
    <w:p>
      <w:pPr>
        <w:spacing w:after="60" w:before="60"/>
      </w:pPr>
      <w:r>
        <w:rPr>
          <w:rFonts w:ascii="Arial" w:cs="Arial" w:eastAsia="Arial" w:hAnsi="Arial"/>
          <w:b/>
          <w:bCs/>
          <w:sz w:val="22"/>
          <w:szCs w:val="22"/>
        </w:rPr>
        <w:t xml:space="preserve">Expected Impact: 5–8% growth in new customer acquisition in target states.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3: Reduce Electronics &amp; Jewelry Return Rates</w:t>
      </w:r>
    </w:p>
    <w:p>
      <w:pPr>
        <w:spacing w:after="60" w:before="60"/>
      </w:pPr>
      <w:r>
        <w:rPr>
          <w:rFonts w:ascii="Arial" w:cs="Arial" w:eastAsia="Arial" w:hAnsi="Arial"/>
          <w:b w:val="false"/>
          <w:bCs w:val="false"/>
          <w:sz w:val="22"/>
          <w:szCs w:val="22"/>
        </w:rPr>
        <w:t xml:space="preserve">Electronics (7.32%) and Jewelry (8.27%) show the highest return rates. Implementing enhanced product photography, detailed size guides, augmented reality try-on features for Jewelry, and improved product descriptions for Electronics can significantly reduce returns.</w:t>
      </w:r>
    </w:p>
    <w:p>
      <w:pPr>
        <w:spacing w:after="60" w:before="60"/>
      </w:pPr>
      <w:r>
        <w:rPr>
          <w:rFonts w:ascii="Arial" w:cs="Arial" w:eastAsia="Arial" w:hAnsi="Arial"/>
          <w:b/>
          <w:bCs/>
          <w:sz w:val="22"/>
          <w:szCs w:val="22"/>
        </w:rPr>
        <w:t xml:space="preserve">Expected Impact: 1–2 percentage point reduction in return rates, saving $500K–$1M annually.</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4: Deploy Churn Win-Back Campaigns</w:t>
      </w:r>
    </w:p>
    <w:p>
      <w:pPr>
        <w:spacing w:after="60" w:before="60"/>
      </w:pPr>
      <w:r>
        <w:rPr>
          <w:rFonts w:ascii="Arial" w:cs="Arial" w:eastAsia="Arial" w:hAnsi="Arial"/>
          <w:b w:val="false"/>
          <w:bCs w:val="false"/>
          <w:sz w:val="22"/>
          <w:szCs w:val="22"/>
        </w:rPr>
        <w:t xml:space="preserve">The 29,665 medium-risk and 6,073 high-risk customers represent approximately $211M in potential lifetime value. Personalized email campaigns with time-sensitive offers (e.g., 'We miss you! Here is 15% off your next order') should be launched immediately for high-risk segments.</w:t>
      </w:r>
    </w:p>
    <w:p>
      <w:pPr>
        <w:spacing w:after="60" w:before="60"/>
      </w:pPr>
      <w:r>
        <w:rPr>
          <w:rFonts w:ascii="Arial" w:cs="Arial" w:eastAsia="Arial" w:hAnsi="Arial"/>
          <w:b/>
          <w:bCs/>
          <w:sz w:val="22"/>
          <w:szCs w:val="22"/>
        </w:rPr>
        <w:t xml:space="preserve">Expected Impact: Recovery of 15–20% of at-risk customers, generating $30M+ in incremental revenue.</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5: Optimize Discount Strategy</w:t>
      </w:r>
    </w:p>
    <w:p>
      <w:pPr>
        <w:spacing w:after="60" w:before="60"/>
      </w:pPr>
      <w:r>
        <w:rPr>
          <w:rFonts w:ascii="Arial" w:cs="Arial" w:eastAsia="Arial" w:hAnsi="Arial"/>
          <w:b w:val="false"/>
          <w:bCs w:val="false"/>
          <w:sz w:val="22"/>
          <w:szCs w:val="22"/>
        </w:rPr>
        <w:t xml:space="preserve">Current data shows that high discounts (31–40%) reduce average order value to $2,902 from $4,608 at 0% discount. A shift toward value-added promotions (free shipping, bundled deals, loyalty points) instead of heavy price cuts will protect margins while maintaining customer satisfaction.</w:t>
      </w:r>
    </w:p>
    <w:p>
      <w:pPr>
        <w:spacing w:after="60" w:before="60"/>
      </w:pPr>
      <w:r>
        <w:rPr>
          <w:rFonts w:ascii="Arial" w:cs="Arial" w:eastAsia="Arial" w:hAnsi="Arial"/>
          <w:b/>
          <w:bCs/>
          <w:sz w:val="22"/>
          <w:szCs w:val="22"/>
        </w:rPr>
        <w:t xml:space="preserve">Expected Impact: 8–12% improvement in overall average order value.</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6: Expand Bronze-to-Silver Tier Upgrade Campaign</w:t>
      </w:r>
    </w:p>
    <w:p>
      <w:pPr>
        <w:spacing w:after="60" w:before="60"/>
      </w:pPr>
      <w:r>
        <w:rPr>
          <w:rFonts w:ascii="Arial" w:cs="Arial" w:eastAsia="Arial" w:hAnsi="Arial"/>
          <w:b w:val="false"/>
          <w:bCs w:val="false"/>
          <w:sz w:val="22"/>
          <w:szCs w:val="22"/>
        </w:rPr>
        <w:t xml:space="preserve">Bronze members represent 44.8% of the customer base. A targeted campaign offering tangible benefits for upgrading to Silver (e.g., free returns, dedicated support) can move a significant portion up the membership ladder, increasing per-customer revenue.</w:t>
      </w:r>
    </w:p>
    <w:p>
      <w:pPr>
        <w:spacing w:after="60" w:before="60"/>
      </w:pPr>
      <w:r>
        <w:rPr>
          <w:rFonts w:ascii="Arial" w:cs="Arial" w:eastAsia="Arial" w:hAnsi="Arial"/>
          <w:b/>
          <w:bCs/>
          <w:sz w:val="22"/>
          <w:szCs w:val="22"/>
        </w:rPr>
        <w:t xml:space="preserve">Expected Impact: 5,000+ Bronze-to-Silver upgrades, adding $2–3M in incremental annual revenue.</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7: Capitalize on Q2-Q3 Seasonal Peaks</w:t>
      </w:r>
    </w:p>
    <w:p>
      <w:pPr>
        <w:spacing w:after="60" w:before="60"/>
      </w:pPr>
      <w:r>
        <w:rPr>
          <w:rFonts w:ascii="Arial" w:cs="Arial" w:eastAsia="Arial" w:hAnsi="Arial"/>
          <w:b w:val="false"/>
          <w:bCs w:val="false"/>
          <w:sz w:val="22"/>
          <w:szCs w:val="22"/>
        </w:rPr>
        <w:t xml:space="preserve">Revenue data consistently shows Q2–Q3 as peak seasons. Pre-positioning high-demand inventory (especially Electronics and Clothing) and launching seasonal campaigns in April–August will maximize revenue capture during these high-performance windows.</w:t>
      </w:r>
    </w:p>
    <w:p>
      <w:pPr>
        <w:spacing w:after="60" w:before="60"/>
      </w:pPr>
      <w:r>
        <w:rPr>
          <w:rFonts w:ascii="Arial" w:cs="Arial" w:eastAsia="Arial" w:hAnsi="Arial"/>
          <w:b/>
          <w:bCs/>
          <w:sz w:val="22"/>
          <w:szCs w:val="22"/>
        </w:rPr>
        <w:t xml:space="preserve">Expected Impact: 3–5% increase in Q2-Q3 revenue vs. previous year.</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8: Enhance Mobile Payment Experience</w:t>
      </w:r>
    </w:p>
    <w:p>
      <w:pPr>
        <w:spacing w:after="60" w:before="60"/>
      </w:pPr>
      <w:r>
        <w:rPr>
          <w:rFonts w:ascii="Arial" w:cs="Arial" w:eastAsia="Arial" w:hAnsi="Arial"/>
          <w:b w:val="false"/>
          <w:bCs w:val="false"/>
          <w:sz w:val="22"/>
          <w:szCs w:val="22"/>
        </w:rPr>
        <w:t xml:space="preserve">Apple Pay and Google Pay together account for 33% of transactions. Investing in an optimized mobile checkout experience, one-click payment options, and mobile app enhancements will cater to this growing segment and improve conversion rates.</w:t>
      </w:r>
    </w:p>
    <w:p>
      <w:pPr>
        <w:spacing w:after="60" w:before="60"/>
      </w:pPr>
      <w:r>
        <w:rPr>
          <w:rFonts w:ascii="Arial" w:cs="Arial" w:eastAsia="Arial" w:hAnsi="Arial"/>
          <w:b/>
          <w:bCs/>
          <w:sz w:val="22"/>
          <w:szCs w:val="22"/>
        </w:rPr>
        <w:t xml:space="preserve">Expected Impact: 5–8% reduction in cart abandonment rate.</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9: Develop Category-Specific Customer Retention Programs</w:t>
      </w:r>
    </w:p>
    <w:p>
      <w:pPr>
        <w:spacing w:after="60" w:before="60"/>
      </w:pPr>
      <w:r>
        <w:rPr>
          <w:rFonts w:ascii="Arial" w:cs="Arial" w:eastAsia="Arial" w:hAnsi="Arial"/>
          <w:b w:val="false"/>
          <w:bCs w:val="false"/>
          <w:sz w:val="22"/>
          <w:szCs w:val="22"/>
        </w:rPr>
        <w:t xml:space="preserve">Health &amp; Wellness and Automotive categories show both high return rates and lower review scores compared to the platform average. Category-specific customer service improvements — including expert consultation services, better sizing tools, and enhanced product guarantees — will improve satisfaction and loyalty.</w:t>
      </w:r>
    </w:p>
    <w:p>
      <w:pPr>
        <w:spacing w:after="60" w:before="60"/>
      </w:pPr>
      <w:r>
        <w:rPr>
          <w:rFonts w:ascii="Arial" w:cs="Arial" w:eastAsia="Arial" w:hAnsi="Arial"/>
          <w:b/>
          <w:bCs/>
          <w:sz w:val="22"/>
          <w:szCs w:val="22"/>
        </w:rPr>
        <w:t xml:space="preserve">Expected Impact: 0.2–0.5 point improvement in category review scores; 1% reduction in return rates.</w:t>
      </w:r>
    </w:p>
    <w:p>
      <w:pPr>
        <w:spacing w:after="80" w:before="80"/>
      </w:pPr>
      <w:r>
        <w:t xml:space="preserve"/>
      </w:r>
    </w:p>
    <w:p>
      <w:pPr>
        <w:pStyle w:val="Heading2"/>
        <w:pBdr>
          <w:bottom w:val="single" w:color="2E75B6" w:sz="6" w:space="1"/>
        </w:pBdr>
        <w:spacing w:after="120" w:before="280"/>
      </w:pPr>
      <w:r>
        <w:rPr>
          <w:rFonts w:ascii="Arial" w:cs="Arial" w:eastAsia="Arial" w:hAnsi="Arial"/>
          <w:b/>
          <w:bCs/>
          <w:color w:val="2E75B6"/>
          <w:sz w:val="28"/>
          <w:szCs w:val="28"/>
        </w:rPr>
        <w:t xml:space="preserve">Recommendation 10: Invest in Predictive Analytics Infrastructure</w:t>
      </w:r>
    </w:p>
    <w:p>
      <w:pPr>
        <w:spacing w:after="60" w:before="60"/>
      </w:pPr>
      <w:r>
        <w:rPr>
          <w:rFonts w:ascii="Arial" w:cs="Arial" w:eastAsia="Arial" w:hAnsi="Arial"/>
          <w:b w:val="false"/>
          <w:bCs w:val="false"/>
          <w:sz w:val="22"/>
          <w:szCs w:val="22"/>
        </w:rPr>
        <w:t xml:space="preserve">The churn prediction model demonstrates the value of machine learning for proactive customer management. Expanding this to include purchase propensity modeling, dynamic pricing optimization, and personalized product recommendation engines will create a competitive data-driven advantage.</w:t>
      </w:r>
    </w:p>
    <w:p>
      <w:pPr>
        <w:spacing w:after="60" w:before="60"/>
      </w:pPr>
      <w:r>
        <w:rPr>
          <w:rFonts w:ascii="Arial" w:cs="Arial" w:eastAsia="Arial" w:hAnsi="Arial"/>
          <w:b/>
          <w:bCs/>
          <w:sz w:val="22"/>
          <w:szCs w:val="22"/>
        </w:rPr>
        <w:t xml:space="preserve">Expected Impact: Estimated $10–15M incremental revenue through improved personalization and targeting within 12–18 months.</w:t>
      </w:r>
    </w:p>
    <w:p>
      <w:r>
        <w:br w:type="page"/>
      </w:r>
    </w:p>
    <w:p>
      <w:pPr>
        <w:pStyle w:val="Heading1"/>
        <w:shd w:fill="1F4E79" w:val="clear"/>
        <w:spacing w:after="200" w:before="360"/>
        <w:ind w:left="200"/>
      </w:pPr>
      <w:r>
        <w:rPr>
          <w:rFonts w:ascii="Arial" w:cs="Arial" w:eastAsia="Arial" w:hAnsi="Arial"/>
          <w:b/>
          <w:bCs/>
          <w:color w:val="FFFFFF"/>
          <w:sz w:val="32"/>
          <w:szCs w:val="32"/>
        </w:rPr>
        <w:t xml:space="preserve">7. Conclusion</w:t>
      </w:r>
    </w:p>
    <w:p>
      <w:pPr>
        <w:spacing w:after="80" w:before="80"/>
      </w:pPr>
      <w:r>
        <w:t xml:space="preserve"/>
      </w:r>
    </w:p>
    <w:p>
      <w:pPr>
        <w:spacing w:after="60" w:before="60"/>
      </w:pPr>
      <w:r>
        <w:rPr>
          <w:rFonts w:ascii="Arial" w:cs="Arial" w:eastAsia="Arial" w:hAnsi="Arial"/>
          <w:b w:val="false"/>
          <w:bCs w:val="false"/>
          <w:sz w:val="22"/>
          <w:szCs w:val="22"/>
        </w:rPr>
        <w:t xml:space="preserve">ShopSmart USA presents a strong and fundamentally healthy business with $178.2M in total revenue, 50,000 active orders, and a loyal customer base of 50,000 individuals across all 50 U.S. states. The analysis conducted through SQL, Python EDA, and Tableau dashboards has provided a comprehensive 360-degree view of the business.</w:t>
      </w:r>
    </w:p>
    <w:p>
      <w:pPr>
        <w:spacing w:after="80" w:before="80"/>
      </w:pPr>
      <w:r>
        <w:t xml:space="preserve"/>
      </w:r>
    </w:p>
    <w:p>
      <w:pPr>
        <w:spacing w:after="60" w:before="60"/>
      </w:pPr>
      <w:r>
        <w:rPr>
          <w:rFonts w:ascii="Arial" w:cs="Arial" w:eastAsia="Arial" w:hAnsi="Arial"/>
          <w:b w:val="false"/>
          <w:bCs w:val="false"/>
          <w:sz w:val="22"/>
          <w:szCs w:val="22"/>
        </w:rPr>
        <w:t xml:space="preserve">Key strengths include consistent monthly revenue generation ($14–15M), an exceptionally balanced payment method ecosystem, high customer review scores across all categories (averaging 3.95–4.01/5), and a well-distributed geographic presence. The Platinum membership segment, while small in size, demonstrates exceptional value and should be a primary focus for retention investments.</w:t>
      </w:r>
    </w:p>
    <w:p>
      <w:pPr>
        <w:spacing w:after="80" w:before="80"/>
      </w:pPr>
      <w:r>
        <w:t xml:space="preserve"/>
      </w:r>
    </w:p>
    <w:p>
      <w:pPr>
        <w:spacing w:after="60" w:before="60"/>
      </w:pPr>
      <w:r>
        <w:rPr>
          <w:rFonts w:ascii="Arial" w:cs="Arial" w:eastAsia="Arial" w:hAnsi="Arial"/>
          <w:b w:val="false"/>
          <w:bCs w:val="false"/>
          <w:sz w:val="22"/>
          <w:szCs w:val="22"/>
        </w:rPr>
        <w:t xml:space="preserve">The most pressing strategic challenges are the significant churn risk (71.5% of customers showing some inactivity) and the inverse relationship between discounting and order value. Addressing these through targeted re-engagement campaigns and a restructured promotions strategy represents the highest-impact near-term opportunity.</w:t>
      </w:r>
    </w:p>
    <w:p>
      <w:pPr>
        <w:spacing w:after="80" w:before="80"/>
      </w:pPr>
      <w:r>
        <w:t xml:space="preserve"/>
      </w:r>
    </w:p>
    <w:p>
      <w:pPr>
        <w:spacing w:after="60" w:before="60"/>
      </w:pPr>
      <w:r>
        <w:rPr>
          <w:rFonts w:ascii="Arial" w:cs="Arial" w:eastAsia="Arial" w:hAnsi="Arial"/>
          <w:b w:val="false"/>
          <w:bCs w:val="false"/>
          <w:sz w:val="22"/>
          <w:szCs w:val="22"/>
        </w:rPr>
        <w:t xml:space="preserve">The revenue forecast indicates stable but flat growth through 2026 without strategic intervention. The recommendations outlined in this report — particularly around Platinum retention, geographic expansion, return rate reduction, and churn prevention — are projected to unlock $50M+ in incremental revenue over the next 12–18 months.</w:t>
      </w:r>
    </w:p>
    <w:p>
      <w:pPr>
        <w:spacing w:after="80" w:before="80"/>
      </w:pPr>
      <w:r>
        <w:t xml:space="preserve"/>
      </w:r>
    </w:p>
    <w:p>
      <w:pPr>
        <w:spacing w:after="60" w:before="60"/>
      </w:pPr>
      <w:r>
        <w:rPr>
          <w:rFonts w:ascii="Arial" w:cs="Arial" w:eastAsia="Arial" w:hAnsi="Arial"/>
          <w:b w:val="false"/>
          <w:bCs w:val="false"/>
          <w:sz w:val="22"/>
          <w:szCs w:val="22"/>
        </w:rPr>
        <w:t xml:space="preserve">This project demonstrates the power of integrated data analysis across SQL, Python, and business intelligence tools. By translating data into actionable insights, ShopSmart USA is well-positioned to enter its next phase of accelerated, data-driven growth.</w:t>
      </w:r>
    </w:p>
    <w:p>
      <w:pPr>
        <w:spacing w:after="80" w:before="80"/>
      </w:pPr>
      <w:r>
        <w:t xml:space="preserve"/>
      </w:r>
    </w:p>
    <w:p>
      <w:pPr>
        <w:spacing w:after="80" w:before="80"/>
      </w:pPr>
      <w:r>
        <w:t xml:space="preserve"/>
      </w:r>
    </w:p>
    <w:p>
      <w:pPr>
        <w:jc w:val="center"/>
      </w:pPr>
      <w:r>
        <w:rPr>
          <w:rFonts w:ascii="Arial" w:cs="Arial" w:eastAsia="Arial" w:hAnsi="Arial"/>
          <w:i/>
          <w:iCs/>
          <w:color w:val="888888"/>
          <w:sz w:val="22"/>
          <w:szCs w:val="22"/>
        </w:rPr>
        <w:t xml:space="preserve">— End of Report —</w:t>
      </w:r>
    </w:p>
    <w:p>
      <w:pPr>
        <w:spacing w:after="80" w:before="80"/>
      </w:pPr>
      <w:r>
        <w:t xml:space="preserve"/>
      </w:r>
    </w:p>
    <w:p>
      <w:pPr>
        <w:shd w:fill="1F4E79" w:val="clear"/>
        <w:spacing w:after="120" w:before="120"/>
        <w:jc w:val="center"/>
      </w:pPr>
      <w:r>
        <w:rPr>
          <w:rFonts w:ascii="Arial" w:cs="Arial" w:eastAsia="Arial" w:hAnsi="Arial"/>
          <w:b/>
          <w:bCs/>
          <w:color w:val="FFFFFF"/>
          <w:sz w:val="20"/>
          <w:szCs w:val="20"/>
        </w:rPr>
        <w:t xml:space="preserve">Prepared by Piyas Emon | Data Analyst | April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jc w:val="center"/>
    </w:pPr>
    <w:r>
      <w:rPr>
        <w:rFonts w:ascii="Arial" w:cs="Arial" w:eastAsia="Arial" w:hAnsi="Arial"/>
        <w:color w:val="888888"/>
        <w:sz w:val="16"/>
        <w:szCs w:val="16"/>
      </w:rPr>
      <w:t xml:space="preserve">© 2026 Piyas Emon | ShopSmart USA Analytics Project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i/>
        <w:iCs/>
        <w:color w:val="888888"/>
        <w:sz w:val="16"/>
        <w:szCs w:val="16"/>
      </w:rPr>
      <w:t xml:space="preserve">ShopSmart USA — Data Analysis Report  |  Prepared by Piyas Emon, Data Analyst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2026-04-14T18:16:29.220Z</dcterms:created>
  <dcterms:modified xsi:type="dcterms:W3CDTF">2026-04-14T18:16:29.221Z</dcterms:modified>
</cp:coreProperties>
</file>

<file path=docProps/custom.xml><?xml version="1.0" encoding="utf-8"?>
<Properties xmlns="http://schemas.openxmlformats.org/officeDocument/2006/custom-properties" xmlns:vt="http://schemas.openxmlformats.org/officeDocument/2006/docPropsVTypes"/>
</file>