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7E825">
      <w:pPr>
        <w:pStyle w:val="2"/>
        <w:rPr>
          <w:color w:val="auto"/>
        </w:rPr>
      </w:pPr>
      <w:r>
        <w:rPr>
          <w:color w:val="auto"/>
        </w:rPr>
        <w:t>Methodology</w:t>
      </w:r>
    </w:p>
    <w:p w14:paraId="7CF77A44">
      <w:pPr>
        <w:rPr>
          <w:color w:val="auto"/>
        </w:rPr>
      </w:pPr>
      <w:r>
        <w:rPr>
          <w:color w:val="auto"/>
        </w:rPr>
        <w:t xml:space="preserve">This review employed a scoping review design rather than </w:t>
      </w:r>
      <w:bookmarkStart w:id="0" w:name="_GoBack"/>
      <w:bookmarkEnd w:id="0"/>
      <w:r>
        <w:rPr>
          <w:color w:val="auto"/>
        </w:rPr>
        <w:t>a systematic review or meta-analysis. A scoping review was selected because the literature on deep learning-based crowd density estimation applied to public transport is methodologically heterogeneous</w:t>
      </w:r>
      <w:r>
        <w:rPr>
          <w:rFonts w:hint="default"/>
          <w:color w:val="auto"/>
          <w:lang w:val="kk-KZ"/>
        </w:rPr>
        <w:t>,</w:t>
      </w:r>
      <w:r>
        <w:rPr>
          <w:color w:val="auto"/>
        </w:rPr>
        <w:t xml:space="preserve"> studies report incompatible metrics (percentage accuracy, MAE, precision, qualitative performance claims) across incompatible sensing setups (RGB cameras, LiDAR, IoT camera modules), which rules out statistical pooling. A scoping review is appropriate for mapping the breadth of an emerging, unevenly reported field and for identifying where evidence is missing, which matches the purpose of this review: establishing what deep learning approaches exist for passenger density estimation in transit vehicles, and where the gaps are. The guiding research question was: How effectively do deep learning-based computer vision methods estimate passenger density in public transport vehicles?</w:t>
      </w:r>
    </w:p>
    <w:p w14:paraId="46F37B8D">
      <w:pPr>
        <w:rPr>
          <w:color w:val="auto"/>
        </w:rPr>
      </w:pPr>
      <w:r>
        <w:rPr>
          <w:color w:val="auto"/>
        </w:rPr>
        <w:t>The search was conducted in Scite, a literature index that resolves full-text access, citation context, and abstracts across peer-reviewed venues and preprint servers. Scite was chosen because it supports field-scoped Boolean search comparable to Scopus or Web of Science and because institutional access to those databases was not available in this session. This is disclosed as an access limitation: only one database was systematically searched; Google Scholar and IEEE Xplore were not queried with the same protocol and are not part of the reported record count. Several individual records returned by Scite were closed-access with no indexed abstract, which excluded them from eligibility screening regardless of topical relevance — a second, record-level access limitation.</w:t>
      </w:r>
    </w:p>
    <w:p w14:paraId="40DBBDFD">
      <w:pPr>
        <w:rPr>
          <w:color w:val="auto"/>
        </w:rPr>
      </w:pPr>
      <w:r>
        <w:rPr>
          <w:color w:val="auto"/>
        </w:rPr>
        <w:t>Three concepts were combined: the outcome/technique (“crowd counting” OR “crowd density estimation” OR “passenger counting”), the setting (“public transport” OR “public transportation” OR bus OR transit), and the method (“deep learning” OR “convolutional neural network” OR “attention mechanism”), joined with AND across concepts and OR within concepts. The full string: (“crowd counting” OR “crowd density estimation” OR “passenger counting”) AND (“public transport” OR “public transportation” OR bus OR transit) AND (“deep learning” OR “convolutional neural network” OR “attention mechanism”). This returned 604 records on first run, already inside the workable calibration range. A second, broader attempt substituting generic terms (“occupancy”, “neural network”, vehicle-cabin phrasing) returned 9,222 records and was discarded as too imprecise. The date filter 2020–present was applied to the working string, reducing it to 509 records; the cutoff reflects the field’s fast pace, per the same rule used elsewhere in this course. Language was restricted to English, the only language Scite’s abstract index reliably returned for this query. The search was run on 2026-08-25.</w:t>
      </w:r>
    </w:p>
    <w:p w14:paraId="319B6566">
      <w:pPr>
        <w:pStyle w:val="3"/>
        <w:rPr>
          <w:color w:val="auto"/>
        </w:rPr>
      </w:pPr>
      <w:r>
        <w:rPr>
          <w:color w:val="auto"/>
        </w:rPr>
        <w:t>Eligibility criteria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FF1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E1C002">
            <w:pPr>
              <w:spacing w:after="0" w:line="240" w:lineRule="auto"/>
              <w:rPr>
                <w:color w:val="auto"/>
              </w:rPr>
            </w:pPr>
            <w:r>
              <w:rPr>
                <w:b/>
                <w:color w:val="auto"/>
              </w:rPr>
              <w:t>Inclusion</w:t>
            </w:r>
          </w:p>
        </w:tc>
        <w:tc>
          <w:tcPr>
            <w:tcW w:w="4320" w:type="dxa"/>
          </w:tcPr>
          <w:p w14:paraId="1BEC47D7">
            <w:pPr>
              <w:spacing w:after="0" w:line="240" w:lineRule="auto"/>
              <w:rPr>
                <w:color w:val="auto"/>
              </w:rPr>
            </w:pPr>
            <w:r>
              <w:rPr>
                <w:b/>
                <w:color w:val="auto"/>
              </w:rPr>
              <w:t>Exclusion</w:t>
            </w:r>
          </w:p>
        </w:tc>
      </w:tr>
      <w:tr w14:paraId="0AF9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0D4D14">
            <w:pPr>
              <w:spacing w:after="0" w:line="240" w:lineRule="auto"/>
              <w:rPr>
                <w:color w:val="auto"/>
              </w:rPr>
            </w:pPr>
            <w:r>
              <w:rPr>
                <w:color w:val="auto"/>
              </w:rPr>
              <w:t>Applies a deep learning method (CNN, attention, transformer, or hybrid) to crowd/passenger counting or density estimation</w:t>
            </w:r>
          </w:p>
        </w:tc>
        <w:tc>
          <w:tcPr>
            <w:tcW w:w="4320" w:type="dxa"/>
          </w:tcPr>
          <w:p w14:paraId="1C67E4FD">
            <w:pPr>
              <w:spacing w:after="0" w:line="240" w:lineRule="auto"/>
              <w:rPr>
                <w:color w:val="auto"/>
              </w:rPr>
            </w:pPr>
            <w:r>
              <w:rPr>
                <w:color w:val="auto"/>
              </w:rPr>
              <w:t>Is a duplicate record (same study under multiple preprint versions or venues)</w:t>
            </w:r>
          </w:p>
        </w:tc>
      </w:tr>
      <w:tr w14:paraId="265B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C7E8D8">
            <w:pPr>
              <w:spacing w:after="0" w:line="240" w:lineRule="auto"/>
              <w:rPr>
                <w:color w:val="auto"/>
              </w:rPr>
            </w:pPr>
            <w:r>
              <w:rPr>
                <w:color w:val="auto"/>
              </w:rPr>
              <w:t>Application setting is public transport (bus, metro, train, or a transit stop/vehicle cabin)</w:t>
            </w:r>
          </w:p>
        </w:tc>
        <w:tc>
          <w:tcPr>
            <w:tcW w:w="4320" w:type="dxa"/>
          </w:tcPr>
          <w:p w14:paraId="4E822FC6">
            <w:pPr>
              <w:spacing w:after="0" w:line="240" w:lineRule="auto"/>
              <w:rPr>
                <w:color w:val="auto"/>
              </w:rPr>
            </w:pPr>
            <w:r>
              <w:rPr>
                <w:color w:val="auto"/>
              </w:rPr>
              <w:t>Crowd-counting application is unrelated to transit (general street, event, or urban-planning counting)</w:t>
            </w:r>
          </w:p>
        </w:tc>
      </w:tr>
      <w:tr w14:paraId="728F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EF6BC1">
            <w:pPr>
              <w:spacing w:after="0" w:line="240" w:lineRule="auto"/>
              <w:rPr>
                <w:color w:val="auto"/>
              </w:rPr>
            </w:pPr>
            <w:r>
              <w:rPr>
                <w:color w:val="auto"/>
              </w:rPr>
              <w:t>Reports a quantitative or explicitly stated performance outcome</w:t>
            </w:r>
          </w:p>
        </w:tc>
        <w:tc>
          <w:tcPr>
            <w:tcW w:w="4320" w:type="dxa"/>
          </w:tcPr>
          <w:p w14:paraId="70FB56AE">
            <w:pPr>
              <w:spacing w:after="0" w:line="240" w:lineRule="auto"/>
              <w:rPr>
                <w:color w:val="auto"/>
              </w:rPr>
            </w:pPr>
            <w:r>
              <w:rPr>
                <w:color w:val="auto"/>
              </w:rPr>
              <w:t>Relies solely on a non-vision modality unconnected to computer vision (e.g., pure fare-card or Wi-Fi based models)</w:t>
            </w:r>
          </w:p>
        </w:tc>
      </w:tr>
      <w:tr w14:paraId="2DB4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EF7784">
            <w:pPr>
              <w:spacing w:after="0" w:line="240" w:lineRule="auto"/>
              <w:rPr>
                <w:color w:val="auto"/>
              </w:rPr>
            </w:pPr>
            <w:r>
              <w:rPr>
                <w:color w:val="auto"/>
              </w:rPr>
              <w:t>Published 2020 or later</w:t>
            </w:r>
          </w:p>
        </w:tc>
        <w:tc>
          <w:tcPr>
            <w:tcW w:w="4320" w:type="dxa"/>
          </w:tcPr>
          <w:p w14:paraId="29891964">
            <w:pPr>
              <w:spacing w:after="0" w:line="240" w:lineRule="auto"/>
              <w:rPr>
                <w:color w:val="auto"/>
              </w:rPr>
            </w:pPr>
            <w:r>
              <w:rPr>
                <w:color w:val="auto"/>
              </w:rPr>
              <w:t>Full text/abstract is inaccessible for review</w:t>
            </w:r>
          </w:p>
        </w:tc>
      </w:tr>
      <w:tr w14:paraId="41E5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0FD481">
            <w:pPr>
              <w:spacing w:after="0" w:line="240" w:lineRule="auto"/>
              <w:rPr>
                <w:color w:val="auto"/>
              </w:rPr>
            </w:pPr>
            <w:r>
              <w:rPr>
                <w:color w:val="auto"/>
              </w:rPr>
              <w:t>Full abstract available in English</w:t>
            </w:r>
          </w:p>
        </w:tc>
        <w:tc>
          <w:tcPr>
            <w:tcW w:w="4320" w:type="dxa"/>
          </w:tcPr>
          <w:p w14:paraId="1FF1A0C5">
            <w:pPr>
              <w:spacing w:after="0" w:line="240" w:lineRule="auto"/>
              <w:rPr>
                <w:color w:val="auto"/>
              </w:rPr>
            </w:pPr>
            <w:r>
              <w:rPr>
                <w:color w:val="auto"/>
              </w:rPr>
              <w:t>Is an opinion piece, vendor page, or non-scholarly source</w:t>
            </w:r>
          </w:p>
        </w:tc>
      </w:tr>
    </w:tbl>
    <w:p w14:paraId="3131D5FF">
      <w:pPr>
        <w:pStyle w:val="3"/>
        <w:rPr>
          <w:color w:val="auto"/>
        </w:rPr>
      </w:pPr>
      <w:r>
        <w:rPr>
          <w:color w:val="auto"/>
        </w:rPr>
        <w:t>Screening and numbers</w:t>
      </w:r>
    </w:p>
    <w:p w14:paraId="79AB8112">
      <w:pPr>
        <w:rPr>
          <w:color w:val="auto"/>
        </w:rPr>
      </w:pPr>
      <w:r>
        <w:rPr>
          <w:color w:val="auto"/>
        </w:rPr>
        <w:t>From the 509-record corpus, the first 40 relevance-ranked records were screened within the single session available; this partial sampling is disclosed as a limitation rather than presented as full coverage. Five duplicates were identified and removed (four preprint versions of one review, one duplicated preprint/journal pair), leaving 35 unique titles and abstracts screened at Pass 1. Nineteen passed topic-level screening to Pass 2, where full abstract text was checked against all five criteria; seven were excluded at this stage for failing a criterion not visible from the title alone (three for inaccessible abstracts, two for relying on non-vision data such as automatic fare collection or trip-level forecasting, one for topic mismatch, one for being a generic sensing-technology review rather than a deep-learning method study). Eleven studies met all eligibility criteria and were included.</w:t>
      </w:r>
    </w:p>
    <w:p w14:paraId="7644CC46">
      <w:pPr>
        <w:pStyle w:val="3"/>
        <w:rPr>
          <w:color w:val="auto"/>
        </w:rPr>
      </w:pPr>
      <w:r>
        <w:rPr>
          <w:color w:val="auto"/>
        </w:rPr>
        <w:t>Analysis</w:t>
      </w:r>
    </w:p>
    <w:p w14:paraId="6E154B50">
      <w:pPr>
        <w:rPr>
          <w:color w:val="auto"/>
        </w:rPr>
      </w:pPr>
      <w:r>
        <w:rPr>
          <w:color w:val="auto"/>
        </w:rPr>
        <w:t>Included studies were analyzed thematically, the approach best suited to a scoping review of methodologically uneven sources. For each study, the following was extracted: author/venue, year, sensing modality, deep learning architecture, transit sub-domain (bus, metro platform, metro compartment, transit stop, or in-cabin autonomous-vehicle monitoring), and reported performance figure. Recurring themes identified were: CNN/YOLO-family object detection dominating bus- and stop-level counting; density-map CNNs (CSRNet-lineage) used mainly at metro-platform scale; and a near-total absence of any study evaluating a ceiling-mounted, wide-field-of-view camera inside a bus cabin specifically — the gap this review's parent project addresses.</w:t>
      </w:r>
    </w:p>
    <w:p w14:paraId="6D5288A4">
      <w:pPr>
        <w:rPr>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603A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moneyman</cp:lastModifiedBy>
  <dcterms:modified xsi:type="dcterms:W3CDTF">2026-08-25T18:44:41Z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1049-12.2.0.23206</vt:lpwstr>
  </property>
  <property fmtid="{D5CDD505-2E9C-101B-9397-08002B2CF9AE}" pid="3" name="ICV">
    <vt:lpwstr>A2C10D22729D4DB79879D5CF7CBE0539_12</vt:lpwstr>
  </property>
</Properties>
</file>