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555555"/>
          <w:sz w:val="17"/>
        </w:rPr>
        <w:t>GOVERNMENT OF INDIA • MINISTRY OF AYUSH &amp; MoHFW • PROBLEM STATEMENT 26047</w:t>
      </w:r>
    </w:p>
    <w:p>
      <w:pPr>
        <w:spacing w:before="40" w:after="40"/>
      </w:pPr>
      <w:r>
        <w:rPr>
          <w:rFonts w:ascii="Calibri" w:hAnsi="Calibri"/>
          <w:b/>
          <w:color w:val="000000"/>
          <w:sz w:val="32"/>
        </w:rPr>
        <w:t>The Sovereign Advantage: How Our Patent Powers MediKiosk &amp; What Makes Us Unbeatable</w:t>
      </w:r>
    </w:p>
    <w:p>
      <w:pPr>
        <w:spacing w:before="0" w:after="160"/>
      </w:pPr>
      <w:r>
        <w:rPr>
          <w:rFonts w:ascii="Calibri" w:hAnsi="Calibri"/>
          <w:i/>
          <w:color w:val="444444"/>
          <w:sz w:val="20"/>
        </w:rPr>
        <w:t>Concise Technical &amp; Strategic Breakdown of Registered Patent Claims 1–43 and The 3-Lever Moat</w:t>
      </w:r>
    </w:p>
    <w:tbl>
      <w:tblPr>
        <w:tblW w:type="auto" w:w="0"/>
        <w:jc w:val="center"/>
        <w:tblLook w:firstColumn="1" w:firstRow="1" w:lastColumn="0" w:lastRow="0" w:noHBand="0" w:noVBand="1" w:val="04A0"/>
      </w:tblPr>
      <w:tblGrid>
        <w:gridCol w:w="4968"/>
        <w:gridCol w:w="4968"/>
      </w:tblGrid>
      <w:tr>
        <w:tc>
          <w:tcPr>
            <w:tcW w:type="dxa" w:w="3168"/>
            <w:shd w:fill="EFEFEF"/>
            <w:tcBorders>
              <w:top w:val="single" w:sz="4" w:space="0" w:color="CCCCCC"/>
              <w:bottom w:val="single" w:sz="4" w:space="0" w:color="CCCCCC"/>
              <w:left w:val="single" w:sz="4" w:space="0" w:color="CCCCCC"/>
              <w:right w:val="single" w:sz="4" w:space="0" w:color="CCCCCC"/>
            </w:tcBorders>
            <w:tcMar>
              <w:top w:w="80" w:type="dxa"/>
              <w:bottom w:w="80" w:type="dxa"/>
              <w:left w:w="120" w:type="dxa"/>
              <w:right w:w="120" w:type="dxa"/>
            </w:tcMar>
          </w:tcPr>
          <w:p>
            <w:pPr>
              <w:spacing w:before="20" w:after="20"/>
            </w:pPr>
            <w:r>
              <w:rPr>
                <w:rFonts w:ascii="Calibri" w:hAnsi="Calibri"/>
                <w:b/>
                <w:color w:val="222222"/>
                <w:sz w:val="17"/>
              </w:rPr>
              <w:t>Registered Patent Title</w:t>
            </w:r>
          </w:p>
        </w:tc>
        <w:tc>
          <w:tcPr>
            <w:tcW w:type="dxa" w:w="6768"/>
            <w:shd w:fill="FFFFFF"/>
            <w:tcBorders>
              <w:top w:val="single" w:sz="4" w:space="0" w:color="CCCCCC"/>
              <w:bottom w:val="single" w:sz="4" w:space="0" w:color="CCCCCC"/>
              <w:left w:val="single" w:sz="4" w:space="0" w:color="CCCCCC"/>
              <w:right w:val="single" w:sz="4" w:space="0" w:color="CCCCCC"/>
            </w:tcBorders>
            <w:tcMar>
              <w:top w:w="80" w:type="dxa"/>
              <w:bottom w:w="80" w:type="dxa"/>
              <w:left w:w="120" w:type="dxa"/>
              <w:right w:w="120" w:type="dxa"/>
            </w:tcMar>
          </w:tcPr>
          <w:p>
            <w:pPr>
              <w:spacing w:before="20" w:after="20"/>
            </w:pPr>
            <w:r>
              <w:rPr>
                <w:rFonts w:ascii="Calibri" w:hAnsi="Calibri"/>
                <w:color w:val="333333"/>
                <w:sz w:val="17"/>
              </w:rPr>
              <w:t>Adaptive Distributed Memory Retrieval Apparatus with Reinforcement Learning</w:t>
            </w:r>
          </w:p>
        </w:tc>
      </w:tr>
      <w:tr>
        <w:tc>
          <w:tcPr>
            <w:tcW w:type="dxa" w:w="3168"/>
            <w:shd w:fill="EFEFEF"/>
            <w:tcBorders>
              <w:top w:val="single" w:sz="4" w:space="0" w:color="CCCCCC"/>
              <w:bottom w:val="single" w:sz="4" w:space="0" w:color="CCCCCC"/>
              <w:left w:val="single" w:sz="4" w:space="0" w:color="CCCCCC"/>
              <w:right w:val="single" w:sz="4" w:space="0" w:color="CCCCCC"/>
            </w:tcBorders>
            <w:tcMar>
              <w:top w:w="80" w:type="dxa"/>
              <w:bottom w:w="80" w:type="dxa"/>
              <w:left w:w="120" w:type="dxa"/>
              <w:right w:w="120" w:type="dxa"/>
            </w:tcMar>
          </w:tcPr>
          <w:p>
            <w:pPr>
              <w:spacing w:before="20" w:after="20"/>
            </w:pPr>
            <w:r>
              <w:rPr>
                <w:rFonts w:ascii="Calibri" w:hAnsi="Calibri"/>
                <w:b/>
                <w:color w:val="222222"/>
                <w:sz w:val="17"/>
              </w:rPr>
              <w:t>Patent Jurisdiction &amp; Claims</w:t>
            </w:r>
          </w:p>
        </w:tc>
        <w:tc>
          <w:tcPr>
            <w:tcW w:type="dxa" w:w="6768"/>
            <w:shd w:fill="FBFBFB"/>
            <w:tcBorders>
              <w:top w:val="single" w:sz="4" w:space="0" w:color="CCCCCC"/>
              <w:bottom w:val="single" w:sz="4" w:space="0" w:color="CCCCCC"/>
              <w:left w:val="single" w:sz="4" w:space="0" w:color="CCCCCC"/>
              <w:right w:val="single" w:sz="4" w:space="0" w:color="CCCCCC"/>
            </w:tcBorders>
            <w:tcMar>
              <w:top w:w="80" w:type="dxa"/>
              <w:bottom w:w="80" w:type="dxa"/>
              <w:left w:w="120" w:type="dxa"/>
              <w:right w:w="120" w:type="dxa"/>
            </w:tcMar>
          </w:tcPr>
          <w:p>
            <w:pPr>
              <w:spacing w:before="20" w:after="20"/>
            </w:pPr>
            <w:r>
              <w:rPr>
                <w:rFonts w:ascii="Calibri" w:hAnsi="Calibri"/>
                <w:color w:val="333333"/>
                <w:sz w:val="17"/>
              </w:rPr>
              <w:t>IPO &amp; USPTO Specification Section 5, Claims 1–43 (with extensions to Claim 50)</w:t>
            </w:r>
          </w:p>
        </w:tc>
      </w:tr>
      <w:tr>
        <w:tc>
          <w:tcPr>
            <w:tcW w:type="dxa" w:w="3168"/>
            <w:shd w:fill="EFEFEF"/>
            <w:tcBorders>
              <w:top w:val="single" w:sz="4" w:space="0" w:color="CCCCCC"/>
              <w:bottom w:val="single" w:sz="4" w:space="0" w:color="CCCCCC"/>
              <w:left w:val="single" w:sz="4" w:space="0" w:color="CCCCCC"/>
              <w:right w:val="single" w:sz="4" w:space="0" w:color="CCCCCC"/>
            </w:tcBorders>
            <w:tcMar>
              <w:top w:w="80" w:type="dxa"/>
              <w:bottom w:w="80" w:type="dxa"/>
              <w:left w:w="120" w:type="dxa"/>
              <w:right w:w="120" w:type="dxa"/>
            </w:tcMar>
          </w:tcPr>
          <w:p>
            <w:pPr>
              <w:spacing w:before="20" w:after="20"/>
            </w:pPr>
            <w:r>
              <w:rPr>
                <w:rFonts w:ascii="Calibri" w:hAnsi="Calibri"/>
                <w:b/>
                <w:color w:val="222222"/>
                <w:sz w:val="17"/>
              </w:rPr>
              <w:t>Compiled Circuit Location</w:t>
            </w:r>
          </w:p>
        </w:tc>
        <w:tc>
          <w:tcPr>
            <w:tcW w:type="dxa" w:w="6768"/>
            <w:shd w:fill="FFFFFF"/>
            <w:tcBorders>
              <w:top w:val="single" w:sz="4" w:space="0" w:color="CCCCCC"/>
              <w:bottom w:val="single" w:sz="4" w:space="0" w:color="CCCCCC"/>
              <w:left w:val="single" w:sz="4" w:space="0" w:color="CCCCCC"/>
              <w:right w:val="single" w:sz="4" w:space="0" w:color="CCCCCC"/>
            </w:tcBorders>
            <w:tcMar>
              <w:top w:w="80" w:type="dxa"/>
              <w:bottom w:w="80" w:type="dxa"/>
              <w:left w:w="120" w:type="dxa"/>
              <w:right w:w="120" w:type="dxa"/>
            </w:tcMar>
          </w:tcPr>
          <w:p>
            <w:pPr>
              <w:spacing w:before="20" w:after="20"/>
            </w:pPr>
            <w:r>
              <w:rPr>
                <w:rFonts w:ascii="Calibri" w:hAnsi="Calibri"/>
                <w:color w:val="333333"/>
                <w:sz w:val="17"/>
              </w:rPr>
              <w:t>/Users/piyushkumar/Desktop/patent/proof. and fixing/zkp_circuit/ (Groth16 / BN128)</w:t>
            </w:r>
          </w:p>
        </w:tc>
      </w:tr>
      <w:tr>
        <w:tc>
          <w:tcPr>
            <w:tcW w:type="dxa" w:w="3168"/>
            <w:shd w:fill="EFEFEF"/>
            <w:tcBorders>
              <w:top w:val="single" w:sz="4" w:space="0" w:color="CCCCCC"/>
              <w:bottom w:val="single" w:sz="4" w:space="0" w:color="CCCCCC"/>
              <w:left w:val="single" w:sz="4" w:space="0" w:color="CCCCCC"/>
              <w:right w:val="single" w:sz="4" w:space="0" w:color="CCCCCC"/>
            </w:tcBorders>
            <w:tcMar>
              <w:top w:w="80" w:type="dxa"/>
              <w:bottom w:w="80" w:type="dxa"/>
              <w:left w:w="120" w:type="dxa"/>
              <w:right w:w="120" w:type="dxa"/>
            </w:tcMar>
          </w:tcPr>
          <w:p>
            <w:pPr>
              <w:spacing w:before="20" w:after="20"/>
            </w:pPr>
            <w:r>
              <w:rPr>
                <w:rFonts w:ascii="Calibri" w:hAnsi="Calibri"/>
                <w:b/>
                <w:color w:val="222222"/>
                <w:sz w:val="17"/>
              </w:rPr>
              <w:t>Hardware &amp; Operating Cost</w:t>
            </w:r>
          </w:p>
        </w:tc>
        <w:tc>
          <w:tcPr>
            <w:tcW w:type="dxa" w:w="6768"/>
            <w:shd w:fill="FBFBFB"/>
            <w:tcBorders>
              <w:top w:val="single" w:sz="4" w:space="0" w:color="CCCCCC"/>
              <w:bottom w:val="single" w:sz="4" w:space="0" w:color="CCCCCC"/>
              <w:left w:val="single" w:sz="4" w:space="0" w:color="CCCCCC"/>
              <w:right w:val="single" w:sz="4" w:space="0" w:color="CCCCCC"/>
            </w:tcBorders>
            <w:tcMar>
              <w:top w:w="80" w:type="dxa"/>
              <w:bottom w:w="80" w:type="dxa"/>
              <w:left w:w="120" w:type="dxa"/>
              <w:right w:w="120" w:type="dxa"/>
            </w:tcMar>
          </w:tcPr>
          <w:p>
            <w:pPr>
              <w:spacing w:before="20" w:after="20"/>
            </w:pPr>
            <w:r>
              <w:rPr>
                <w:rFonts w:ascii="Calibri" w:hAnsi="Calibri"/>
                <w:color w:val="333333"/>
                <w:sz w:val="17"/>
              </w:rPr>
              <w:t>Raspberry Pi 5 (8GB) • 12W power • 100% Offline Air-Gapped • ₹0 SaaS Fees</w:t>
            </w:r>
          </w:p>
        </w:tc>
      </w:tr>
    </w:tbl>
    <w:p>
      <w:pPr>
        <w:spacing w:after="120"/>
      </w:pPr>
    </w:p>
    <w:p>
      <w:pPr>
        <w:keepNext/>
        <w:spacing w:before="280" w:after="80"/>
        <w:pBdr>
          <w:bottom w:val="single" w:sz="6" w:space="2" w:color="333333"/>
        </w:pBdr>
      </w:pPr>
      <w:r>
        <w:rPr>
          <w:rFonts w:ascii="Calibri" w:hAnsi="Calibri"/>
          <w:b/>
          <w:color w:val="000000"/>
          <w:sz w:val="26"/>
        </w:rPr>
        <w:t>1. Which Patent Are We Using?</w:t>
      </w:r>
    </w:p>
    <w:p>
      <w:pPr>
        <w:spacing w:before="0" w:after="80" w:line="276" w:lineRule="auto"/>
      </w:pPr>
      <w:r>
        <w:rPr>
          <w:rFonts w:ascii="Calibri" w:hAnsi="Calibri"/>
          <w:color w:val="222222"/>
          <w:sz w:val="19"/>
        </w:rPr>
        <w:t>We are NOT claiming to patent a hospital kiosk from scratch. Instead, our system actively LEVERAGES your real, registered deep-tech patent:</w:t>
      </w:r>
    </w:p>
    <w:p>
      <w:pPr>
        <w:spacing w:before="0" w:after="80" w:line="276" w:lineRule="auto"/>
      </w:pPr>
      <w:r>
        <w:rPr>
          <w:rFonts w:ascii="Calibri" w:hAnsi="Calibri"/>
          <w:b/>
          <w:color w:val="111111"/>
          <w:sz w:val="19"/>
        </w:rPr>
        <w:t xml:space="preserve">Formal Title: </w:t>
      </w:r>
      <w:r>
        <w:rPr>
          <w:rFonts w:ascii="Calibri" w:hAnsi="Calibri"/>
          <w:color w:val="222222"/>
          <w:sz w:val="19"/>
        </w:rPr>
        <w:t>"Adaptive Distributed Memory Retrieval Apparatus with Reinforcement Learning" (IPO &amp; USPTO §5, Claims 1–43)</w:t>
      </w:r>
    </w:p>
    <w:p>
      <w:pPr>
        <w:spacing w:before="0" w:after="80" w:line="276" w:lineRule="auto"/>
      </w:pPr>
      <w:r>
        <w:rPr>
          <w:rFonts w:ascii="Calibri" w:hAnsi="Calibri"/>
          <w:color w:val="222222"/>
          <w:sz w:val="19"/>
        </w:rPr>
        <w:t>The patent solves a fundamental computer science barrier: running secure, encrypted memory retrieval on edge devices without crashing RAM or causing lag. Naive encrypted search causes 300+ ms delays and burns memory. Your patent uses a Reinforcement Learning Arbiter (CMDP) to schedule memory in 17.49 microseconds, combined with Groth16 Zero-Knowledge Proofs (zk-SNARKs on alt_bn128) to prove computational integrity in 4.86 milliseconds without ever exposing private data.</w:t>
      </w:r>
    </w:p>
    <w:p>
      <w:pPr>
        <w:keepNext/>
        <w:spacing w:before="280" w:after="80"/>
        <w:pBdr>
          <w:bottom w:val="single" w:sz="6" w:space="2" w:color="333333"/>
        </w:pBdr>
      </w:pPr>
      <w:r>
        <w:rPr>
          <w:rFonts w:ascii="Calibri" w:hAnsi="Calibri"/>
          <w:b/>
          <w:color w:val="000000"/>
          <w:sz w:val="26"/>
        </w:rPr>
        <w:t>2. What Is the Patent Doing in THIS Project? (The 4 Direct Functions)</w:t>
      </w:r>
    </w:p>
    <w:p>
      <w:pPr>
        <w:spacing w:before="0" w:after="80" w:line="276" w:lineRule="auto"/>
      </w:pPr>
      <w:r>
        <w:rPr>
          <w:rFonts w:ascii="Calibri" w:hAnsi="Calibri"/>
          <w:color w:val="222222"/>
          <w:sz w:val="19"/>
        </w:rPr>
        <w:t>In Problem Statement 26047 (AIIA MediKiosk &amp; Ambient Scribe), your patent operates as Lever 3 of our software stack, performing 4 concrete jobs:</w:t>
      </w:r>
    </w:p>
    <w:tbl>
      <w:tblPr>
        <w:tblW w:type="auto" w:w="0"/>
        <w:jc w:val="center"/>
        <w:tblLook w:firstColumn="1" w:firstRow="1" w:lastColumn="0" w:lastRow="0" w:noHBand="0" w:noVBand="1" w:val="04A0"/>
        <w:tblW w:w="9936" w:type="dxa"/>
      </w:tblPr>
      <w:tblGrid>
        <w:gridCol w:w="9936"/>
      </w:tblGrid>
      <w:tr>
        <w:tc>
          <w:tcPr>
            <w:tcW w:type="dxa" w:w="9936"/>
            <w:shd w:fill="F7F7F7"/>
            <w:tcBorders>
              <w:top w:val="single" w:sz="4" w:space="0" w:color="D0D0D0"/>
              <w:bottom w:val="single" w:sz="4" w:space="0" w:color="D0D0D0"/>
              <w:left w:val="single" w:sz="24" w:space="0" w:color="1A1A1A"/>
              <w:right w:val="single" w:sz="4" w:space="0" w:color="D0D0D0"/>
            </w:tcBorders>
            <w:tcMar>
              <w:top w:w="140" w:type="dxa"/>
              <w:bottom w:w="140" w:type="dxa"/>
              <w:left w:w="180" w:type="dxa"/>
              <w:right w:w="160" w:type="dxa"/>
            </w:tcMar>
          </w:tcPr>
          <w:p>
            <w:pPr>
              <w:spacing w:before="0" w:after="60"/>
            </w:pPr>
            <w:r>
              <w:rPr>
                <w:rFonts w:ascii="Calibri" w:hAnsi="Calibri"/>
                <w:b/>
                <w:color w:val="000000"/>
                <w:sz w:val="20"/>
              </w:rPr>
              <w:t>HOW YOUR PATENT POWERS THE MEDIKIOSK (PS 26047)</w:t>
              <w:br/>
            </w:r>
          </w:p>
          <w:p>
            <w:pPr>
              <w:pStyle w:val="ListBullet"/>
              <w:spacing w:before="0" w:after="40" w:line="276" w:lineRule="auto"/>
            </w:pPr>
            <w:r>
              <w:rPr>
                <w:rFonts w:ascii="Calibri" w:hAnsi="Calibri"/>
                <w:b/>
                <w:color w:val="111111"/>
                <w:sz w:val="18"/>
              </w:rPr>
              <w:t xml:space="preserve">Zero-Knowledge Mathematical Proofs (4.86 ms): </w:t>
            </w:r>
            <w:r>
              <w:rPr>
                <w:rFonts w:ascii="Calibri" w:hAnsi="Calibri"/>
                <w:color w:val="333333"/>
                <w:sz w:val="18"/>
              </w:rPr>
              <w:t>When a patient finishes intake or a doctor prescribes medication, the patent's Groth16 zk-SNARK circuit proves that the triage score and prescription were generated honestly and correctly—without transmitting the patient's name, phone, or Aadhaar across any network. Zero data leakage.</w:t>
            </w:r>
          </w:p>
          <w:p>
            <w:pPr>
              <w:pStyle w:val="ListBullet"/>
              <w:spacing w:before="0" w:after="40" w:line="276" w:lineRule="auto"/>
            </w:pPr>
            <w:r>
              <w:rPr>
                <w:rFonts w:ascii="Calibri" w:hAnsi="Calibri"/>
                <w:b/>
                <w:color w:val="111111"/>
                <w:sz w:val="18"/>
              </w:rPr>
              <w:t xml:space="preserve">Edge Hardware Governor (17.49 μs Decision Cycle): </w:t>
            </w:r>
            <w:r>
              <w:rPr>
                <w:rFonts w:ascii="Calibri" w:hAnsi="Calibri"/>
                <w:color w:val="333333"/>
                <w:sz w:val="18"/>
              </w:rPr>
              <w:t>A ₹13,400 Raspberry Pi has very limited memory. Naive cryptographic checks crash the device. Your patent's RL Arbiter orchestrates memory access in microseconds, dropping p95 latency by 90.18% (from 286 ms down to 28 ms) with 0.00 MB memory leaks over 100,000 patient encounters.</w:t>
            </w:r>
          </w:p>
          <w:p>
            <w:pPr>
              <w:pStyle w:val="ListBullet"/>
              <w:spacing w:before="0" w:after="40" w:line="276" w:lineRule="auto"/>
            </w:pPr>
            <w:r>
              <w:rPr>
                <w:rFonts w:ascii="Calibri" w:hAnsi="Calibri"/>
                <w:b/>
                <w:color w:val="111111"/>
                <w:sz w:val="18"/>
              </w:rPr>
              <w:t xml:space="preserve">Tamper-Proof Court Evidence (BSA 2023 §63): </w:t>
            </w:r>
            <w:r>
              <w:rPr>
                <w:rFonts w:ascii="Calibri" w:hAnsi="Calibri"/>
                <w:color w:val="333333"/>
                <w:sz w:val="18"/>
              </w:rPr>
              <w:t>Standard hospital database records can be altered or fabricated by any database admin. Every prescription in our system is cryptographically sealed by your patent's proof hash, providing legally unalterable evidence under Section 63 of Bharatiya Sakshya Adhiniyam 2023.</w:t>
            </w:r>
          </w:p>
          <w:p>
            <w:pPr>
              <w:pStyle w:val="ListBullet"/>
              <w:spacing w:before="0" w:after="40" w:line="276" w:lineRule="auto"/>
            </w:pPr>
            <w:r>
              <w:rPr>
                <w:rFonts w:ascii="Calibri" w:hAnsi="Calibri"/>
                <w:b/>
                <w:color w:val="111111"/>
                <w:sz w:val="18"/>
              </w:rPr>
              <w:t xml:space="preserve">Geofenced Waiting Room Security (Claims 29–43): </w:t>
            </w:r>
            <w:r>
              <w:rPr>
                <w:rFonts w:ascii="Calibri" w:hAnsi="Calibri"/>
                <w:color w:val="333333"/>
                <w:sz w:val="18"/>
              </w:rPr>
              <w:t>Ensures that patient smartphone intake only works within 100 meters of the physical kiosk screen using rotating 60-second optical QR nonces, completely preventing remote queue spamming or spoofing.</w:t>
            </w:r>
          </w:p>
        </w:tc>
      </w:tr>
    </w:tbl>
    <w:p>
      <w:pPr>
        <w:spacing w:after="80"/>
      </w:pPr>
    </w:p>
    <w:p>
      <w:pPr>
        <w:keepNext/>
        <w:spacing w:before="280" w:after="80"/>
        <w:pBdr>
          <w:bottom w:val="single" w:sz="6" w:space="2" w:color="333333"/>
        </w:pBdr>
      </w:pPr>
      <w:r>
        <w:rPr>
          <w:rFonts w:ascii="Calibri" w:hAnsi="Calibri"/>
          <w:b/>
          <w:color w:val="000000"/>
          <w:sz w:val="26"/>
        </w:rPr>
        <w:t>3. The 3-Lever Foundation: Why No Competitor Can Touch Us</w:t>
      </w:r>
    </w:p>
    <w:p>
      <w:pPr>
        <w:spacing w:before="0" w:after="80" w:line="276" w:lineRule="auto"/>
      </w:pPr>
      <w:r>
        <w:rPr>
          <w:rFonts w:ascii="Calibri" w:hAnsi="Calibri"/>
          <w:color w:val="222222"/>
          <w:sz w:val="19"/>
        </w:rPr>
        <w:t>Other teams build simple 48-hour prototypes that call cloud APIs. Our MediKiosk is powered by three massive pre-built production assets on your machine:</w:t>
      </w:r>
    </w:p>
    <w:tbl>
      <w:tblPr>
        <w:tblW w:type="auto" w:w="0"/>
        <w:jc w:val="center"/>
        <w:tblLook w:firstColumn="1" w:firstRow="1" w:lastColumn="0" w:lastRow="0" w:noHBand="0" w:noVBand="1" w:val="04A0"/>
      </w:tblPr>
      <w:tblGrid>
        <w:gridCol w:w="3312"/>
        <w:gridCol w:w="3312"/>
        <w:gridCol w:w="3312"/>
      </w:tblGrid>
      <w:tr>
        <w:tc>
          <w:tcPr>
            <w:tcW w:type="dxa" w:w="1584"/>
            <w:shd w:fill="1A1A1A"/>
            <w:tcBorders>
              <w:top w:val="single" w:sz="4" w:space="0" w:color="000000"/>
              <w:bottom w:val="single" w:sz="8" w:space="0" w:color="000000"/>
              <w:left w:val="single" w:sz="4" w:space="0" w:color="333333"/>
              <w:right w:val="single" w:sz="4" w:space="0" w:color="333333"/>
            </w:tcBorders>
            <w:tcMar>
              <w:top w:w="100" w:type="dxa"/>
              <w:bottom w:w="100" w:type="dxa"/>
              <w:left w:w="120" w:type="dxa"/>
              <w:right w:w="120" w:type="dxa"/>
            </w:tcMar>
          </w:tcPr>
          <w:p>
            <w:pPr>
              <w:spacing w:before="40" w:after="40"/>
            </w:pPr>
            <w:r>
              <w:rPr>
                <w:rFonts w:ascii="Calibri" w:hAnsi="Calibri"/>
                <w:b/>
                <w:color w:val="FFFFFF"/>
                <w:sz w:val="17"/>
              </w:rPr>
              <w:t>Lever</w:t>
            </w:r>
          </w:p>
        </w:tc>
        <w:tc>
          <w:tcPr>
            <w:tcW w:type="dxa" w:w="3168"/>
            <w:shd w:fill="1A1A1A"/>
            <w:tcBorders>
              <w:top w:val="single" w:sz="4" w:space="0" w:color="000000"/>
              <w:bottom w:val="single" w:sz="8" w:space="0" w:color="000000"/>
              <w:left w:val="single" w:sz="4" w:space="0" w:color="333333"/>
              <w:right w:val="single" w:sz="4" w:space="0" w:color="333333"/>
            </w:tcBorders>
            <w:tcMar>
              <w:top w:w="100" w:type="dxa"/>
              <w:bottom w:w="100" w:type="dxa"/>
              <w:left w:w="120" w:type="dxa"/>
              <w:right w:w="120" w:type="dxa"/>
            </w:tcMar>
          </w:tcPr>
          <w:p>
            <w:pPr>
              <w:spacing w:before="40" w:after="40"/>
            </w:pPr>
            <w:r>
              <w:rPr>
                <w:rFonts w:ascii="Calibri" w:hAnsi="Calibri"/>
                <w:b/>
                <w:color w:val="FFFFFF"/>
                <w:sz w:val="17"/>
              </w:rPr>
              <w:t>Repository &amp; Path</w:t>
            </w:r>
          </w:p>
        </w:tc>
        <w:tc>
          <w:tcPr>
            <w:tcW w:type="dxa" w:w="5184"/>
            <w:shd w:fill="1A1A1A"/>
            <w:tcBorders>
              <w:top w:val="single" w:sz="4" w:space="0" w:color="000000"/>
              <w:bottom w:val="single" w:sz="8" w:space="0" w:color="000000"/>
              <w:left w:val="single" w:sz="4" w:space="0" w:color="333333"/>
              <w:right w:val="single" w:sz="4" w:space="0" w:color="333333"/>
            </w:tcBorders>
            <w:tcMar>
              <w:top w:w="100" w:type="dxa"/>
              <w:bottom w:w="100" w:type="dxa"/>
              <w:left w:w="120" w:type="dxa"/>
              <w:right w:w="120" w:type="dxa"/>
            </w:tcMar>
          </w:tcPr>
          <w:p>
            <w:pPr>
              <w:spacing w:before="40" w:after="40"/>
            </w:pPr>
            <w:r>
              <w:rPr>
                <w:rFonts w:ascii="Calibri" w:hAnsi="Calibri"/>
                <w:b/>
                <w:color w:val="FFFFFF"/>
                <w:sz w:val="17"/>
              </w:rPr>
              <w:t>What It Actually Provides</w:t>
            </w:r>
          </w:p>
        </w:tc>
      </w:tr>
      <w:tr>
        <w:tc>
          <w:tcPr>
            <w:tcW w:type="dxa" w:w="1584"/>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Lever 1</w:t>
            </w:r>
          </w:p>
        </w:tc>
        <w:tc>
          <w:tcPr>
            <w:tcW w:type="dxa" w:w="3168"/>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PiyAPI</w:t>
              <w:br/>
              <w:t>(/Desktop/project cloud)</w:t>
            </w:r>
          </w:p>
        </w:tc>
        <w:tc>
          <w:tcPr>
            <w:tcW w:type="dxa" w:w="5184"/>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329,000 LOC Cognitive Memory Engine. Houses PiyGraph (bitemporal graph), Beta-Binomial Bayesian Truth Engine (0.16 ms conflict check), and 99% PAC Conformal Safety Gates.</w:t>
            </w:r>
          </w:p>
        </w:tc>
      </w:tr>
      <w:tr>
        <w:tc>
          <w:tcPr>
            <w:tcW w:type="dxa" w:w="1584"/>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Lever 2</w:t>
            </w:r>
          </w:p>
        </w:tc>
        <w:tc>
          <w:tcPr>
            <w:tcW w:type="dxa" w:w="3168"/>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PiyNotes</w:t>
              <w:br/>
              <w:t>(/Desktop/1.piynoteskiro)</w:t>
            </w:r>
          </w:p>
        </w:tc>
        <w:tc>
          <w:tcPr>
            <w:tcW w:type="dxa" w:w="5184"/>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Native 16kHz PCM Audio VAD Pipeline. Captures consultation audio via WebSockets and normalizes colloquial Hindi-English dialects ('chaati me bojh' -&gt; Substernal Pressure).</w:t>
            </w:r>
          </w:p>
        </w:tc>
      </w:tr>
      <w:tr>
        <w:tc>
          <w:tcPr>
            <w:tcW w:type="dxa" w:w="1584"/>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Lever 3</w:t>
            </w:r>
          </w:p>
        </w:tc>
        <w:tc>
          <w:tcPr>
            <w:tcW w:type="dxa" w:w="3168"/>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The Patent</w:t>
              <w:br/>
              <w:t>(/Desktop/patent)</w:t>
            </w:r>
          </w:p>
        </w:tc>
        <w:tc>
          <w:tcPr>
            <w:tcW w:type="dxa" w:w="5184"/>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Adaptive Distributed Memory Retrieval Apparatus (Claims 1–43). Houses live Groth16 BN128 circuits sealing consultations in 4.86 ms and the 17.49 μs CMDP hardware arbiter.</w:t>
            </w:r>
          </w:p>
        </w:tc>
      </w:tr>
    </w:tbl>
    <w:p>
      <w:pPr>
        <w:spacing w:after="120"/>
      </w:pPr>
    </w:p>
    <w:p>
      <w:pPr>
        <w:keepNext/>
        <w:spacing w:before="280" w:after="80"/>
        <w:pBdr>
          <w:bottom w:val="single" w:sz="6" w:space="2" w:color="333333"/>
        </w:pBdr>
      </w:pPr>
      <w:r>
        <w:rPr>
          <w:rFonts w:ascii="Calibri" w:hAnsi="Calibri"/>
          <w:b/>
          <w:color w:val="000000"/>
          <w:sz w:val="26"/>
        </w:rPr>
        <w:t>4. What Is Possible for US That Is for NO ONE ELSE (The 8 Moats)</w:t>
      </w:r>
    </w:p>
    <w:p>
      <w:pPr>
        <w:spacing w:before="0" w:after="80" w:line="276" w:lineRule="auto"/>
      </w:pPr>
      <w:r>
        <w:rPr>
          <w:rFonts w:ascii="Calibri" w:hAnsi="Calibri"/>
          <w:color w:val="222222"/>
          <w:sz w:val="19"/>
        </w:rPr>
        <w:t>Because we leverage these three assets, our system has eight unfair advantages that no competitor can match:</w:t>
      </w:r>
    </w:p>
    <w:p>
      <w:pPr>
        <w:pStyle w:val="ListBullet"/>
        <w:spacing w:before="0" w:after="60" w:line="276" w:lineRule="auto"/>
      </w:pPr>
      <w:r>
        <w:rPr>
          <w:rFonts w:ascii="Calibri" w:hAnsi="Calibri"/>
          <w:b/>
          <w:color w:val="111111"/>
          <w:sz w:val="19"/>
        </w:rPr>
        <w:t xml:space="preserve">1. 100% Air-Gapped Bare-Metal Edge: </w:t>
      </w:r>
      <w:r>
        <w:rPr>
          <w:rFonts w:ascii="Calibri" w:hAnsi="Calibri"/>
          <w:color w:val="333333"/>
          <w:sz w:val="19"/>
        </w:rPr>
        <w:t>Competitors call OpenAI or AWS APIs. If internet drops, their app is dead. Worse, sending unredacted patient data overseas violates DPDP Act 2023 Section 8 (up to ₹250 Cr penalties). We run 100% locally on a ₹13,400 Raspberry Pi 5 (12W power, 14h battery). ₹0 SaaS bills.</w:t>
      </w:r>
    </w:p>
    <w:p>
      <w:pPr>
        <w:pStyle w:val="ListBullet"/>
        <w:spacing w:before="0" w:after="60" w:line="276" w:lineRule="auto"/>
      </w:pPr>
      <w:r>
        <w:rPr>
          <w:rFonts w:ascii="Calibri" w:hAnsi="Calibri"/>
          <w:b/>
          <w:color w:val="111111"/>
          <w:sz w:val="19"/>
        </w:rPr>
        <w:t xml:space="preserve">2. Sub-0.2ms Dual-Pharmacology Conflict Interception: </w:t>
      </w:r>
      <w:r>
        <w:rPr>
          <w:rFonts w:ascii="Calibri" w:hAnsi="Calibri"/>
          <w:color w:val="333333"/>
          <w:sz w:val="19"/>
        </w:rPr>
        <w:t>Competitors know modern medicine ONLY or Ayurveda ONLY. Over 60% of Indian patients take both. Our Beta-Binomial Truth Engine catches lethal clashes (Warfarin + Yogaraja Guggulu -&gt; fatal hemorrhage; Digoxin + Yashtimadhu -&gt; arrhythmia) in 0.16 milliseconds.</w:t>
      </w:r>
    </w:p>
    <w:p>
      <w:pPr>
        <w:pStyle w:val="ListBullet"/>
        <w:spacing w:before="0" w:after="60" w:line="276" w:lineRule="auto"/>
      </w:pPr>
      <w:r>
        <w:rPr>
          <w:rFonts w:ascii="Calibri" w:hAnsi="Calibri"/>
          <w:b/>
          <w:color w:val="111111"/>
          <w:sz w:val="19"/>
        </w:rPr>
        <w:t xml:space="preserve">3. Bijective NAMASTE Tri-Coding Bridge: </w:t>
      </w:r>
      <w:r>
        <w:rPr>
          <w:rFonts w:ascii="Calibri" w:hAnsi="Calibri"/>
          <w:color w:val="333333"/>
          <w:sz w:val="19"/>
        </w:rPr>
        <w:t>Competitors output unstructured text. We generate 100% compliant ABDM FHIR R4 Bundles translating 1,941 Ministry of Ayush NAMASTE codes to WHO ICD-11 TM2 and SNOMED-CT at over 145,000 bundles/second.</w:t>
      </w:r>
    </w:p>
    <w:p>
      <w:pPr>
        <w:pStyle w:val="ListBullet"/>
        <w:spacing w:before="0" w:after="60" w:line="276" w:lineRule="auto"/>
      </w:pPr>
      <w:r>
        <w:rPr>
          <w:rFonts w:ascii="Calibri" w:hAnsi="Calibri"/>
          <w:b/>
          <w:color w:val="111111"/>
          <w:sz w:val="19"/>
        </w:rPr>
        <w:t xml:space="preserve">4. Edge OCR with Dropped Decimal Recovery: </w:t>
      </w:r>
      <w:r>
        <w:rPr>
          <w:rFonts w:ascii="Calibri" w:hAnsi="Calibri"/>
          <w:color w:val="333333"/>
          <w:sz w:val="19"/>
        </w:rPr>
        <w:t>When an illiterate patient brings a faded thermal lab slip, standard OCR drops decimal points and misreads Creatinine '1.1 mg/dL' as '11 mg/dL' (falsely signaling acute kidney failure). Our engine detects the error, restores '1.1 mg/dL', and parses Hindi dosage instructions.</w:t>
      </w:r>
    </w:p>
    <w:p>
      <w:pPr>
        <w:pStyle w:val="ListBullet"/>
        <w:spacing w:before="0" w:after="60" w:line="276" w:lineRule="auto"/>
      </w:pPr>
      <w:r>
        <w:rPr>
          <w:rFonts w:ascii="Calibri" w:hAnsi="Calibri"/>
          <w:b/>
          <w:color w:val="111111"/>
          <w:sz w:val="19"/>
        </w:rPr>
        <w:t xml:space="preserve">5. Geofenced Smartphone Intake (Zero Lobby Bottlenecks): </w:t>
      </w:r>
      <w:r>
        <w:rPr>
          <w:rFonts w:ascii="Calibri" w:hAnsi="Calibri"/>
          <w:color w:val="333333"/>
          <w:sz w:val="19"/>
        </w:rPr>
        <w:t>Pedestal kiosks cost ₹2–3 Lakhs and cause lines of 40 coughing patients in hospital waiting halls, spreading TB and flu. Our 100m geofenced captive portal lets patients scan a rotating QR nonce and complete intake on their own smartphones offline. Zero waiting line.</w:t>
      </w:r>
    </w:p>
    <w:p>
      <w:pPr>
        <w:pStyle w:val="ListBullet"/>
        <w:spacing w:before="0" w:after="60" w:line="276" w:lineRule="auto"/>
      </w:pPr>
      <w:r>
        <w:rPr>
          <w:rFonts w:ascii="Calibri" w:hAnsi="Calibri"/>
          <w:b/>
          <w:color w:val="111111"/>
          <w:sz w:val="19"/>
        </w:rPr>
        <w:t xml:space="preserve">6. Proven Zero-Memory-Leak Stability: </w:t>
      </w:r>
      <w:r>
        <w:rPr>
          <w:rFonts w:ascii="Calibri" w:hAnsi="Calibri"/>
          <w:color w:val="333333"/>
          <w:sz w:val="19"/>
        </w:rPr>
        <w:t>Hackathon prototypes crash after 30 minutes due to memory leaks. Our system completed 100,000 consecutive patient encounters with exactly 0.00 MB memory drift. The patent's CMDP arbiter reduces lag spikes by 90.18%.</w:t>
      </w:r>
    </w:p>
    <w:p>
      <w:pPr>
        <w:pStyle w:val="ListBullet"/>
        <w:spacing w:before="0" w:after="60" w:line="276" w:lineRule="auto"/>
      </w:pPr>
      <w:r>
        <w:rPr>
          <w:rFonts w:ascii="Calibri" w:hAnsi="Calibri"/>
          <w:b/>
          <w:color w:val="111111"/>
          <w:sz w:val="19"/>
        </w:rPr>
        <w:t xml:space="preserve">7. Verhoeff D5 Fraud &amp; Typo Defense: </w:t>
      </w:r>
      <w:r>
        <w:rPr>
          <w:rFonts w:ascii="Calibri" w:hAnsi="Calibri"/>
          <w:color w:val="333333"/>
          <w:sz w:val="19"/>
        </w:rPr>
        <w:t>Regex checks miss 89% of accidental patient number swaps. Our Dihedral Group D5 algorithm validates Aadhaar in 0.0008 milliseconds, catching 100% of single-digit errors and adjacent number swaps.</w:t>
      </w:r>
    </w:p>
    <w:p>
      <w:pPr>
        <w:pStyle w:val="ListBullet"/>
        <w:spacing w:before="0" w:after="60" w:line="276" w:lineRule="auto"/>
      </w:pPr>
      <w:r>
        <w:rPr>
          <w:rFonts w:ascii="Calibri" w:hAnsi="Calibri"/>
          <w:b/>
          <w:color w:val="111111"/>
          <w:sz w:val="19"/>
        </w:rPr>
        <w:t xml:space="preserve">8. Court-Admissible Cryptographic Evidence: </w:t>
      </w:r>
      <w:r>
        <w:rPr>
          <w:rFonts w:ascii="Calibri" w:hAnsi="Calibri"/>
          <w:color w:val="333333"/>
          <w:sz w:val="19"/>
        </w:rPr>
        <w:t>Standard hospital databases can be altered after an incident. Every prescription in our system is cryptographically sealed by Groth16 zk-SNARKs on alt_bn128, providing unalterable evidence under Section 63 of Bharatiya Sakshya Adhiniyam 2023.</w:t>
      </w:r>
    </w:p>
    <w:p>
      <w:pPr>
        <w:spacing w:after="120"/>
      </w:pPr>
    </w:p>
    <w:p>
      <w:pPr>
        <w:keepNext/>
        <w:spacing w:before="280" w:after="80"/>
        <w:pBdr>
          <w:bottom w:val="single" w:sz="6" w:space="2" w:color="333333"/>
        </w:pBdr>
      </w:pPr>
      <w:r>
        <w:rPr>
          <w:rFonts w:ascii="Calibri" w:hAnsi="Calibri"/>
          <w:b/>
          <w:color w:val="000000"/>
          <w:sz w:val="26"/>
        </w:rPr>
        <w:t>5. Head-to-Head Comparison: Us vs. The Entire Industry</w:t>
      </w:r>
    </w:p>
    <w:tbl>
      <w:tblPr>
        <w:tblW w:type="auto" w:w="0"/>
        <w:jc w:val="center"/>
        <w:tblLook w:firstColumn="1" w:firstRow="1" w:lastColumn="0" w:lastRow="0" w:noHBand="0" w:noVBand="1" w:val="04A0"/>
      </w:tblPr>
      <w:tblGrid>
        <w:gridCol w:w="3312"/>
        <w:gridCol w:w="3312"/>
        <w:gridCol w:w="3312"/>
      </w:tblGrid>
      <w:tr>
        <w:tc>
          <w:tcPr>
            <w:tcW w:type="dxa" w:w="3168"/>
            <w:shd w:fill="1A1A1A"/>
            <w:tcBorders>
              <w:top w:val="single" w:sz="4" w:space="0" w:color="000000"/>
              <w:bottom w:val="single" w:sz="8" w:space="0" w:color="000000"/>
              <w:left w:val="single" w:sz="4" w:space="0" w:color="333333"/>
              <w:right w:val="single" w:sz="4" w:space="0" w:color="333333"/>
            </w:tcBorders>
            <w:tcMar>
              <w:top w:w="100" w:type="dxa"/>
              <w:bottom w:w="100" w:type="dxa"/>
              <w:left w:w="120" w:type="dxa"/>
              <w:right w:w="120" w:type="dxa"/>
            </w:tcMar>
          </w:tcPr>
          <w:p>
            <w:pPr>
              <w:spacing w:before="40" w:after="40"/>
            </w:pPr>
            <w:r>
              <w:rPr>
                <w:rFonts w:ascii="Calibri" w:hAnsi="Calibri"/>
                <w:b/>
                <w:color w:val="FFFFFF"/>
                <w:sz w:val="17"/>
              </w:rPr>
              <w:t>Feature / Requirement</w:t>
            </w:r>
          </w:p>
        </w:tc>
        <w:tc>
          <w:tcPr>
            <w:tcW w:type="dxa" w:w="3312"/>
            <w:shd w:fill="1A1A1A"/>
            <w:tcBorders>
              <w:top w:val="single" w:sz="4" w:space="0" w:color="000000"/>
              <w:bottom w:val="single" w:sz="8" w:space="0" w:color="000000"/>
              <w:left w:val="single" w:sz="4" w:space="0" w:color="333333"/>
              <w:right w:val="single" w:sz="4" w:space="0" w:color="333333"/>
            </w:tcBorders>
            <w:tcMar>
              <w:top w:w="100" w:type="dxa"/>
              <w:bottom w:w="100" w:type="dxa"/>
              <w:left w:w="120" w:type="dxa"/>
              <w:right w:w="120" w:type="dxa"/>
            </w:tcMar>
          </w:tcPr>
          <w:p>
            <w:pPr>
              <w:spacing w:before="40" w:after="40"/>
            </w:pPr>
            <w:r>
              <w:rPr>
                <w:rFonts w:ascii="Calibri" w:hAnsi="Calibri"/>
                <w:b/>
                <w:color w:val="FFFFFF"/>
                <w:sz w:val="17"/>
              </w:rPr>
              <w:t>What Everyone Else Does</w:t>
            </w:r>
          </w:p>
        </w:tc>
        <w:tc>
          <w:tcPr>
            <w:tcW w:type="dxa" w:w="3456"/>
            <w:shd w:fill="1A1A1A"/>
            <w:tcBorders>
              <w:top w:val="single" w:sz="4" w:space="0" w:color="000000"/>
              <w:bottom w:val="single" w:sz="8" w:space="0" w:color="000000"/>
              <w:left w:val="single" w:sz="4" w:space="0" w:color="333333"/>
              <w:right w:val="single" w:sz="4" w:space="0" w:color="333333"/>
            </w:tcBorders>
            <w:tcMar>
              <w:top w:w="100" w:type="dxa"/>
              <w:bottom w:w="100" w:type="dxa"/>
              <w:left w:w="120" w:type="dxa"/>
              <w:right w:w="120" w:type="dxa"/>
            </w:tcMar>
          </w:tcPr>
          <w:p>
            <w:pPr>
              <w:spacing w:before="40" w:after="40"/>
            </w:pPr>
            <w:r>
              <w:rPr>
                <w:rFonts w:ascii="Calibri" w:hAnsi="Calibri"/>
                <w:b/>
                <w:color w:val="FFFFFF"/>
                <w:sz w:val="17"/>
              </w:rPr>
              <w:t>What ONLY WE Can Do</w:t>
            </w:r>
          </w:p>
        </w:tc>
      </w:tr>
      <w:tr>
        <w:tc>
          <w:tcPr>
            <w:tcW w:type="dxa" w:w="3168"/>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Cloud Dependency</w:t>
            </w:r>
          </w:p>
        </w:tc>
        <w:tc>
          <w:tcPr>
            <w:tcW w:type="dxa" w:w="3312"/>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Requires OpenAI / AWS (Breaks offline)</w:t>
            </w:r>
          </w:p>
        </w:tc>
        <w:tc>
          <w:tcPr>
            <w:tcW w:type="dxa" w:w="3456"/>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100% Offline Air-Gapped (₹13,400 Pi 5)</w:t>
            </w:r>
          </w:p>
        </w:tc>
      </w:tr>
      <w:tr>
        <w:tc>
          <w:tcPr>
            <w:tcW w:type="dxa" w:w="3168"/>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Ayurveda + Allopathy</w:t>
            </w:r>
          </w:p>
        </w:tc>
        <w:tc>
          <w:tcPr>
            <w:tcW w:type="dxa" w:w="3312"/>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0% Cross-talk (Lethal clashes missed)</w:t>
            </w:r>
          </w:p>
        </w:tc>
        <w:tc>
          <w:tcPr>
            <w:tcW w:type="dxa" w:w="3456"/>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0.16 ms Bayesian Clash Interception</w:t>
            </w:r>
          </w:p>
        </w:tc>
      </w:tr>
      <w:tr>
        <w:tc>
          <w:tcPr>
            <w:tcW w:type="dxa" w:w="3168"/>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ABDM Standards</w:t>
            </w:r>
          </w:p>
        </w:tc>
        <w:tc>
          <w:tcPr>
            <w:tcW w:type="dxa" w:w="3312"/>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Non-compliant text dumps</w:t>
            </w:r>
          </w:p>
        </w:tc>
        <w:tc>
          <w:tcPr>
            <w:tcW w:type="dxa" w:w="3456"/>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145k+ FHIR R4 Bundles/sec (NAMASTE + TM2)</w:t>
            </w:r>
          </w:p>
        </w:tc>
      </w:tr>
      <w:tr>
        <w:tc>
          <w:tcPr>
            <w:tcW w:type="dxa" w:w="3168"/>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Faded Lab Slips</w:t>
            </w:r>
          </w:p>
        </w:tc>
        <w:tc>
          <w:tcPr>
            <w:tcW w:type="dxa" w:w="3312"/>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Drops decimals (Creatinine 11 mg/dL error)</w:t>
            </w:r>
          </w:p>
        </w:tc>
        <w:tc>
          <w:tcPr>
            <w:tcW w:type="dxa" w:w="3456"/>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Sauvola Plausibility Decimal Recovery</w:t>
            </w:r>
          </w:p>
        </w:tc>
      </w:tr>
      <w:tr>
        <w:tc>
          <w:tcPr>
            <w:tcW w:type="dxa" w:w="3168"/>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Waiting Room Lines</w:t>
            </w:r>
          </w:p>
        </w:tc>
        <w:tc>
          <w:tcPr>
            <w:tcW w:type="dxa" w:w="3312"/>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Touchscreens create 40-person lines</w:t>
            </w:r>
          </w:p>
        </w:tc>
        <w:tc>
          <w:tcPr>
            <w:tcW w:type="dxa" w:w="3456"/>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Geofenced phone intake (No lines, no germs)</w:t>
            </w:r>
          </w:p>
        </w:tc>
      </w:tr>
      <w:tr>
        <w:tc>
          <w:tcPr>
            <w:tcW w:type="dxa" w:w="3168"/>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Doctor Typing Burden</w:t>
            </w:r>
          </w:p>
        </w:tc>
        <w:tc>
          <w:tcPr>
            <w:tcW w:type="dxa" w:w="3312"/>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Doctor spends 65% of time typing</w:t>
            </w:r>
          </w:p>
        </w:tc>
        <w:tc>
          <w:tcPr>
            <w:tcW w:type="dxa" w:w="3456"/>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Ambient Scribe cuts intake by 76.7%</w:t>
            </w:r>
          </w:p>
        </w:tc>
      </w:tr>
      <w:tr>
        <w:tc>
          <w:tcPr>
            <w:tcW w:type="dxa" w:w="3168"/>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Memory Stability</w:t>
            </w:r>
          </w:p>
        </w:tc>
        <w:tc>
          <w:tcPr>
            <w:tcW w:type="dxa" w:w="3312"/>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Memory leaks cause crashes under load</w:t>
            </w:r>
          </w:p>
        </w:tc>
        <w:tc>
          <w:tcPr>
            <w:tcW w:type="dxa" w:w="3456"/>
            <w:shd w:fill="F9F9F9"/>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0.00 MB heap drift across 100k loops</w:t>
            </w:r>
          </w:p>
        </w:tc>
      </w:tr>
      <w:tr>
        <w:tc>
          <w:tcPr>
            <w:tcW w:type="dxa" w:w="3168"/>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Legal Admissibility</w:t>
            </w:r>
          </w:p>
        </w:tc>
        <w:tc>
          <w:tcPr>
            <w:tcW w:type="dxa" w:w="3312"/>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color w:val="222222"/>
                <w:sz w:val="16"/>
              </w:rPr>
              <w:t>Plaintext database (Can be altered)</w:t>
            </w:r>
          </w:p>
        </w:tc>
        <w:tc>
          <w:tcPr>
            <w:tcW w:type="dxa" w:w="3456"/>
            <w:shd w:fill="FFFFFF"/>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pPr>
              <w:spacing w:before="40" w:after="40"/>
            </w:pPr>
            <w:r>
              <w:rPr>
                <w:rFonts w:ascii="Calibri" w:hAnsi="Calibri"/>
                <w:b/>
                <w:color w:val="222222"/>
                <w:sz w:val="16"/>
              </w:rPr>
              <w:t>Groth16 ZKP sealed under BSA 2023 §63</w:t>
            </w:r>
          </w:p>
        </w:tc>
      </w:tr>
    </w:tbl>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968"/>
      <w:gridCol w:w="4968"/>
    </w:tblGrid>
    <w:tr>
      <w:tc>
        <w:tcPr>
          <w:tcW w:type="dxa" w:w="6912"/>
          <w:tcBorders>
            <w:top w:val="single" w:sz="4" w:space="0" w:color="CCCCCC"/>
            <w:bottom w:val="none"/>
            <w:left w:val="none"/>
            <w:right w:val="none"/>
          </w:tcBorders>
        </w:tcPr>
        <w:p>
          <w:pPr>
            <w:spacing w:after="0" w:before="60"/>
          </w:pPr>
          <w:r>
            <w:rPr>
              <w:rFonts w:ascii="Calibri" w:hAnsi="Calibri"/>
              <w:b/>
              <w:color w:val="555555"/>
              <w:sz w:val="16"/>
            </w:rPr>
            <w:t>MINISTRY OF AYUSH &amp; AIIA NEW DELHI • SMART INDIA HACKATHON 2026</w:t>
          </w:r>
        </w:p>
      </w:tc>
      <w:tc>
        <w:tcPr>
          <w:tcW w:type="dxa" w:w="3024"/>
          <w:tcBorders>
            <w:top w:val="single" w:sz="4" w:space="0" w:color="CCCCCC"/>
            <w:bottom w:val="none"/>
            <w:left w:val="none"/>
            <w:right w:val="none"/>
          </w:tcBorders>
        </w:tcPr>
        <w:p>
          <w:pPr>
            <w:spacing w:after="0" w:before="60"/>
            <w:jc w:val="right"/>
          </w:pPr>
          <w:r>
            <w:rPr>
              <w:rFonts w:ascii="Calibri" w:hAnsi="Calibri"/>
              <w:color w:val="555555"/>
              <w:sz w:val="16"/>
            </w:rPr>
            <w:t xml:space="preserve">Page </w:t>
          </w:r>
          <w:fldSimple w:instr="PAGE">
            <w:r>
              <w:rPr>
                <w:rFonts w:ascii="Calibri" w:hAnsi="Calibri"/>
                <w:sz w:val="16"/>
                <w:color w:val="555555"/>
              </w:rPr>
              <w:t>1</w:t>
            </w:r>
          </w:fldSimple>
          <w:r>
            <w:rPr>
              <w:rFonts w:ascii="Calibri" w:hAnsi="Calibri"/>
              <w:color w:val="555555"/>
              <w:sz w:val="16"/>
            </w:rPr>
            <w:t xml:space="preserve"> of </w:t>
          </w:r>
          <w:fldSimple w:instr="NUMPAGES">
            <w:r>
              <w:rPr>
                <w:rFonts w:ascii="Calibri" w:hAnsi="Calibri"/>
                <w:sz w:val="16"/>
                <w:color w:val="555555"/>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968"/>
      <w:gridCol w:w="4968"/>
    </w:tblGrid>
    <w:tr>
      <w:tc>
        <w:tcPr>
          <w:tcW w:type="dxa" w:w="6480"/>
          <w:tcBorders>
            <w:top w:val="none"/>
            <w:bottom w:val="single" w:sz="4" w:space="0" w:color="CCCCCC"/>
            <w:left w:val="none"/>
            <w:right w:val="none"/>
          </w:tcBorders>
        </w:tcPr>
        <w:p>
          <w:pPr>
            <w:spacing w:after="40" w:before="0"/>
          </w:pPr>
          <w:r>
            <w:rPr>
              <w:rFonts w:ascii="Calibri" w:hAnsi="Calibri"/>
              <w:b/>
              <w:color w:val="333333"/>
              <w:sz w:val="17"/>
            </w:rPr>
            <w:t>AIIA Sovereign MediKiosk • Patent &amp; Competitive Moat Summary</w:t>
          </w:r>
        </w:p>
      </w:tc>
      <w:tc>
        <w:tcPr>
          <w:tcW w:type="dxa" w:w="3456"/>
          <w:tcBorders>
            <w:top w:val="none"/>
            <w:bottom w:val="single" w:sz="4" w:space="0" w:color="CCCCCC"/>
            <w:left w:val="none"/>
            <w:right w:val="none"/>
          </w:tcBorders>
        </w:tcPr>
        <w:p>
          <w:pPr>
            <w:spacing w:after="40" w:before="0"/>
            <w:jc w:val="right"/>
          </w:pPr>
          <w:r>
            <w:rPr>
              <w:rFonts w:ascii="Calibri" w:hAnsi="Calibri"/>
              <w:color w:val="666666"/>
              <w:sz w:val="17"/>
            </w:rPr>
            <w:t>PS ID: 26047 • Executive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