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555555"/>
          <w:sz w:val="17"/>
        </w:rPr>
        <w:t>TEAM TECHNICAL PLAYBOOK • SMART INDIA HACKATHON 2026 • PS 26047</w:t>
      </w:r>
    </w:p>
    <w:p>
      <w:pPr>
        <w:spacing w:before="40" w:after="40"/>
      </w:pPr>
      <w:r>
        <w:rPr>
          <w:rFonts w:ascii="Calibri" w:hAnsi="Calibri"/>
          <w:b/>
          <w:color w:val="000000"/>
          <w:sz w:val="32"/>
        </w:rPr>
        <w:t>The Dual-Channel MediKiosk Playbook: Physical Device + BYOD Smartphone</w:t>
      </w:r>
    </w:p>
    <w:p>
      <w:pPr>
        <w:spacing w:before="0" w:after="160"/>
      </w:pPr>
      <w:r>
        <w:rPr>
          <w:rFonts w:ascii="Calibri" w:hAnsi="Calibri"/>
          <w:i/>
          <w:color w:val="444444"/>
          <w:sz w:val="20"/>
        </w:rPr>
        <w:t>Complete Guide to the Physical Device, BYOD Mobile Flow, Patent Integration, and Clinical Use Cases</w:t>
      </w:r>
    </w:p>
    <w:tbl>
      <w:tblPr>
        <w:tblW w:type="auto" w:w="0"/>
        <w:jc w:val="center"/>
        <w:tblLook w:firstColumn="1" w:firstRow="1" w:lastColumn="0" w:lastRow="0" w:noHBand="0" w:noVBand="1" w:val="04A0"/>
      </w:tblPr>
      <w:tblGrid>
        <w:gridCol w:w="5040"/>
        <w:gridCol w:w="5040"/>
      </w:tblGrid>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Registered Patent Title</w:t>
            </w:r>
          </w:p>
        </w:tc>
        <w:tc>
          <w:tcPr>
            <w:tcW w:type="dxa" w:w="6912"/>
            <w:shd w:fill="FFFFF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Adaptive Distributed Memory Retrieval Apparatus with Reinforcement Learning</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Patent Jurisdiction &amp; Claims</w:t>
            </w:r>
          </w:p>
        </w:tc>
        <w:tc>
          <w:tcPr>
            <w:tcW w:type="dxa" w:w="6912"/>
            <w:shd w:fill="FBFBFB"/>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IPO &amp; USPTO Specification Section 5, Claims 1–43 (with extensions to Claim 50)</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Dual-Channel Interaction Mode</w:t>
            </w:r>
          </w:p>
        </w:tc>
        <w:tc>
          <w:tcPr>
            <w:tcW w:type="dxa" w:w="6912"/>
            <w:shd w:fill="FFFFF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Option A: Physical MediKiosk Terminal (Lobby) + Option B: Geofenced BYOD Smartphone</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Edge Hardware Requirement</w:t>
            </w:r>
          </w:p>
        </w:tc>
        <w:tc>
          <w:tcPr>
            <w:tcW w:type="dxa" w:w="6912"/>
            <w:shd w:fill="FBFBFB"/>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Single Raspberry Pi 5 (8GB) • 12W Power • ₹13,400 Turnkey BOM • ₹0 SaaS Fees</w:t>
            </w:r>
          </w:p>
        </w:tc>
      </w:tr>
    </w:tbl>
    <w:p>
      <w:pPr>
        <w:spacing w:after="100"/>
      </w:pPr>
    </w:p>
    <w:p>
      <w:pPr>
        <w:keepNext/>
        <w:spacing w:before="280" w:after="80"/>
        <w:pBdr>
          <w:bottom w:val="single" w:sz="6" w:space="2" w:color="222222"/>
        </w:pBdr>
      </w:pPr>
      <w:r>
        <w:rPr>
          <w:rFonts w:ascii="Calibri" w:hAnsi="Calibri"/>
          <w:b/>
          <w:color w:val="000000"/>
          <w:sz w:val="26"/>
        </w:rPr>
        <w:t>1. The Master Dual-Channel Architecture: Physical Device + BYOD Smartphone</w:t>
      </w:r>
    </w:p>
    <w:p>
      <w:pPr>
        <w:spacing w:before="0" w:after="80" w:line="276" w:lineRule="auto"/>
      </w:pPr>
      <w:r>
        <w:rPr>
          <w:rFonts w:ascii="Calibri" w:hAnsi="Calibri"/>
          <w:color w:val="222222"/>
          <w:sz w:val="19"/>
        </w:rPr>
        <w:t>Our system does not force an 'either/or' choice. In real Indian government hospitals (AIIA, AIIMS, District Hospitals), forcing only a physical kiosk causes massive lines of 40 coughing patients. Forcing only a smartphone app leaves behind poor, elderly, or illiterate citizens who do not own smartphones. We solve this with an integrated Dual-Channel Hybrid Architecture:</w:t>
      </w:r>
    </w:p>
    <w:tbl>
      <w:tblPr>
        <w:tblW w:type="auto" w:w="0"/>
        <w:jc w:val="center"/>
        <w:tblLook w:firstColumn="1" w:firstRow="1" w:lastColumn="0" w:lastRow="0" w:noHBand="0" w:noVBand="1" w:val="04A0"/>
      </w:tblPr>
      <w:tblGrid>
        <w:gridCol w:w="3360"/>
        <w:gridCol w:w="3360"/>
        <w:gridCol w:w="3360"/>
      </w:tblGrid>
      <w:tr>
        <w:tc>
          <w:tcPr>
            <w:tcW w:type="dxa" w:w="2592"/>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Dimension</w:t>
            </w:r>
          </w:p>
        </w:tc>
        <w:tc>
          <w:tcPr>
            <w:tcW w:type="dxa" w:w="3744"/>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Option A: Physical MediKiosk (Device)</w:t>
            </w:r>
          </w:p>
        </w:tc>
        <w:tc>
          <w:tcPr>
            <w:tcW w:type="dxa" w:w="3744"/>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Option B: Sovereign BYOD (Smartphone)</w:t>
            </w:r>
          </w:p>
        </w:tc>
      </w:tr>
      <w:tr>
        <w:tc>
          <w:tcPr>
            <w:tcW w:type="dxa" w:w="2592"/>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Target Citizen</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Illiterate, elderly, visual impairment, dead phone battery, or no smartphone.</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Tech-literate patients, young citizens, or family attendants with smartphones.</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Physical Location</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Lobby entrance / registration desk. Functions as the physical anchor beacon.</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Anywhere in the 100-meter waiting hall, open courtyard, garden, or cafeteria.</w:t>
            </w:r>
          </w:p>
        </w:tc>
      </w:tr>
      <w:tr>
        <w:tc>
          <w:tcPr>
            <w:tcW w:type="dxa" w:w="2592"/>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Interaction Mode</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Large 32" touchscreen with bilingual voice avatar, tactile audio snap, &amp; ASHA assist.</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Patient's own personal phone browser (Zero-install web companion via optical QR).</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Hardware Output</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Cuts physical 58mm thermal paper tokens with Aztec QR codes for the patient.</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Digital live queue ticker on phone screen with haptic vibration paging when next.</w:t>
            </w:r>
          </w:p>
        </w:tc>
      </w:tr>
      <w:tr>
        <w:tc>
          <w:tcPr>
            <w:tcW w:type="dxa" w:w="2592"/>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Paper Lab Scanning</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Physical document scanner tray with anti-glare overhead illumination.</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Phone camera capture with on-device Sauvola binarization &amp; decimal recovery.</w:t>
            </w:r>
          </w:p>
        </w:tc>
      </w:tr>
    </w:tbl>
    <w:p>
      <w:pPr>
        <w:spacing w:after="80"/>
      </w:pPr>
    </w:p>
    <w:p>
      <w:pPr>
        <w:spacing w:before="0" w:after="80" w:line="276" w:lineRule="auto"/>
      </w:pPr>
      <w:r>
        <w:rPr>
          <w:rFonts w:ascii="Calibri" w:hAnsi="Calibri"/>
          <w:b/>
          <w:color w:val="111111"/>
          <w:sz w:val="19"/>
        </w:rPr>
        <w:t xml:space="preserve">The Symbiotic Benefit: </w:t>
      </w:r>
      <w:r>
        <w:rPr>
          <w:rFonts w:ascii="Calibri" w:hAnsi="Calibri"/>
          <w:color w:val="222222"/>
          <w:sz w:val="19"/>
        </w:rPr>
        <w:t>The physical device displays the 60-second rotating QR code that spawns BYOD sessions. Because 70%+ of smartphone owners use BYOD from their seats, the physical kiosk has ZERO WAITING LINE for the elderly and illiterate citizens who need it most!</w:t>
      </w:r>
    </w:p>
    <w:p>
      <w:pPr>
        <w:keepNext/>
        <w:spacing w:before="280" w:after="80"/>
        <w:pBdr>
          <w:bottom w:val="single" w:sz="6" w:space="2" w:color="222222"/>
        </w:pBdr>
      </w:pPr>
      <w:r>
        <w:rPr>
          <w:rFonts w:ascii="Calibri" w:hAnsi="Calibri"/>
          <w:b/>
          <w:color w:val="000000"/>
          <w:sz w:val="26"/>
        </w:rPr>
        <w:t>2. How Our Patent Coordinates Both the Physical Device &amp; BYOD</w:t>
      </w:r>
    </w:p>
    <w:p>
      <w:pPr>
        <w:spacing w:before="0" w:after="80" w:line="276" w:lineRule="auto"/>
      </w:pPr>
      <w:r>
        <w:rPr>
          <w:rFonts w:ascii="Calibri" w:hAnsi="Calibri"/>
          <w:color w:val="222222"/>
          <w:sz w:val="19"/>
        </w:rPr>
        <w:t>Our registered patent is titled: "Adaptive Distributed Memory Retrieval Apparatus with Reinforcement Learning" (Claims 1–43). It acts as the master cryptographic engine and hardware arbiter that runs both channels simultaneously on a single ₹13,400 edge box:</w:t>
      </w:r>
    </w:p>
    <w:p>
      <w:pPr>
        <w:pStyle w:val="ListBullet"/>
        <w:spacing w:before="0" w:after="60" w:line="276" w:lineRule="auto"/>
      </w:pPr>
      <w:r>
        <w:rPr>
          <w:rFonts w:ascii="Calibri" w:hAnsi="Calibri"/>
          <w:b/>
          <w:color w:val="111111"/>
          <w:sz w:val="19"/>
        </w:rPr>
        <w:t xml:space="preserve">1. 100-Meter Rotating Optical Nonces (Claims 29–43): </w:t>
      </w:r>
      <w:r>
        <w:rPr>
          <w:rFonts w:ascii="Calibri" w:hAnsi="Calibri"/>
          <w:color w:val="333333"/>
          <w:sz w:val="19"/>
        </w:rPr>
        <w:t>The physical kiosk screen displays a dynamic optical QR code that rotates every 60 seconds. To start a BYOD session, the patient's phone must scan this exact screen. This anchors the digital BYOD flow to the physical device and ensures nobody outside the 100m waiting hall can spam the doctor's queue.</w:t>
      </w:r>
    </w:p>
    <w:p>
      <w:pPr>
        <w:pStyle w:val="ListBullet"/>
        <w:spacing w:before="0" w:after="60" w:line="276" w:lineRule="auto"/>
      </w:pPr>
      <w:r>
        <w:rPr>
          <w:rFonts w:ascii="Calibri" w:hAnsi="Calibri"/>
          <w:b/>
          <w:color w:val="111111"/>
          <w:sz w:val="19"/>
        </w:rPr>
        <w:t xml:space="preserve">2. 17.49-Microsecond Hardware Arbiter for Concurrent Multi-Tenancy (Claims 1(c) &amp; 39): </w:t>
      </w:r>
      <w:r>
        <w:rPr>
          <w:rFonts w:ascii="Calibri" w:hAnsi="Calibri"/>
          <w:color w:val="333333"/>
          <w:sz w:val="19"/>
        </w:rPr>
        <w:t>The single Raspberry Pi 5 runs the physical kiosk UI while simultaneously serving 50+ BYOD smartphone connections over local Wi-Fi. Naive systems crash under this load. Your patent's Reinforcement Learning Arbiter schedules CPU and memory in 17.49 microseconds, cutting p95 latency by 90.18% (down to 28 ms) with 0.00 MB memory drift.</w:t>
      </w:r>
    </w:p>
    <w:p>
      <w:pPr>
        <w:pStyle w:val="ListBullet"/>
        <w:spacing w:before="0" w:after="60" w:line="276" w:lineRule="auto"/>
      </w:pPr>
      <w:r>
        <w:rPr>
          <w:rFonts w:ascii="Calibri" w:hAnsi="Calibri"/>
          <w:b/>
          <w:color w:val="111111"/>
          <w:sz w:val="19"/>
        </w:rPr>
        <w:t xml:space="preserve">3. Zero-Knowledge State Invariance (Claims 1, 10 &amp; 33): </w:t>
      </w:r>
      <w:r>
        <w:rPr>
          <w:rFonts w:ascii="Calibri" w:hAnsi="Calibri"/>
          <w:color w:val="333333"/>
          <w:sz w:val="19"/>
        </w:rPr>
        <w:t>Whether an intake originates on the physical kiosk or a patient's personal smartphone, the patent's Groth16 zk-SNARK circuit over alt_bn128 generates a cryptographic proof of computational integrity in 4.86 ms. The doctor receives a verified case sheet without raw Aadhaar or unredacted PHI ever crossing network boundaries.</w:t>
      </w:r>
    </w:p>
    <w:p>
      <w:pPr>
        <w:pStyle w:val="ListBullet"/>
        <w:spacing w:before="0" w:after="60" w:line="276" w:lineRule="auto"/>
      </w:pPr>
      <w:r>
        <w:rPr>
          <w:rFonts w:ascii="Calibri" w:hAnsi="Calibri"/>
          <w:b/>
          <w:color w:val="111111"/>
          <w:sz w:val="19"/>
        </w:rPr>
        <w:t xml:space="preserve">4. Unified Cryptographic Prescriptions under BSA 2023 §63: </w:t>
      </w:r>
      <w:r>
        <w:rPr>
          <w:rFonts w:ascii="Calibri" w:hAnsi="Calibri"/>
          <w:color w:val="333333"/>
          <w:sz w:val="19"/>
        </w:rPr>
        <w:t>Whether the patient walks up to the kiosk or uses their phone, the final prescription generated at the doctor's desk is sealed with the patent's cryptographic proof hash. It is 100% tamper-evident and admissible in court under Section 63 of Bharatiya Sakshya Adhiniyam 2023.</w:t>
      </w:r>
    </w:p>
    <w:p>
      <w:pPr>
        <w:keepNext/>
        <w:spacing w:before="280" w:after="80"/>
        <w:pBdr>
          <w:bottom w:val="single" w:sz="6" w:space="2" w:color="222222"/>
        </w:pBdr>
      </w:pPr>
      <w:r>
        <w:rPr>
          <w:rFonts w:ascii="Calibri" w:hAnsi="Calibri"/>
          <w:b/>
          <w:color w:val="000000"/>
          <w:sz w:val="26"/>
        </w:rPr>
        <w:t>3. What Only We Can Do: The 6 Unfair Advantages</w:t>
      </w:r>
    </w:p>
    <w:p>
      <w:pPr>
        <w:pStyle w:val="ListBullet"/>
        <w:spacing w:before="0" w:after="60" w:line="276" w:lineRule="auto"/>
      </w:pPr>
      <w:r>
        <w:rPr>
          <w:rFonts w:ascii="Calibri" w:hAnsi="Calibri"/>
          <w:b/>
          <w:color w:val="111111"/>
          <w:sz w:val="19"/>
        </w:rPr>
        <w:t xml:space="preserve">1. True Dual-Channel Equity (100% Citizen Inclusion): </w:t>
      </w:r>
      <w:r>
        <w:rPr>
          <w:rFonts w:ascii="Calibri" w:hAnsi="Calibri"/>
          <w:color w:val="333333"/>
          <w:sz w:val="19"/>
        </w:rPr>
        <w:t>Competitors are either 'only a physical kiosk' (expensive, long lines) or 'only a phone app' (excludes non-smartphone citizens). We seamlessly deliver both from one ₹13,400 offline box.</w:t>
      </w:r>
    </w:p>
    <w:p>
      <w:pPr>
        <w:pStyle w:val="ListBullet"/>
        <w:spacing w:before="0" w:after="60" w:line="276" w:lineRule="auto"/>
      </w:pPr>
      <w:r>
        <w:rPr>
          <w:rFonts w:ascii="Calibri" w:hAnsi="Calibri"/>
          <w:b/>
          <w:color w:val="111111"/>
          <w:sz w:val="19"/>
        </w:rPr>
        <w:t xml:space="preserve">2. 100% Air-Gapped Bare-Metal Edge: </w:t>
      </w:r>
      <w:r>
        <w:rPr>
          <w:rFonts w:ascii="Calibri" w:hAnsi="Calibri"/>
          <w:color w:val="333333"/>
          <w:sz w:val="19"/>
        </w:rPr>
        <w:t>Competitors call OpenAI or AWS in the cloud. If internet cuts out, their app freezes. Sending patient data overseas violates DPDP Act 2023 Section 8 (up to ₹250 Cr penalties). We run 100% locally on a single ₹13,400 box with 14h battery life and ₹0 SaaS bills.</w:t>
      </w:r>
    </w:p>
    <w:p>
      <w:pPr>
        <w:pStyle w:val="ListBullet"/>
        <w:spacing w:before="0" w:after="60" w:line="276" w:lineRule="auto"/>
      </w:pPr>
      <w:r>
        <w:rPr>
          <w:rFonts w:ascii="Calibri" w:hAnsi="Calibri"/>
          <w:b/>
          <w:color w:val="111111"/>
          <w:sz w:val="19"/>
        </w:rPr>
        <w:t xml:space="preserve">3. Sub-0.2ms Dual-Pharmacology Conflict Interception: </w:t>
      </w:r>
      <w:r>
        <w:rPr>
          <w:rFonts w:ascii="Calibri" w:hAnsi="Calibri"/>
          <w:color w:val="333333"/>
          <w:sz w:val="19"/>
        </w:rPr>
        <w:t>Competitors know modern medicine ONLY or Ayurveda ONLY. Over 60% of Indian OPD patients take both. We detect fatal clashes (Warfarin + Yogaraja Guggulu -&gt; fatal hemorrhage; Digoxin + Mulethi -&gt; fatal arrhythmia) in 0.16 milliseconds.</w:t>
      </w:r>
    </w:p>
    <w:p>
      <w:pPr>
        <w:pStyle w:val="ListBullet"/>
        <w:spacing w:before="0" w:after="60" w:line="276" w:lineRule="auto"/>
      </w:pPr>
      <w:r>
        <w:rPr>
          <w:rFonts w:ascii="Calibri" w:hAnsi="Calibri"/>
          <w:b/>
          <w:color w:val="111111"/>
          <w:sz w:val="19"/>
        </w:rPr>
        <w:t xml:space="preserve">4. Bijective NAMASTE Tri-Coding Bridge: </w:t>
      </w:r>
      <w:r>
        <w:rPr>
          <w:rFonts w:ascii="Calibri" w:hAnsi="Calibri"/>
          <w:color w:val="333333"/>
          <w:sz w:val="19"/>
        </w:rPr>
        <w:t>Competitors save doctor notes as raw unstructured text. We automatically convert 1,941 Ministry of Ayush codes to WHO ICD-11 TM2 and SNOMED-CT at over 145,000 ABDM FHIR R4 bundles per second.</w:t>
      </w:r>
    </w:p>
    <w:p>
      <w:pPr>
        <w:pStyle w:val="ListBullet"/>
        <w:spacing w:before="0" w:after="60" w:line="276" w:lineRule="auto"/>
      </w:pPr>
      <w:r>
        <w:rPr>
          <w:rFonts w:ascii="Calibri" w:hAnsi="Calibri"/>
          <w:b/>
          <w:color w:val="111111"/>
          <w:sz w:val="19"/>
        </w:rPr>
        <w:t xml:space="preserve">5. Faded Paper OCR with Dropped Decimal Recovery: </w:t>
      </w:r>
      <w:r>
        <w:rPr>
          <w:rFonts w:ascii="Calibri" w:hAnsi="Calibri"/>
          <w:color w:val="333333"/>
          <w:sz w:val="19"/>
        </w:rPr>
        <w:t>When an illiterate patient brings a faded thermal lab slip, standard OCR misses the faint dot and reads Creatinine 1.1 as 11 mg/dL (falsely signaling fatal kidney failure). We detect the error, restore 1.1 mg/dL, and parse Hindi posology ('१ गोली सुबह-शाम').</w:t>
      </w:r>
    </w:p>
    <w:p>
      <w:pPr>
        <w:pStyle w:val="ListBullet"/>
        <w:spacing w:before="0" w:after="60" w:line="276" w:lineRule="auto"/>
      </w:pPr>
      <w:r>
        <w:rPr>
          <w:rFonts w:ascii="Calibri" w:hAnsi="Calibri"/>
          <w:b/>
          <w:color w:val="111111"/>
          <w:sz w:val="19"/>
        </w:rPr>
        <w:t xml:space="preserve">6. Cryptographic Court Admissibility: </w:t>
      </w:r>
      <w:r>
        <w:rPr>
          <w:rFonts w:ascii="Calibri" w:hAnsi="Calibri"/>
          <w:color w:val="333333"/>
          <w:sz w:val="19"/>
        </w:rPr>
        <w:t>Standard hospital databases can be edited by any admin after an incident. Every prescription in our system is cryptographically sealed by Groth16 zk-SNARKs under BSA 2023 §63.</w:t>
      </w:r>
    </w:p>
    <w:p>
      <w:pPr>
        <w:keepNext/>
        <w:spacing w:before="280" w:after="80"/>
        <w:pBdr>
          <w:bottom w:val="single" w:sz="6" w:space="2" w:color="222222"/>
        </w:pBdr>
      </w:pPr>
      <w:r>
        <w:rPr>
          <w:rFonts w:ascii="Calibri" w:hAnsi="Calibri"/>
          <w:b/>
          <w:color w:val="000000"/>
          <w:sz w:val="26"/>
        </w:rPr>
        <w:t>4. Real-World Clinical Use Cases: The Dual Flow in Action</w:t>
      </w:r>
    </w:p>
    <w:p>
      <w:pPr>
        <w:keepNext/>
        <w:spacing w:before="180" w:after="60"/>
      </w:pPr>
      <w:r>
        <w:rPr>
          <w:rFonts w:ascii="Calibri" w:hAnsi="Calibri"/>
          <w:b/>
          <w:color w:val="111111"/>
          <w:sz w:val="21"/>
        </w:rPr>
        <w:t>Use Case 1: The Elderly Villager vs. The Young Attendant (AIIA OPD Hall)</w:t>
      </w:r>
    </w:p>
    <w:p>
      <w:pPr>
        <w:spacing w:before="0" w:after="80" w:line="276" w:lineRule="auto"/>
      </w:pPr>
      <w:r>
        <w:rPr>
          <w:rFonts w:ascii="Calibri" w:hAnsi="Calibri"/>
          <w:color w:val="222222"/>
          <w:sz w:val="19"/>
        </w:rPr>
        <w:t>Scenario: Ramesh (68, no smartphone, knee pain) arrives with his grandson Amit (24, smartphone user).</w:t>
        <w:br/>
        <w:t>Flow: Amit points his phone at the physical kiosk's rotating QR code, launching the BYOD portal to self-triage his own seasonal allergy while seated in the waiting hall. Meanwhile, Ramesh walks directly up to the physical MediKiosk. With zero line, Ramesh uses the large bilingual voice avatar with the help of an ASHA worker, places his faded Ayurvedic clinic slips on the scanner tray, and gets a physical printed thermal ticket. Both streams merge seamlessly into the doctor's queue.</w:t>
      </w:r>
    </w:p>
    <w:p>
      <w:pPr>
        <w:keepNext/>
        <w:spacing w:before="180" w:after="60"/>
      </w:pPr>
      <w:r>
        <w:rPr>
          <w:rFonts w:ascii="Calibri" w:hAnsi="Calibri"/>
          <w:b/>
          <w:color w:val="111111"/>
          <w:sz w:val="21"/>
        </w:rPr>
        <w:t>Use Case 2: Remote Primary Health Centre (PHC) Power Outage</w:t>
      </w:r>
    </w:p>
    <w:p>
      <w:pPr>
        <w:spacing w:before="0" w:after="80" w:line="276" w:lineRule="auto"/>
      </w:pPr>
      <w:r>
        <w:rPr>
          <w:rFonts w:ascii="Calibri" w:hAnsi="Calibri"/>
          <w:color w:val="222222"/>
          <w:sz w:val="19"/>
        </w:rPr>
        <w:t>Scenario: A rural health centre experiences an 8-hour grid blackout with zero cellular connectivity.</w:t>
        <w:br/>
        <w:t>Flow: The ₹13,400 Raspberry Pi 5 switches seamlessly to its internal 12W battery backup (good for 14 hours). The physical kiosk touchscreen continues to operate locally for walking patients, while broadcasting the air-gapped 'AIIA-Sovereign-OPD' Wi-Fi for any smartphone user in the compound. No cloud calls, no data loss, zero interruption in patient triage.</w:t>
      </w:r>
    </w:p>
    <w:p>
      <w:pPr>
        <w:keepNext/>
        <w:spacing w:before="180" w:after="60"/>
      </w:pPr>
      <w:r>
        <w:rPr>
          <w:rFonts w:ascii="Calibri" w:hAnsi="Calibri"/>
          <w:b/>
          <w:color w:val="111111"/>
          <w:sz w:val="21"/>
        </w:rPr>
        <w:t>Use Case 3: Geriatric Chronic Patient on Mixed Medications</w:t>
      </w:r>
    </w:p>
    <w:p>
      <w:pPr>
        <w:spacing w:before="0" w:after="80" w:line="276" w:lineRule="auto"/>
      </w:pPr>
      <w:r>
        <w:rPr>
          <w:rFonts w:ascii="Calibri" w:hAnsi="Calibri"/>
          <w:color w:val="222222"/>
          <w:sz w:val="19"/>
        </w:rPr>
        <w:t>Scenario: A patient taking Allopathic blood thinners (Warfarin) visits the hospital for joint pain.</w:t>
        <w:br/>
        <w:t>Flow: Whether the past prescription is scanned via the physical kiosk tray or photographed on a BYOD smartphone, the system extracts the ingredients and fires an immediate Alert 1 in 0.16 ms: Guggulsterones potently inhibit CYP2C9, creating severe internal hemorrhage risk with Warfarin. The doctor receives an amber alert on their dashboard before writing the prescription.</w:t>
      </w:r>
    </w:p>
    <w:p>
      <w:pPr>
        <w:keepNext/>
        <w:spacing w:before="180" w:after="60"/>
      </w:pPr>
      <w:r>
        <w:rPr>
          <w:rFonts w:ascii="Calibri" w:hAnsi="Calibri"/>
          <w:b/>
          <w:color w:val="111111"/>
          <w:sz w:val="21"/>
        </w:rPr>
        <w:t>Use Case 4: Outbreak Infection Control in Winter OPDs</w:t>
      </w:r>
    </w:p>
    <w:p>
      <w:pPr>
        <w:spacing w:before="0" w:after="80" w:line="276" w:lineRule="auto"/>
      </w:pPr>
      <w:r>
        <w:rPr>
          <w:rFonts w:ascii="Calibri" w:hAnsi="Calibri"/>
          <w:color w:val="222222"/>
          <w:sz w:val="19"/>
        </w:rPr>
        <w:t>Scenario: High-density influenza and respiratory season in North India.</w:t>
        <w:br/>
        <w:t>Flow: 80% of patients and attendants scan the kiosk screen QR and sit outside in the open-air courtyard on their phones (BYOD). The physical kiosk screen remains clean, sanitized, and dedicated strictly to vulnerable non-smartphone patients who need immediate help, cutting waiting-room viral transmission to near zero.</w:t>
      </w:r>
    </w:p>
    <w:p>
      <w:pPr>
        <w:keepNext/>
        <w:spacing w:before="280" w:after="80"/>
        <w:pBdr>
          <w:bottom w:val="single" w:sz="6" w:space="2" w:color="222222"/>
        </w:pBdr>
      </w:pPr>
      <w:r>
        <w:rPr>
          <w:rFonts w:ascii="Calibri" w:hAnsi="Calibri"/>
          <w:b/>
          <w:color w:val="000000"/>
          <w:sz w:val="26"/>
        </w:rPr>
        <w:t>5. New Possibilities Unlocked: The Next Frontiers</w:t>
      </w:r>
    </w:p>
    <w:p>
      <w:pPr>
        <w:pStyle w:val="ListBullet"/>
        <w:spacing w:before="0" w:after="60" w:line="276" w:lineRule="auto"/>
      </w:pPr>
      <w:r>
        <w:rPr>
          <w:rFonts w:ascii="Calibri" w:hAnsi="Calibri"/>
          <w:b/>
          <w:color w:val="111111"/>
          <w:sz w:val="19"/>
        </w:rPr>
        <w:t xml:space="preserve">1. Physical Ticket to Digital Phone Handoff: </w:t>
      </w:r>
      <w:r>
        <w:rPr>
          <w:rFonts w:ascii="Calibri" w:hAnsi="Calibri"/>
          <w:color w:val="333333"/>
          <w:sz w:val="19"/>
        </w:rPr>
        <w:t>A patient registers at the physical kiosk and gets a printed thermal ticket. The ticket has a cryptographic Aztec QR code. The patient's family member scans the ticket with their phone camera, and the ticket instantly 'jumps' to their phone, allowing them to track the queue live while waiting in the hospital canteen.</w:t>
      </w:r>
    </w:p>
    <w:p>
      <w:pPr>
        <w:pStyle w:val="ListBullet"/>
        <w:spacing w:before="0" w:after="60" w:line="276" w:lineRule="auto"/>
      </w:pPr>
      <w:r>
        <w:rPr>
          <w:rFonts w:ascii="Calibri" w:hAnsi="Calibri"/>
          <w:b/>
          <w:color w:val="111111"/>
          <w:sz w:val="19"/>
        </w:rPr>
        <w:t xml:space="preserve">2. Multi-Member Family Intake on Both Channels: </w:t>
      </w:r>
      <w:r>
        <w:rPr>
          <w:rFonts w:ascii="Calibri" w:hAnsi="Calibri"/>
          <w:color w:val="333333"/>
          <w:sz w:val="19"/>
        </w:rPr>
        <w:t>A mother can register herself and two children at the physical kiosk sequentially, or complete all three registrations on her personal smartphone via 'Family Caregiver Mode' under linked consecutive tokens (`TOKEN-042A`, `B`, `C`).</w:t>
      </w:r>
    </w:p>
    <w:p>
      <w:pPr>
        <w:pStyle w:val="ListBullet"/>
        <w:spacing w:before="0" w:after="60" w:line="276" w:lineRule="auto"/>
      </w:pPr>
      <w:r>
        <w:rPr>
          <w:rFonts w:ascii="Calibri" w:hAnsi="Calibri"/>
          <w:b/>
          <w:color w:val="111111"/>
          <w:sz w:val="19"/>
        </w:rPr>
        <w:t xml:space="preserve">3. Verifiable Offline Health Passport: </w:t>
      </w:r>
      <w:r>
        <w:rPr>
          <w:rFonts w:ascii="Calibri" w:hAnsi="Calibri"/>
          <w:color w:val="333333"/>
          <w:sz w:val="19"/>
        </w:rPr>
        <w:t>Prescriptions sealed by the patent's Groth16 circuit can be exported to the patient's phone. When visiting a different district hospital without shared servers, the second hospital scans the QR code and cryptographically verifies past treatment authenticity in 4.86 ms offline.</w:t>
      </w:r>
    </w:p>
    <w:p>
      <w:pPr>
        <w:pStyle w:val="ListBullet"/>
        <w:spacing w:before="0" w:after="60" w:line="276" w:lineRule="auto"/>
      </w:pPr>
      <w:r>
        <w:rPr>
          <w:rFonts w:ascii="Calibri" w:hAnsi="Calibri"/>
          <w:b/>
          <w:color w:val="111111"/>
          <w:sz w:val="19"/>
        </w:rPr>
        <w:t xml:space="preserve">4. Automated ABDM Sync When Reconnected: </w:t>
      </w:r>
      <w:r>
        <w:rPr>
          <w:rFonts w:ascii="Calibri" w:hAnsi="Calibri"/>
          <w:color w:val="333333"/>
          <w:sz w:val="19"/>
        </w:rPr>
        <w:t>Operates 100% offline during OPD hours. When the hospital broadband reconnects at night, the edge box securely pushes all generated FHIR R4 bundles to the Ayushman Bharat Digital Mission (ABDM) national cloud.</w:t>
      </w:r>
    </w:p>
    <w:p>
      <w:pPr>
        <w:keepNext/>
        <w:spacing w:before="280" w:after="80"/>
        <w:pBdr>
          <w:bottom w:val="single" w:sz="6" w:space="2" w:color="222222"/>
        </w:pBdr>
      </w:pPr>
      <w:r>
        <w:rPr>
          <w:rFonts w:ascii="Calibri" w:hAnsi="Calibri"/>
          <w:b/>
          <w:color w:val="000000"/>
          <w:sz w:val="26"/>
        </w:rPr>
        <w:t>6. Team Cheat Sheet: How to Answer Jury &amp; Doctor Questions</w:t>
      </w:r>
    </w:p>
    <w:tbl>
      <w:tblPr>
        <w:tblW w:type="auto" w:w="0"/>
        <w:jc w:val="center"/>
        <w:tblLook w:firstColumn="1" w:firstRow="1" w:lastColumn="0" w:lastRow="0" w:noHBand="0" w:noVBand="1" w:val="04A0"/>
      </w:tblPr>
      <w:tblGrid>
        <w:gridCol w:w="5040"/>
        <w:gridCol w:w="5040"/>
      </w:tblGrid>
      <w:tr>
        <w:tc>
          <w:tcPr>
            <w:tcW w:type="dxa" w:w="3744"/>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Expected Jury / Doctor Question</w:t>
            </w:r>
          </w:p>
        </w:tc>
        <w:tc>
          <w:tcPr>
            <w:tcW w:type="dxa" w:w="6336"/>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The Exact Team Defense &amp; Winning Response</w:t>
            </w:r>
          </w:p>
        </w:tc>
      </w:tr>
      <w:tr>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Judge: 'Why do you need both a physical kiosk and BYOD?'</w:t>
            </w:r>
          </w:p>
        </w:tc>
        <w:tc>
          <w:tcPr>
            <w:tcW w:type="dxa" w:w="6336"/>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Answer: 'Universal inclusion plus zero queues. Physical kiosks ensure elderly and non-smartphone citizens are never left behind. BYOD absorbs 70%+ of smartphone users so the physical kiosk has ZERO line.'</w:t>
            </w:r>
          </w:p>
        </w:tc>
      </w:tr>
      <w:tr>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Judge: 'Why not just use OpenAI or Gemini API in the cloud?'</w:t>
            </w:r>
          </w:p>
        </w:tc>
        <w:tc>
          <w:tcPr>
            <w:tcW w:type="dxa" w:w="6336"/>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Answer: 'Three fatal reasons: (1) Internet drops in rural PHCs; (2) Sending Indian patient health records overseas violates Section 8 of DPDP Act 2023 with penalties up to ₹250 Cr; (3) Cloud APIs cannot catch Ayurvedic herb-drug clashes.'</w:t>
            </w:r>
          </w:p>
        </w:tc>
      </w:tr>
      <w:tr>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Judge: 'How does your patent connect the physical kiosk and BYOD?'</w:t>
            </w:r>
          </w:p>
        </w:tc>
        <w:tc>
          <w:tcPr>
            <w:tcW w:type="dxa" w:w="6336"/>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Answer: 'Our patent (Claims 1–43) provides the 100m rotating QR nonces that link BYOD to the kiosk screen, the 17 μs arbiter that lets 50 phones share one ₹13,400 box, and the 4.86 ms Groth16 proof that seals prescriptions under BSA 2023 §63.'</w:t>
            </w:r>
          </w:p>
        </w:tc>
      </w:tr>
      <w:tr>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Doctor: 'Does this create extra typing work for me?'</w:t>
            </w:r>
          </w:p>
        </w:tc>
        <w:tc>
          <w:tcPr>
            <w:tcW w:type="dxa" w:w="6336"/>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Answer: 'Zero typing. Whether the patient used the kiosk or their phone, their summary appears on your desk in &lt;50 ms. You speak naturally to the patient; our ambient scribe writes the prescription automatically.'</w:t>
            </w:r>
          </w:p>
        </w:tc>
      </w:tr>
    </w:tbl>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040"/>
      <w:gridCol w:w="5040"/>
    </w:tblGrid>
    <w:tr>
      <w:tc>
        <w:tcPr>
          <w:tcW w:type="dxa" w:w="6912"/>
          <w:tcBorders>
            <w:top w:val="single" w:sz="4" w:space="0" w:color="CCCCCC"/>
            <w:bottom w:val="none"/>
            <w:left w:val="none"/>
            <w:right w:val="none"/>
          </w:tcBorders>
        </w:tcPr>
        <w:p>
          <w:pPr>
            <w:spacing w:after="0" w:before="60"/>
          </w:pPr>
          <w:r>
            <w:rPr>
              <w:rFonts w:ascii="Calibri" w:hAnsi="Calibri"/>
              <w:b/>
              <w:color w:val="555555"/>
              <w:sz w:val="16"/>
            </w:rPr>
            <w:t>MINISTRY OF AYUSH &amp; AIIA NEW DELHI • SMART INDIA HACKATHON 2026</w:t>
          </w:r>
        </w:p>
      </w:tc>
      <w:tc>
        <w:tcPr>
          <w:tcW w:type="dxa" w:w="3168"/>
          <w:tcBorders>
            <w:top w:val="single" w:sz="4" w:space="0" w:color="CCCCCC"/>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040"/>
      <w:gridCol w:w="5040"/>
    </w:tblGrid>
    <w:tr>
      <w:tc>
        <w:tcPr>
          <w:tcW w:type="dxa" w:w="6768"/>
          <w:tcBorders>
            <w:top w:val="none"/>
            <w:bottom w:val="single" w:sz="4" w:space="0" w:color="CCCCCC"/>
            <w:left w:val="none"/>
            <w:right w:val="none"/>
          </w:tcBorders>
        </w:tcPr>
        <w:p>
          <w:pPr>
            <w:spacing w:after="40" w:before="0"/>
          </w:pPr>
          <w:r>
            <w:rPr>
              <w:rFonts w:ascii="Calibri" w:hAnsi="Calibri"/>
              <w:b/>
              <w:color w:val="333333"/>
              <w:sz w:val="17"/>
            </w:rPr>
            <w:t>AIIA Sovereign MediKiosk • Dual-Channel Playbook (Kiosk + BYOD)</w:t>
          </w:r>
        </w:p>
      </w:tc>
      <w:tc>
        <w:tcPr>
          <w:tcW w:type="dxa" w:w="3312"/>
          <w:tcBorders>
            <w:top w:val="none"/>
            <w:bottom w:val="single" w:sz="4" w:space="0" w:color="CCCCCC"/>
            <w:left w:val="none"/>
            <w:right w:val="none"/>
          </w:tcBorders>
        </w:tcPr>
        <w:p>
          <w:pPr>
            <w:spacing w:after="40" w:before="0"/>
            <w:jc w:val="right"/>
          </w:pPr>
          <w:r>
            <w:rPr>
              <w:rFonts w:ascii="Calibri" w:hAnsi="Calibri"/>
              <w:color w:val="666666"/>
              <w:sz w:val="17"/>
            </w:rPr>
            <w:t>PS ID: 26047 • Team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