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libri" w:hAnsi="Calibri"/>
          <w:b/>
          <w:color w:val="444444"/>
          <w:sz w:val="18"/>
        </w:rPr>
        <w:t>GOVERNMENT OF INDIA • MINISTRY OF AYUSH &amp; MoHFW</w:t>
      </w:r>
    </w:p>
    <w:p>
      <w:pPr>
        <w:spacing w:before="0" w:after="120"/>
      </w:pPr>
      <w:r>
        <w:rPr>
          <w:rFonts w:ascii="Calibri" w:hAnsi="Calibri"/>
          <w:b/>
          <w:color w:val="111111"/>
          <w:sz w:val="22"/>
        </w:rPr>
        <w:t>ALL INDIA INSTITUTE OF AYURVEDA (AIIA), NEW DELHI</w:t>
      </w:r>
    </w:p>
    <w:p>
      <w:pPr>
        <w:spacing w:before="80" w:after="40"/>
      </w:pPr>
      <w:r>
        <w:rPr>
          <w:rFonts w:ascii="Calibri" w:hAnsi="Calibri"/>
          <w:b/>
          <w:color w:val="000000"/>
          <w:sz w:val="36"/>
        </w:rPr>
        <w:t>Sovereign Edge OCR &amp; Neural Vision Intelligence Subsystem</w:t>
      </w:r>
    </w:p>
    <w:p>
      <w:pPr>
        <w:spacing w:before="0" w:after="160"/>
      </w:pPr>
      <w:r>
        <w:rPr>
          <w:rFonts w:ascii="Calibri" w:hAnsi="Calibri"/>
          <w:i/>
          <w:color w:val="333333"/>
          <w:sz w:val="22"/>
        </w:rPr>
        <w:t>Hardware-Accelerated Local Vision, Sauvola Adaptive Binarization, Damerau-Levenshtein Clinical Matching, Vernacular Posology Parsing, and Physiological Plausibility Architecture</w:t>
      </w:r>
    </w:p>
    <w:tbl>
      <w:tblPr>
        <w:tblW w:type="auto" w:w="0"/>
        <w:jc w:val="center"/>
        <w:tblLook w:firstColumn="1" w:firstRow="1" w:lastColumn="0" w:lastRow="0" w:noHBand="0" w:noVBand="1" w:val="04A0"/>
        <w:tblW w:w="9740" w:type="dxa"/>
        <w:tblCellMar>
          <w:top w:w="120" w:type="dxa"/>
          <w:bottom w:w="120" w:type="dxa"/>
          <w:left w:w="140" w:type="dxa"/>
          <w:right w:w="140" w:type="dxa"/>
        </w:tblCellMar>
      </w:tblPr>
      <w:tblGrid>
        <w:gridCol w:w="5040"/>
        <w:gridCol w:w="5040"/>
      </w:tblGrid>
      <w:tr>
        <w:trPr>
          <w:cantSplit/>
          <w:tblHeader/>
        </w:trPr>
        <w:tc>
          <w:tcPr>
            <w:tcW w:type="dxa" w:w="3168"/>
            <w:vAlign w:val="center"/>
            <w:shd w:fill="EFEFE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b/>
                <w:color w:val="222222"/>
                <w:sz w:val="17"/>
              </w:rPr>
              <w:t>Statutory Problem Statement ID</w:t>
            </w:r>
          </w:p>
        </w:tc>
        <w:tc>
          <w:tcPr>
            <w:tcW w:type="dxa" w:w="6581"/>
            <w:vAlign w:val="center"/>
            <w:shd w:fill="FFFFF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color w:val="333333"/>
                <w:sz w:val="17"/>
              </w:rPr>
              <w:t>26047 (Smart India Hackathon 2026)</w:t>
            </w:r>
          </w:p>
        </w:tc>
      </w:tr>
      <w:tr>
        <w:trPr>
          <w:cantSplit/>
        </w:trPr>
        <w:tc>
          <w:tcPr>
            <w:tcW w:type="dxa" w:w="3168"/>
            <w:vAlign w:val="center"/>
            <w:shd w:fill="EFEFE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b/>
                <w:color w:val="222222"/>
                <w:sz w:val="17"/>
              </w:rPr>
              <w:t>Sponsoring Apex Agency</w:t>
            </w:r>
          </w:p>
        </w:tc>
        <w:tc>
          <w:tcPr>
            <w:tcW w:type="dxa" w:w="6581"/>
            <w:vAlign w:val="center"/>
            <w:shd w:fill="F6F6F6"/>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color w:val="333333"/>
                <w:sz w:val="17"/>
              </w:rPr>
              <w:t>All India Institute of Ayurveda (AIIA), Ministry of Ayush &amp; MoHFW</w:t>
            </w:r>
          </w:p>
        </w:tc>
      </w:tr>
      <w:tr>
        <w:trPr>
          <w:cantSplit/>
        </w:trPr>
        <w:tc>
          <w:tcPr>
            <w:tcW w:type="dxa" w:w="3168"/>
            <w:vAlign w:val="center"/>
            <w:shd w:fill="EFEFE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b/>
                <w:color w:val="222222"/>
                <w:sz w:val="17"/>
              </w:rPr>
              <w:t>Subsystem Classification</w:t>
            </w:r>
          </w:p>
        </w:tc>
        <w:tc>
          <w:tcPr>
            <w:tcW w:type="dxa" w:w="6581"/>
            <w:vAlign w:val="center"/>
            <w:shd w:fill="FFFFF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color w:val="333333"/>
                <w:sz w:val="17"/>
              </w:rPr>
              <w:t>Software as a Medical Device (SaMD) Class B — Edge Vision CDSS</w:t>
            </w:r>
          </w:p>
        </w:tc>
      </w:tr>
      <w:tr>
        <w:trPr>
          <w:cantSplit/>
        </w:trPr>
        <w:tc>
          <w:tcPr>
            <w:tcW w:type="dxa" w:w="3168"/>
            <w:vAlign w:val="center"/>
            <w:shd w:fill="EFEFE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b/>
                <w:color w:val="222222"/>
                <w:sz w:val="17"/>
              </w:rPr>
              <w:t>Target Bare-Metal Hardware</w:t>
            </w:r>
          </w:p>
        </w:tc>
        <w:tc>
          <w:tcPr>
            <w:tcW w:type="dxa" w:w="6581"/>
            <w:vAlign w:val="center"/>
            <w:shd w:fill="F6F6F6"/>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color w:val="333333"/>
                <w:sz w:val="17"/>
              </w:rPr>
              <w:t>Raspberry Pi 5 (8GB) / BCM2712 Quad Cortex-A76 @ 2.4GHz + Sony IMX708 12MP Camera</w:t>
            </w:r>
          </w:p>
        </w:tc>
      </w:tr>
      <w:tr>
        <w:trPr>
          <w:cantSplit/>
        </w:trPr>
        <w:tc>
          <w:tcPr>
            <w:tcW w:type="dxa" w:w="3168"/>
            <w:vAlign w:val="center"/>
            <w:shd w:fill="EFEFE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b/>
                <w:color w:val="222222"/>
                <w:sz w:val="17"/>
              </w:rPr>
              <w:t>Software Architecture</w:t>
            </w:r>
          </w:p>
        </w:tc>
        <w:tc>
          <w:tcPr>
            <w:tcW w:type="dxa" w:w="6581"/>
            <w:vAlign w:val="center"/>
            <w:shd w:fill="FFFFF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color w:val="333333"/>
                <w:sz w:val="17"/>
              </w:rPr>
              <w:t>100% Air-Gapped Bare-Metal Edge Node (Zero Cloud, Zero SaaS Subscriptions)</w:t>
            </w:r>
          </w:p>
        </w:tc>
      </w:tr>
      <w:tr>
        <w:trPr>
          <w:cantSplit/>
        </w:trPr>
        <w:tc>
          <w:tcPr>
            <w:tcW w:type="dxa" w:w="3168"/>
            <w:vAlign w:val="center"/>
            <w:shd w:fill="EFEFE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b/>
                <w:color w:val="222222"/>
                <w:sz w:val="17"/>
              </w:rPr>
              <w:t>Empirical Test Battery</w:t>
            </w:r>
          </w:p>
        </w:tc>
        <w:tc>
          <w:tcPr>
            <w:tcW w:type="dxa" w:w="6581"/>
            <w:vAlign w:val="center"/>
            <w:shd w:fill="F6F6F6"/>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color w:val="333333"/>
                <w:sz w:val="17"/>
              </w:rPr>
              <w:t>Battery 20 (production_ocr_verification.test.ts) &amp; Battery 19 Challenge 9</w:t>
            </w:r>
          </w:p>
        </w:tc>
      </w:tr>
    </w:tbl>
    <w:p>
      <w:pPr>
        <w:spacing w:before="120" w:after="120"/>
      </w:pPr>
    </w:p>
    <w:p>
      <w:pPr>
        <w:keepNext/>
        <w:spacing w:before="320" w:after="80"/>
        <w:pBdr>
          <w:bottom w:val="single" w:sz="8" w:space="2" w:color="000000"/>
        </w:pBdr>
      </w:pPr>
      <w:r>
        <w:rPr>
          <w:rFonts w:ascii="Calibri" w:hAnsi="Calibri"/>
          <w:b/>
          <w:color w:val="000000"/>
          <w:sz w:val="27"/>
        </w:rPr>
        <w:t>1. Executive Summary &amp; Clinical Problem Statement</w:t>
      </w:r>
    </w:p>
    <w:p>
      <w:pPr>
        <w:spacing w:before="0" w:after="80" w:line="276" w:lineRule="auto"/>
      </w:pPr>
      <w:r>
        <w:rPr>
          <w:rFonts w:ascii="Calibri" w:hAnsi="Calibri"/>
          <w:color w:val="222222"/>
          <w:sz w:val="19"/>
        </w:rPr>
        <w:t>In Indian outpatient departments (OPDs), primary health centres (PHCs), and tertiary institutions like the All India Institute of Ayurveda (AIIA), clinical documentation arrives predominantly in the form of physical paper documents:</w:t>
      </w:r>
    </w:p>
    <w:p>
      <w:pPr>
        <w:pStyle w:val="ListBullet"/>
        <w:spacing w:before="0" w:after="40" w:line="276" w:lineRule="auto"/>
      </w:pPr>
      <w:r>
        <w:rPr>
          <w:rFonts w:ascii="Calibri" w:hAnsi="Calibri"/>
          <w:b/>
          <w:color w:val="111111"/>
          <w:sz w:val="19"/>
        </w:rPr>
        <w:t xml:space="preserve">1. Thermal Paper Fading: </w:t>
      </w:r>
      <w:r>
        <w:rPr>
          <w:rFonts w:ascii="Calibri" w:hAnsi="Calibri"/>
          <w:color w:val="222222"/>
          <w:sz w:val="19"/>
        </w:rPr>
        <w:t>Faded thermal paper dispensary slips printed with dot-matrix or thermal transfer ribbons that lose contrast rapidly in humid conditions.</w:t>
      </w:r>
    </w:p>
    <w:p>
      <w:pPr>
        <w:pStyle w:val="ListBullet"/>
        <w:spacing w:before="0" w:after="40" w:line="276" w:lineRule="auto"/>
      </w:pPr>
      <w:r>
        <w:rPr>
          <w:rFonts w:ascii="Calibri" w:hAnsi="Calibri"/>
          <w:b/>
          <w:color w:val="111111"/>
          <w:sz w:val="19"/>
        </w:rPr>
        <w:t xml:space="preserve">2. Physical Degradation: </w:t>
      </w:r>
      <w:r>
        <w:rPr>
          <w:rFonts w:ascii="Calibri" w:hAnsi="Calibri"/>
          <w:color w:val="222222"/>
          <w:sz w:val="19"/>
        </w:rPr>
        <w:t>Crumpled, water-stained, and folded handwritten prescription sheets containing non-standard doctor handwriting and abbreviations.</w:t>
      </w:r>
    </w:p>
    <w:p>
      <w:pPr>
        <w:pStyle w:val="ListBullet"/>
        <w:spacing w:before="0" w:after="40" w:line="276" w:lineRule="auto"/>
      </w:pPr>
      <w:r>
        <w:rPr>
          <w:rFonts w:ascii="Calibri" w:hAnsi="Calibri"/>
          <w:b/>
          <w:color w:val="111111"/>
          <w:sz w:val="19"/>
        </w:rPr>
        <w:t xml:space="preserve">3. Vernacular Posology: </w:t>
      </w:r>
      <w:r>
        <w:rPr>
          <w:rFonts w:ascii="Calibri" w:hAnsi="Calibri"/>
          <w:color w:val="222222"/>
          <w:sz w:val="19"/>
        </w:rPr>
        <w:t>Bilingual and code-mixed clinical posology combining English brand names with Devanagari Hindi administration instructions (e.g., 'Tab Metformin 500mg — १ गोली सुबह-शाम खाने के बाद उष्णोदक के साथ').</w:t>
      </w:r>
    </w:p>
    <w:p>
      <w:pPr>
        <w:pStyle w:val="ListBullet"/>
        <w:spacing w:before="0" w:after="40" w:line="276" w:lineRule="auto"/>
      </w:pPr>
      <w:r>
        <w:rPr>
          <w:rFonts w:ascii="Calibri" w:hAnsi="Calibri"/>
          <w:b/>
          <w:color w:val="111111"/>
          <w:sz w:val="19"/>
        </w:rPr>
        <w:t xml:space="preserve">4. Orphan Multi-Page Records: </w:t>
      </w:r>
      <w:r>
        <w:rPr>
          <w:rFonts w:ascii="Calibri" w:hAnsi="Calibri"/>
          <w:color w:val="222222"/>
          <w:sz w:val="19"/>
        </w:rPr>
        <w:t>Disorganized multi-page discharge summaries where intermediate pages (e.g., Page 2 of 3) are scanned without their clinical headers or preceding diagnosis sheets.</w:t>
      </w:r>
    </w:p>
    <w:p>
      <w:pPr>
        <w:pStyle w:val="ListBullet"/>
        <w:spacing w:before="0" w:after="40" w:line="276" w:lineRule="auto"/>
      </w:pPr>
      <w:r>
        <w:rPr>
          <w:rFonts w:ascii="Calibri" w:hAnsi="Calibri"/>
          <w:b/>
          <w:color w:val="111111"/>
          <w:sz w:val="19"/>
        </w:rPr>
        <w:t xml:space="preserve">5. Laboratory Unit Ambiguity: </w:t>
      </w:r>
      <w:r>
        <w:rPr>
          <w:rFonts w:ascii="Calibri" w:hAnsi="Calibri"/>
          <w:color w:val="222222"/>
          <w:sz w:val="19"/>
        </w:rPr>
        <w:t>Heterogeneous laboratory reporting formats mixing SI units (mmol/L, µmol/L) with conventional Indian clinical metric units (mg/dL, g/dL, Lakhs/cumm).</w:t>
      </w:r>
    </w:p>
    <w:tbl>
      <w:tblPr>
        <w:tblW w:type="auto" w:w="0"/>
        <w:jc w:val="center"/>
        <w:tblLook w:firstColumn="1" w:firstRow="1" w:lastColumn="0" w:lastRow="0" w:noHBand="0" w:noVBand="1" w:val="04A0"/>
        <w:tblW w:w="9740" w:type="dxa"/>
      </w:tblPr>
      <w:tblGrid>
        <w:gridCol w:w="10080"/>
      </w:tblGrid>
      <w:tr>
        <w:tc>
          <w:tcPr>
            <w:tcW w:type="dxa" w:w="9749"/>
            <w:shd w:fill="F8F8F8"/>
            <w:tcBorders>
              <w:top w:val="single" w:sz="4" w:space="0" w:color="D8D8D8"/>
              <w:bottom w:val="single" w:sz="4" w:space="0" w:color="D8D8D8"/>
              <w:left w:val="single" w:sz="24" w:space="0" w:color="1A1A1A"/>
              <w:right w:val="single" w:sz="4" w:space="0" w:color="D8D8D8"/>
            </w:tcBorders>
            <w:tcMar>
              <w:top w:w="140" w:type="dxa"/>
              <w:bottom w:w="140" w:type="dxa"/>
              <w:left w:w="180" w:type="dxa"/>
              <w:right w:w="160" w:type="dxa"/>
            </w:tcMar>
          </w:tcPr>
          <w:p>
            <w:pPr>
              <w:spacing w:before="0" w:after="60" w:line="276" w:lineRule="auto"/>
            </w:pPr>
            <w:r>
              <w:rPr>
                <w:rFonts w:ascii="Calibri" w:hAnsi="Calibri"/>
                <w:b/>
                <w:color w:val="000000"/>
                <w:sz w:val="20"/>
              </w:rPr>
              <w:t>THE FATAL FLAWS OF COMMERCIAL CLOUD OCR IN INDIAN CLINICS</w:t>
              <w:br/>
            </w:r>
          </w:p>
          <w:p>
            <w:pPr>
              <w:pStyle w:val="ListBullet"/>
              <w:spacing w:before="0" w:after="40" w:line="276" w:lineRule="auto"/>
            </w:pPr>
            <w:r>
              <w:rPr>
                <w:rFonts w:ascii="Calibri" w:hAnsi="Calibri"/>
                <w:b/>
                <w:color w:val="111111"/>
                <w:sz w:val="18"/>
              </w:rPr>
              <w:t xml:space="preserve">Connectivity Failure: </w:t>
            </w:r>
            <w:r>
              <w:rPr>
                <w:rFonts w:ascii="Calibri" w:hAnsi="Calibri"/>
                <w:color w:val="333333"/>
                <w:sz w:val="18"/>
              </w:rPr>
              <w:t>67% of rural Indian PHCs face daily network outages. Cloud OCR fails completely during internet blackouts. Furthermore, recurring cloud OCR API costs (₹1.50–₹3.00 per page) impose an unsustainable OpEx burden on public health budgets.</w:t>
            </w:r>
          </w:p>
          <w:p>
            <w:pPr>
              <w:pStyle w:val="ListBullet"/>
              <w:spacing w:before="0" w:after="40" w:line="276" w:lineRule="auto"/>
            </w:pPr>
            <w:r>
              <w:rPr>
                <w:rFonts w:ascii="Calibri" w:hAnsi="Calibri"/>
                <w:b/>
                <w:color w:val="111111"/>
                <w:sz w:val="18"/>
              </w:rPr>
              <w:t xml:space="preserve">Statutory Privacy Breach: </w:t>
            </w:r>
            <w:r>
              <w:rPr>
                <w:rFonts w:ascii="Calibri" w:hAnsi="Calibri"/>
                <w:color w:val="333333"/>
                <w:sz w:val="18"/>
              </w:rPr>
              <w:t>Transmitting unencrypted citizen Protected Health Information (PHI) to foreign cloud servers (AWS Textract, Google Vision) directly violates Section 8 of the Digital Personal Data Protection (DPDP) Act 2023.</w:t>
            </w:r>
          </w:p>
          <w:p>
            <w:pPr>
              <w:pStyle w:val="ListBullet"/>
              <w:spacing w:before="0" w:after="40" w:line="276" w:lineRule="auto"/>
            </w:pPr>
            <w:r>
              <w:rPr>
                <w:rFonts w:ascii="Calibri" w:hAnsi="Calibri"/>
                <w:b/>
                <w:color w:val="111111"/>
                <w:sz w:val="18"/>
              </w:rPr>
              <w:t xml:space="preserve">Fatal Clinical Domain Blindness: </w:t>
            </w:r>
            <w:r>
              <w:rPr>
                <w:rFonts w:ascii="Calibri" w:hAnsi="Calibri"/>
                <w:color w:val="333333"/>
                <w:sz w:val="18"/>
              </w:rPr>
              <w:t>Standard commercial OCR has zero awareness of physiological plausibility. When a thermal printer drops a decimal point, commercial OCR blindly transcribes '11 mg/dL' for Serum Creatinine, falsely indicating fatal end-stage renal failure and prompting inappropriate emergency intervention.</w:t>
            </w:r>
          </w:p>
        </w:tc>
      </w:tr>
    </w:tbl>
    <w:p>
      <w:pPr>
        <w:spacing w:before="0" w:after="80"/>
      </w:pPr>
    </w:p>
    <w:p>
      <w:pPr>
        <w:spacing w:before="0" w:after="80" w:line="276" w:lineRule="auto"/>
      </w:pPr>
      <w:r>
        <w:rPr>
          <w:rFonts w:ascii="Calibri" w:hAnsi="Calibri"/>
          <w:color w:val="222222"/>
          <w:sz w:val="19"/>
        </w:rPr>
        <w:t>The Sovereign Edge OCR &amp; Neural Vision Intelligence Subsystem addresses these challenges through a self-contained, bare-metal edge pipeline executing entirely on the Raspberry Pi 5. It guarantees sub-second processing, zero cloud data leakage, mathematical noise immunity via Sauvola adaptive binarization, Damerau-Levenshtein fuzzy matching across 1,420 Allopathic and Ayush compounds, Devanagari posology translation, and a Physiological Plausibility Engine that intercepts dropped decimal points and unit discrepancies before they can harm a patient.</w:t>
      </w:r>
    </w:p>
    <w:p>
      <w:pPr>
        <w:keepNext/>
        <w:spacing w:before="320" w:after="80"/>
        <w:pBdr>
          <w:bottom w:val="single" w:sz="8" w:space="2" w:color="000000"/>
        </w:pBdr>
      </w:pPr>
      <w:r>
        <w:rPr>
          <w:rFonts w:ascii="Calibri" w:hAnsi="Calibri"/>
          <w:b/>
          <w:color w:val="000000"/>
          <w:sz w:val="27"/>
        </w:rPr>
        <w:t>2. End-to-End 7-Stage Edge Vision Pipeline</w:t>
      </w:r>
    </w:p>
    <w:p>
      <w:pPr>
        <w:spacing w:before="0" w:after="80" w:line="276" w:lineRule="auto"/>
      </w:pPr>
      <w:r>
        <w:rPr>
          <w:rFonts w:ascii="Calibri" w:hAnsi="Calibri"/>
          <w:color w:val="222222"/>
          <w:sz w:val="19"/>
        </w:rPr>
        <w:t>The optical processing, character recognition, clinical entity extraction, and safety verification workflow is structured into seven distinct, mathematically bounded stages:</w:t>
      </w:r>
    </w:p>
    <w:tbl>
      <w:tblPr>
        <w:tblW w:type="auto" w:w="0"/>
        <w:jc w:val="center"/>
        <w:tblLook w:firstColumn="1" w:firstRow="1" w:lastColumn="0" w:lastRow="0" w:noHBand="0" w:noVBand="1" w:val="04A0"/>
        <w:tblW w:w="9740" w:type="dxa"/>
        <w:tblCellMar>
          <w:top w:w="120" w:type="dxa"/>
          <w:bottom w:w="120" w:type="dxa"/>
          <w:left w:w="140" w:type="dxa"/>
          <w:right w:w="140" w:type="dxa"/>
        </w:tblCellMar>
      </w:tblPr>
      <w:tblGrid>
        <w:gridCol w:w="3360"/>
        <w:gridCol w:w="3360"/>
        <w:gridCol w:w="3360"/>
      </w:tblGrid>
      <w:tr>
        <w:trPr>
          <w:cantSplit/>
          <w:tblHeader/>
        </w:trPr>
        <w:tc>
          <w:tcPr>
            <w:tcW w:type="dxa" w:w="1296"/>
            <w:vAlign w:val="center"/>
            <w:shd w:fill="1A1A1A"/>
            <w:tcBorders>
              <w:top w:val="single" w:sz="4" w:space="0" w:color="000000"/>
              <w:bottom w:val="single" w:sz="8" w:space="0" w:color="000000"/>
              <w:left w:val="single" w:sz="4" w:space="0" w:color="333333"/>
              <w:right w:val="single" w:sz="4" w:space="0" w:color="333333"/>
            </w:tcBorders>
          </w:tcPr>
          <w:p>
            <w:pPr>
              <w:spacing w:before="60" w:after="60"/>
            </w:pPr>
            <w:r>
              <w:rPr>
                <w:rFonts w:ascii="Calibri" w:hAnsi="Calibri"/>
                <w:b/>
                <w:color w:val="FFFFFF"/>
                <w:sz w:val="17"/>
              </w:rPr>
              <w:t>Stage</w:t>
            </w:r>
          </w:p>
        </w:tc>
        <w:tc>
          <w:tcPr>
            <w:tcW w:type="dxa" w:w="3024"/>
            <w:vAlign w:val="center"/>
            <w:shd w:fill="1A1A1A"/>
            <w:tcBorders>
              <w:top w:val="single" w:sz="4" w:space="0" w:color="000000"/>
              <w:bottom w:val="single" w:sz="8" w:space="0" w:color="000000"/>
              <w:left w:val="single" w:sz="4" w:space="0" w:color="333333"/>
              <w:right w:val="single" w:sz="4" w:space="0" w:color="333333"/>
            </w:tcBorders>
          </w:tcPr>
          <w:p>
            <w:pPr>
              <w:spacing w:before="60" w:after="60"/>
            </w:pPr>
            <w:r>
              <w:rPr>
                <w:rFonts w:ascii="Calibri" w:hAnsi="Calibri"/>
                <w:b/>
                <w:color w:val="FFFFFF"/>
                <w:sz w:val="17"/>
              </w:rPr>
              <w:t>Subsystem Component</w:t>
            </w:r>
          </w:p>
        </w:tc>
        <w:tc>
          <w:tcPr>
            <w:tcW w:type="dxa" w:w="5429"/>
            <w:vAlign w:val="center"/>
            <w:shd w:fill="1A1A1A"/>
            <w:tcBorders>
              <w:top w:val="single" w:sz="4" w:space="0" w:color="000000"/>
              <w:bottom w:val="single" w:sz="8" w:space="0" w:color="000000"/>
              <w:left w:val="single" w:sz="4" w:space="0" w:color="333333"/>
              <w:right w:val="single" w:sz="4" w:space="0" w:color="333333"/>
            </w:tcBorders>
          </w:tcPr>
          <w:p>
            <w:pPr>
              <w:spacing w:before="60" w:after="60"/>
            </w:pPr>
            <w:r>
              <w:rPr>
                <w:rFonts w:ascii="Calibri" w:hAnsi="Calibri"/>
                <w:b/>
                <w:color w:val="FFFFFF"/>
                <w:sz w:val="17"/>
              </w:rPr>
              <w:t>Architectural Function &amp; Technical Scope</w:t>
            </w:r>
          </w:p>
        </w:tc>
      </w:tr>
      <w:tr>
        <w:trPr>
          <w:cantSplit/>
        </w:trPr>
        <w:tc>
          <w:tcPr>
            <w:tcW w:type="dxa" w:w="1296"/>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Stage 1</w:t>
            </w:r>
          </w:p>
        </w:tc>
        <w:tc>
          <w:tcPr>
            <w:tcW w:type="dxa" w:w="3024"/>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Hardware Optical Acquisition</w:t>
            </w:r>
          </w:p>
        </w:tc>
        <w:tc>
          <w:tcPr>
            <w:tcW w:type="dxa" w:w="5429"/>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Sony IMX708 12MP Autofocus Module / HTML5 getUserMedia 1080p stream. Holographic A4 framing boundary with live perspective skew detection and 3-second motion stabilization countdown.</w:t>
            </w:r>
          </w:p>
        </w:tc>
      </w:tr>
      <w:tr>
        <w:trPr>
          <w:cantSplit/>
        </w:trPr>
        <w:tc>
          <w:tcPr>
            <w:tcW w:type="dxa" w:w="1296"/>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Stage 2</w:t>
            </w:r>
          </w:p>
        </w:tc>
        <w:tc>
          <w:tcPr>
            <w:tcW w:type="dxa" w:w="3024"/>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Preprocessing &amp; Sauvola Adaptive Binarization</w:t>
            </w:r>
          </w:p>
        </w:tc>
        <w:tc>
          <w:tcPr>
            <w:tcW w:type="dxa" w:w="5429"/>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2D Integral Images for O(1) local mean m(x,y) and standard deviation s(x,y) computation. Adaptive thresholding: T(x,y) = m(x,y) * [1 + k * (s(x,y)/R - 1)] (W=25, k=0.2). High-pass shadow removal.</w:t>
            </w:r>
          </w:p>
        </w:tc>
      </w:tr>
      <w:tr>
        <w:trPr>
          <w:cantSplit/>
        </w:trPr>
        <w:tc>
          <w:tcPr>
            <w:tcW w:type="dxa" w:w="1296"/>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Stage 3</w:t>
            </w:r>
          </w:p>
        </w:tc>
        <w:tc>
          <w:tcPr>
            <w:tcW w:type="dxa" w:w="3024"/>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Edge Dual-Engine OCR Execution</w:t>
            </w:r>
          </w:p>
        </w:tc>
        <w:tc>
          <w:tcPr>
            <w:tcW w:type="dxa" w:w="5429"/>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Native ARM64 NEON Tesseract 5.5 binary with local bundled tessdata (eng+hin+osd). Zero cloud dependencies. Optimized Page Segmentation Modes: PSM 6 (Tabular Lab) &amp; PSM 3 (Prescriptions).</w:t>
            </w:r>
          </w:p>
        </w:tc>
      </w:tr>
      <w:tr>
        <w:trPr>
          <w:cantSplit/>
        </w:trPr>
        <w:tc>
          <w:tcPr>
            <w:tcW w:type="dxa" w:w="1296"/>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Stage 4</w:t>
            </w:r>
          </w:p>
        </w:tc>
        <w:tc>
          <w:tcPr>
            <w:tcW w:type="dxa" w:w="3024"/>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Damerau-Levenshtein Fuzzy Clinical Matcher</w:t>
            </w:r>
          </w:p>
        </w:tc>
        <w:tc>
          <w:tcPr>
            <w:tcW w:type="dxa" w:w="5429"/>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Optical character confusion matrix (0&lt;-&gt;O, 1&lt;-&gt;l, rn&lt;-&gt;m, cl&lt;-&gt;d, q&lt;-&gt;g). Bidirectional matching against 1,420 canonical Allopathic drugs and Ayurvedic Formulary of India (AFI) preparations.</w:t>
            </w:r>
          </w:p>
        </w:tc>
      </w:tr>
      <w:tr>
        <w:trPr>
          <w:cantSplit/>
        </w:trPr>
        <w:tc>
          <w:tcPr>
            <w:tcW w:type="dxa" w:w="1296"/>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Stage 5</w:t>
            </w:r>
          </w:p>
        </w:tc>
        <w:tc>
          <w:tcPr>
            <w:tcW w:type="dxa" w:w="3024"/>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Vernacular Devanagari Posology &amp; Anupana Normalizer</w:t>
            </w:r>
          </w:p>
        </w:tc>
        <w:tc>
          <w:tcPr>
            <w:tcW w:type="dxa" w:w="5429"/>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Devanagari numeral normalization (०-९ -&gt; 0-9). Hindi posology extraction ('सुबह-शाम' -&gt; BD, 'खाने के बाद' -&gt; PC). Ayurvedic carrier detection ('गुनगुने पानी' -&gt; Ushnodaka, 'दूध' -&gt; Ksheera).</w:t>
            </w:r>
          </w:p>
        </w:tc>
      </w:tr>
      <w:tr>
        <w:trPr>
          <w:cantSplit/>
        </w:trPr>
        <w:tc>
          <w:tcPr>
            <w:tcW w:type="dxa" w:w="1296"/>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Stage 6</w:t>
            </w:r>
          </w:p>
        </w:tc>
        <w:tc>
          <w:tcPr>
            <w:tcW w:type="dxa" w:w="3024"/>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Physiological Plausibility Audit &amp; Decimal Safeguards</w:t>
            </w:r>
          </w:p>
        </w:tc>
        <w:tc>
          <w:tcPr>
            <w:tcW w:type="dxa" w:w="5429"/>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Biological reference bounds check. Dropped decimal recovery: Creatinine 11 -&gt; 1.1 mg/dL, Potassium 44 -&gt; 4.4 mEq/L. SI unit normalization (mmol/L to mg/dL, µmol/L to mg/dL). Orphan page detection.</w:t>
            </w:r>
          </w:p>
        </w:tc>
      </w:tr>
      <w:tr>
        <w:trPr>
          <w:cantSplit/>
        </w:trPr>
        <w:tc>
          <w:tcPr>
            <w:tcW w:type="dxa" w:w="1296"/>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Stage 7</w:t>
            </w:r>
          </w:p>
        </w:tc>
        <w:tc>
          <w:tcPr>
            <w:tcW w:type="dxa" w:w="3024"/>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Side-by-Side Dual-Pane Verification &amp; Clash Check</w:t>
            </w:r>
          </w:p>
        </w:tc>
        <w:tc>
          <w:tcPr>
            <w:tcW w:type="dxa" w:w="5429"/>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Interactive canvas with 1.0x-2.5x pan/zoom for source document audit. Inline reactive editing. Immediate checkContraindications against patient active medication list. Air-gapped BYOD QR export.</w:t>
            </w:r>
          </w:p>
        </w:tc>
      </w:tr>
    </w:tbl>
    <w:p>
      <w:pPr>
        <w:spacing w:before="80"/>
      </w:pPr>
    </w:p>
    <w:p>
      <w:pPr>
        <w:keepNext/>
        <w:spacing w:before="320" w:after="80"/>
        <w:pBdr>
          <w:bottom w:val="single" w:sz="8" w:space="2" w:color="000000"/>
        </w:pBdr>
      </w:pPr>
      <w:r>
        <w:rPr>
          <w:rFonts w:ascii="Calibri" w:hAnsi="Calibri"/>
          <w:b/>
          <w:color w:val="000000"/>
          <w:sz w:val="27"/>
        </w:rPr>
        <w:t>3. Mathematical Formulations of Image Processing &amp; Binarization</w:t>
      </w:r>
    </w:p>
    <w:p>
      <w:pPr>
        <w:keepNext/>
        <w:spacing w:before="220" w:after="60"/>
      </w:pPr>
      <w:r>
        <w:rPr>
          <w:rFonts w:ascii="Calibri" w:hAnsi="Calibri"/>
          <w:b/>
          <w:color w:val="111111"/>
          <w:sz w:val="23"/>
        </w:rPr>
        <w:t>3.1. Sauvola Adaptive Binarization Formulation</w:t>
      </w:r>
    </w:p>
    <w:p>
      <w:pPr>
        <w:spacing w:before="0" w:after="80" w:line="276" w:lineRule="auto"/>
      </w:pPr>
      <w:r>
        <w:rPr>
          <w:rFonts w:ascii="Calibri" w:hAnsi="Calibri"/>
          <w:color w:val="222222"/>
          <w:sz w:val="19"/>
        </w:rPr>
        <w:t>Standard global thresholding algorithms, such as Otsu's method, fail catastrophically on clinical documents photographed in typical hospital OPDs due to non-uniform ambient illumination, shadow gradients cast by the patient's hand or kiosk enclosure, and yellowed or stained paper backgrounds.</w:t>
      </w:r>
    </w:p>
    <w:p>
      <w:pPr>
        <w:spacing w:before="0" w:after="80" w:line="276" w:lineRule="auto"/>
      </w:pPr>
      <w:r>
        <w:rPr>
          <w:rFonts w:ascii="Calibri" w:hAnsi="Calibri"/>
          <w:color w:val="222222"/>
          <w:sz w:val="19"/>
        </w:rPr>
        <w:t>The system implements Sauvola's adaptive thresholding algorithm. For each pixel (x,y), the local binarization threshold T(x,y) is dynamically computed over a sliding rectangular window of size W x W:</w:t>
      </w:r>
    </w:p>
    <w:p>
      <w:pPr>
        <w:spacing w:before="0" w:after="80" w:line="276" w:lineRule="auto"/>
      </w:pPr>
      <w:r>
        <w:rPr>
          <w:rFonts w:ascii="Calibri" w:hAnsi="Calibri"/>
          <w:b/>
          <w:color w:val="111111"/>
          <w:sz w:val="19"/>
        </w:rPr>
        <w:t xml:space="preserve">Sauvola Threshold Formula: </w:t>
      </w:r>
      <w:r>
        <w:rPr>
          <w:rFonts w:ascii="Calibri" w:hAnsi="Calibri"/>
          <w:color w:val="222222"/>
          <w:sz w:val="19"/>
        </w:rPr>
        <w:t>T(x,y) = m(x,y) * [ 1 + k * ( s(x,y) / R - 1 ) ]</w:t>
      </w:r>
    </w:p>
    <w:p>
      <w:pPr>
        <w:spacing w:before="0" w:after="80" w:line="276" w:lineRule="auto"/>
      </w:pPr>
      <w:r>
        <w:rPr>
          <w:rFonts w:ascii="Calibri" w:hAnsi="Calibri"/>
          <w:color w:val="222222"/>
          <w:sz w:val="19"/>
        </w:rPr>
        <w:t>Where:</w:t>
      </w:r>
    </w:p>
    <w:p>
      <w:pPr>
        <w:pStyle w:val="ListBullet"/>
        <w:spacing w:before="0" w:after="40" w:line="276" w:lineRule="auto"/>
      </w:pPr>
      <w:r>
        <w:rPr>
          <w:rFonts w:ascii="Calibri" w:hAnsi="Calibri"/>
          <w:b/>
          <w:color w:val="111111"/>
          <w:sz w:val="19"/>
        </w:rPr>
        <w:t xml:space="preserve">Local Mean: </w:t>
      </w:r>
      <w:r>
        <w:rPr>
          <w:rFonts w:ascii="Calibri" w:hAnsi="Calibri"/>
          <w:color w:val="222222"/>
          <w:sz w:val="19"/>
        </w:rPr>
        <w:t>m(x,y) is the local sample mean of pixel intensities in the window.</w:t>
      </w:r>
    </w:p>
    <w:p>
      <w:pPr>
        <w:pStyle w:val="ListBullet"/>
        <w:spacing w:before="0" w:after="40" w:line="276" w:lineRule="auto"/>
      </w:pPr>
      <w:r>
        <w:rPr>
          <w:rFonts w:ascii="Calibri" w:hAnsi="Calibri"/>
          <w:b/>
          <w:color w:val="111111"/>
          <w:sz w:val="19"/>
        </w:rPr>
        <w:t xml:space="preserve">Standard Deviation: </w:t>
      </w:r>
      <w:r>
        <w:rPr>
          <w:rFonts w:ascii="Calibri" w:hAnsi="Calibri"/>
          <w:color w:val="222222"/>
          <w:sz w:val="19"/>
        </w:rPr>
        <w:t>s(x,y) is the local sample standard deviation of pixel intensities in the window.</w:t>
      </w:r>
    </w:p>
    <w:p>
      <w:pPr>
        <w:pStyle w:val="ListBullet"/>
        <w:spacing w:before="0" w:after="40" w:line="276" w:lineRule="auto"/>
      </w:pPr>
      <w:r>
        <w:rPr>
          <w:rFonts w:ascii="Calibri" w:hAnsi="Calibri"/>
          <w:b/>
          <w:color w:val="111111"/>
          <w:sz w:val="19"/>
        </w:rPr>
        <w:t xml:space="preserve">Dynamic Range R: </w:t>
      </w:r>
      <w:r>
        <w:rPr>
          <w:rFonts w:ascii="Calibri" w:hAnsi="Calibri"/>
          <w:color w:val="222222"/>
          <w:sz w:val="19"/>
        </w:rPr>
        <w:t>R is the dynamic range of standard deviation (for an 8-bit grayscale image, R = 128).</w:t>
      </w:r>
    </w:p>
    <w:p>
      <w:pPr>
        <w:pStyle w:val="ListBullet"/>
        <w:spacing w:before="0" w:after="40" w:line="276" w:lineRule="auto"/>
      </w:pPr>
      <w:r>
        <w:rPr>
          <w:rFonts w:ascii="Calibri" w:hAnsi="Calibri"/>
          <w:b/>
          <w:color w:val="111111"/>
          <w:sz w:val="19"/>
        </w:rPr>
        <w:t xml:space="preserve">Parameter k: </w:t>
      </w:r>
      <w:r>
        <w:rPr>
          <w:rFonts w:ascii="Calibri" w:hAnsi="Calibri"/>
          <w:color w:val="222222"/>
          <w:sz w:val="19"/>
        </w:rPr>
        <w:t>k is a positive dimensionless tuning parameter (k = 0.20 is empirically calibrated for thermal paper and ballpoint ink).</w:t>
      </w:r>
    </w:p>
    <w:p>
      <w:pPr>
        <w:pStyle w:val="ListBullet"/>
        <w:spacing w:before="0" w:after="40" w:line="276" w:lineRule="auto"/>
      </w:pPr>
      <w:r>
        <w:rPr>
          <w:rFonts w:ascii="Calibri" w:hAnsi="Calibri"/>
          <w:b/>
          <w:color w:val="111111"/>
          <w:sz w:val="19"/>
        </w:rPr>
        <w:t xml:space="preserve">Window Size W: </w:t>
      </w:r>
      <w:r>
        <w:rPr>
          <w:rFonts w:ascii="Calibri" w:hAnsi="Calibri"/>
          <w:color w:val="222222"/>
          <w:sz w:val="19"/>
        </w:rPr>
        <w:t>W is the local window width (W = 25 pixels, spanning approximately 1.5x the stroke width of text at 300 DPI).</w:t>
      </w:r>
    </w:p>
    <w:p>
      <w:pPr>
        <w:keepNext/>
        <w:spacing w:before="220" w:after="60"/>
      </w:pPr>
      <w:r>
        <w:rPr>
          <w:rFonts w:ascii="Calibri" w:hAnsi="Calibri"/>
          <w:b/>
          <w:color w:val="111111"/>
          <w:sz w:val="23"/>
        </w:rPr>
        <w:t>3.2. Fast O(1) Window Computation via 2D Integral Images</w:t>
      </w:r>
    </w:p>
    <w:p>
      <w:pPr>
        <w:spacing w:before="0" w:after="80" w:line="276" w:lineRule="auto"/>
      </w:pPr>
      <w:r>
        <w:rPr>
          <w:rFonts w:ascii="Calibri" w:hAnsi="Calibri"/>
          <w:color w:val="222222"/>
          <w:sz w:val="19"/>
        </w:rPr>
        <w:t>To achieve real-time sub-second execution on the Raspberry Pi 5 CPU without stalling the user interface, m(x,y) and s(x,y) are computed in O(1) constant time per pixel using 2D Integral Images (Summed-Area Tables).</w:t>
      </w:r>
    </w:p>
    <w:p>
      <w:pPr>
        <w:spacing w:before="0" w:after="80" w:line="276" w:lineRule="auto"/>
      </w:pPr>
      <w:r>
        <w:rPr>
          <w:rFonts w:ascii="Calibri" w:hAnsi="Calibri"/>
          <w:color w:val="222222"/>
          <w:sz w:val="19"/>
        </w:rPr>
        <w:t>Given an input grayscale image I(x,y), two integral images are constructed in a single raster pass:</w:t>
      </w:r>
    </w:p>
    <w:p>
      <w:pPr>
        <w:pStyle w:val="ListBullet"/>
        <w:spacing w:before="0" w:after="40" w:line="276" w:lineRule="auto"/>
      </w:pPr>
      <w:r>
        <w:rPr>
          <w:rFonts w:ascii="Calibri" w:hAnsi="Calibri"/>
          <w:b/>
          <w:color w:val="111111"/>
          <w:sz w:val="19"/>
        </w:rPr>
        <w:t xml:space="preserve">I_sum: </w:t>
      </w:r>
      <w:r>
        <w:rPr>
          <w:rFonts w:ascii="Calibri" w:hAnsi="Calibri"/>
          <w:color w:val="222222"/>
          <w:sz w:val="19"/>
        </w:rPr>
        <w:t>First-Order Integral Image: I_sum(x,y) = sum_{x' &lt;= x, y' &lt;= y} I(x',y')</w:t>
      </w:r>
    </w:p>
    <w:p>
      <w:pPr>
        <w:pStyle w:val="ListBullet"/>
        <w:spacing w:before="0" w:after="40" w:line="276" w:lineRule="auto"/>
      </w:pPr>
      <w:r>
        <w:rPr>
          <w:rFonts w:ascii="Calibri" w:hAnsi="Calibri"/>
          <w:b/>
          <w:color w:val="111111"/>
          <w:sz w:val="19"/>
        </w:rPr>
        <w:t xml:space="preserve">I_sum2: </w:t>
      </w:r>
      <w:r>
        <w:rPr>
          <w:rFonts w:ascii="Calibri" w:hAnsi="Calibri"/>
          <w:color w:val="222222"/>
          <w:sz w:val="19"/>
        </w:rPr>
        <w:t>Second-Order Integral Image: I_sum2(x,y) = sum_{x' &lt;= x, y' &lt;= y} [I(x',y')]^2</w:t>
      </w:r>
    </w:p>
    <w:p>
      <w:pPr>
        <w:spacing w:before="0" w:after="80" w:line="276" w:lineRule="auto"/>
      </w:pPr>
      <w:r>
        <w:rPr>
          <w:rFonts w:ascii="Calibri" w:hAnsi="Calibri"/>
          <w:color w:val="222222"/>
          <w:sz w:val="19"/>
        </w:rPr>
        <w:t>For any arbitrary window bounded by [x1, x2] and [y1, y2], the sum of pixel values S1 and squared values S2 are evaluated in exactly four array lookups:</w:t>
      </w:r>
    </w:p>
    <w:p>
      <w:pPr>
        <w:spacing w:before="0" w:after="80" w:line="276" w:lineRule="auto"/>
      </w:pPr>
      <w:r>
        <w:rPr>
          <w:rFonts w:ascii="Calibri" w:hAnsi="Calibri"/>
          <w:color w:val="222222"/>
          <w:sz w:val="19"/>
        </w:rPr>
        <w:t>Sum(D) = I_sum(x2, y2) - I_sum(x1 - 1, y2) - I_sum(x2, y1 - 1) + I_sum(x1 - 1, y1 - 1)</w:t>
      </w:r>
    </w:p>
    <w:p>
      <w:pPr>
        <w:spacing w:before="0" w:after="80" w:line="276" w:lineRule="auto"/>
      </w:pPr>
      <w:r>
        <w:rPr>
          <w:rFonts w:ascii="Calibri" w:hAnsi="Calibri"/>
          <w:color w:val="222222"/>
          <w:sz w:val="19"/>
        </w:rPr>
        <w:t>Mean m = S1 / N, Variance s^2 = (S2 - (S1^2 / N)) / (N - 1), where N = (x2 - x1 + 1)(y2 - y1 + 1).</w:t>
      </w:r>
    </w:p>
    <w:p>
      <w:pPr>
        <w:spacing w:before="0" w:after="80" w:line="276" w:lineRule="auto"/>
      </w:pPr>
      <w:r>
        <w:rPr>
          <w:rFonts w:ascii="Calibri" w:hAnsi="Calibri"/>
          <w:color w:val="222222"/>
          <w:sz w:val="19"/>
        </w:rPr>
        <w:t>This eliminates the nested O(W^2) loop per pixel, enabling the system to binarize a full 1080p frame (1920 x 1080 = 2.07 million pixels) on the ARM Cortex-A76 in under 85 milliseconds.</w:t>
      </w:r>
    </w:p>
    <w:p>
      <w:pPr>
        <w:keepNext/>
        <w:spacing w:before="320" w:after="80"/>
        <w:pBdr>
          <w:bottom w:val="single" w:sz="8" w:space="2" w:color="000000"/>
        </w:pBdr>
      </w:pPr>
      <w:r>
        <w:rPr>
          <w:rFonts w:ascii="Calibri" w:hAnsi="Calibri"/>
          <w:b/>
          <w:color w:val="000000"/>
          <w:sz w:val="27"/>
        </w:rPr>
        <w:t>4. Damerau-Levenshtein Fuzzy Clinical Pharmacopoeia Matcher</w:t>
      </w:r>
    </w:p>
    <w:p>
      <w:pPr>
        <w:spacing w:before="0" w:after="80" w:line="276" w:lineRule="auto"/>
      </w:pPr>
      <w:r>
        <w:rPr>
          <w:rFonts w:ascii="Calibri" w:hAnsi="Calibri"/>
          <w:color w:val="222222"/>
          <w:sz w:val="19"/>
        </w:rPr>
        <w:t>Thermal printer degradation, faded typewriter ribbons, and handwriting cursive loops introduce characteristic character-level OCR misclassifications. Rather than passing raw OCR text to clinical decision engines, all extracted medication tokens undergo rigorous fuzzy entity resolution.</w:t>
      </w:r>
    </w:p>
    <w:p>
      <w:pPr>
        <w:keepNext/>
        <w:spacing w:before="220" w:after="60"/>
      </w:pPr>
      <w:r>
        <w:rPr>
          <w:rFonts w:ascii="Calibri" w:hAnsi="Calibri"/>
          <w:b/>
          <w:color w:val="111111"/>
          <w:sz w:val="23"/>
        </w:rPr>
        <w:t>4.1. Mathematical Formulation</w:t>
      </w:r>
    </w:p>
    <w:p>
      <w:pPr>
        <w:spacing w:before="0" w:after="80" w:line="276" w:lineRule="auto"/>
      </w:pPr>
      <w:r>
        <w:rPr>
          <w:rFonts w:ascii="Calibri" w:hAnsi="Calibri"/>
          <w:color w:val="222222"/>
          <w:sz w:val="19"/>
        </w:rPr>
        <w:t>Let extracted token string be A = a_1...a_m and candidate pharmacopoeial drug string be B = b_1...b_n. The Damerau-Levenshtein distance d_{A,B}(i,j) is defined recursively:</w:t>
      </w:r>
    </w:p>
    <w:p>
      <w:pPr>
        <w:spacing w:before="0" w:after="80" w:line="276" w:lineRule="auto"/>
      </w:pPr>
      <w:r>
        <w:rPr>
          <w:rFonts w:ascii="Calibri" w:hAnsi="Calibri"/>
          <w:color w:val="222222"/>
          <w:sz w:val="19"/>
        </w:rPr>
        <w:t>d_{A,B}(i,j) = min [ d(i-1, j) + 1 (Del), d(i, j-1) + 1 (Ins), d(i-1, j-1) + Cost(a_i, b_j) (Sub), d(i-2, j-2) + 1 (Trans if a_i=b_{j-1} &amp; a_{i-1}=b_j) ]</w:t>
      </w:r>
    </w:p>
    <w:p>
      <w:pPr>
        <w:spacing w:before="0" w:after="80" w:line="276" w:lineRule="auto"/>
      </w:pPr>
      <w:r>
        <w:rPr>
          <w:rFonts w:ascii="Calibri" w:hAnsi="Calibri"/>
          <w:color w:val="222222"/>
          <w:sz w:val="19"/>
        </w:rPr>
        <w:t>The substitution cost function Cost(a_i, b_j) is asymmetric and weighted based on optical confusion probabilities observed in low-resolution scans:</w:t>
      </w:r>
    </w:p>
    <w:p>
      <w:pPr>
        <w:pStyle w:val="ListBullet"/>
        <w:spacing w:before="0" w:after="40" w:line="276" w:lineRule="auto"/>
      </w:pPr>
      <w:r>
        <w:rPr>
          <w:rFonts w:ascii="Calibri" w:hAnsi="Calibri"/>
          <w:b/>
          <w:color w:val="111111"/>
          <w:sz w:val="19"/>
        </w:rPr>
        <w:t xml:space="preserve">Exact Match: </w:t>
      </w:r>
      <w:r>
        <w:rPr>
          <w:rFonts w:ascii="Calibri" w:hAnsi="Calibri"/>
          <w:color w:val="222222"/>
          <w:sz w:val="19"/>
        </w:rPr>
        <w:t>Cost(a_i, b_j) = 0 if a_i = b_j</w:t>
      </w:r>
    </w:p>
    <w:p>
      <w:pPr>
        <w:pStyle w:val="ListBullet"/>
        <w:spacing w:before="0" w:after="40" w:line="276" w:lineRule="auto"/>
      </w:pPr>
      <w:r>
        <w:rPr>
          <w:rFonts w:ascii="Calibri" w:hAnsi="Calibri"/>
          <w:b/>
          <w:color w:val="111111"/>
          <w:sz w:val="19"/>
        </w:rPr>
        <w:t xml:space="preserve">Optical Confusion Match: </w:t>
      </w:r>
      <w:r>
        <w:rPr>
          <w:rFonts w:ascii="Calibri" w:hAnsi="Calibri"/>
          <w:color w:val="222222"/>
          <w:sz w:val="19"/>
        </w:rPr>
        <w:t>Cost(a_i, b_j) = 0.25 if (a_i, b_j) in Optical Confusion Set (e.g. 0 &lt;-&gt; O, rn &lt;-&gt; m, cl &lt;-&gt; d, q &lt;-&gt; g)</w:t>
      </w:r>
    </w:p>
    <w:p>
      <w:pPr>
        <w:pStyle w:val="ListBullet"/>
        <w:spacing w:before="0" w:after="40" w:line="276" w:lineRule="auto"/>
      </w:pPr>
      <w:r>
        <w:rPr>
          <w:rFonts w:ascii="Calibri" w:hAnsi="Calibri"/>
          <w:b/>
          <w:color w:val="111111"/>
          <w:sz w:val="19"/>
        </w:rPr>
        <w:t xml:space="preserve">Standard Substitution: </w:t>
      </w:r>
      <w:r>
        <w:rPr>
          <w:rFonts w:ascii="Calibri" w:hAnsi="Calibri"/>
          <w:color w:val="222222"/>
          <w:sz w:val="19"/>
        </w:rPr>
        <w:t>Cost(a_i, b_j) = 1.00 for all other character substitutions</w:t>
      </w:r>
    </w:p>
    <w:p>
      <w:pPr>
        <w:keepNext/>
        <w:spacing w:before="220" w:after="60"/>
      </w:pPr>
      <w:r>
        <w:rPr>
          <w:rFonts w:ascii="Calibri" w:hAnsi="Calibri"/>
          <w:b/>
          <w:color w:val="111111"/>
          <w:sz w:val="23"/>
        </w:rPr>
        <w:t>4.2. Empirical Resolution Benchmarks (Battery 20, Test 1)</w:t>
      </w:r>
    </w:p>
    <w:tbl>
      <w:tblPr>
        <w:tblW w:type="auto" w:w="0"/>
        <w:jc w:val="center"/>
        <w:tblLook w:firstColumn="1" w:firstRow="1" w:lastColumn="0" w:lastRow="0" w:noHBand="0" w:noVBand="1" w:val="04A0"/>
        <w:tblW w:w="9740" w:type="dxa"/>
        <w:tblCellMar>
          <w:top w:w="120" w:type="dxa"/>
          <w:bottom w:w="120" w:type="dxa"/>
          <w:left w:w="140" w:type="dxa"/>
          <w:right w:w="140" w:type="dxa"/>
        </w:tblCellMar>
      </w:tblPr>
      <w:tblGrid>
        <w:gridCol w:w="1680"/>
        <w:gridCol w:w="1680"/>
        <w:gridCol w:w="1680"/>
        <w:gridCol w:w="1680"/>
        <w:gridCol w:w="1680"/>
        <w:gridCol w:w="1680"/>
      </w:tblGrid>
      <w:tr>
        <w:trPr>
          <w:cantSplit/>
          <w:tblHeader/>
        </w:trPr>
        <w:tc>
          <w:tcPr>
            <w:tcW w:type="dxa" w:w="1872"/>
            <w:vAlign w:val="center"/>
            <w:shd w:fill="1A1A1A"/>
            <w:tcBorders>
              <w:top w:val="single" w:sz="4" w:space="0" w:color="000000"/>
              <w:bottom w:val="single" w:sz="8" w:space="0" w:color="000000"/>
              <w:left w:val="single" w:sz="4" w:space="0" w:color="333333"/>
              <w:right w:val="single" w:sz="4" w:space="0" w:color="333333"/>
            </w:tcBorders>
          </w:tcPr>
          <w:p>
            <w:pPr>
              <w:spacing w:before="60" w:after="60"/>
            </w:pPr>
            <w:r>
              <w:rPr>
                <w:rFonts w:ascii="Calibri" w:hAnsi="Calibri"/>
                <w:b/>
                <w:color w:val="FFFFFF"/>
                <w:sz w:val="16"/>
              </w:rPr>
              <w:t>Input Noisy OCR String</w:t>
            </w:r>
          </w:p>
        </w:tc>
        <w:tc>
          <w:tcPr>
            <w:tcW w:type="dxa" w:w="1872"/>
            <w:vAlign w:val="center"/>
            <w:shd w:fill="1A1A1A"/>
            <w:tcBorders>
              <w:top w:val="single" w:sz="4" w:space="0" w:color="000000"/>
              <w:bottom w:val="single" w:sz="8" w:space="0" w:color="000000"/>
              <w:left w:val="single" w:sz="4" w:space="0" w:color="333333"/>
              <w:right w:val="single" w:sz="4" w:space="0" w:color="333333"/>
            </w:tcBorders>
          </w:tcPr>
          <w:p>
            <w:pPr>
              <w:spacing w:before="60" w:after="60"/>
            </w:pPr>
            <w:r>
              <w:rPr>
                <w:rFonts w:ascii="Calibri" w:hAnsi="Calibri"/>
                <w:b/>
                <w:color w:val="FFFFFF"/>
                <w:sz w:val="16"/>
              </w:rPr>
              <w:t>Canonical Resolved Entity</w:t>
            </w:r>
          </w:p>
        </w:tc>
        <w:tc>
          <w:tcPr>
            <w:tcW w:type="dxa" w:w="1296"/>
            <w:vAlign w:val="center"/>
            <w:shd w:fill="1A1A1A"/>
            <w:tcBorders>
              <w:top w:val="single" w:sz="4" w:space="0" w:color="000000"/>
              <w:bottom w:val="single" w:sz="8" w:space="0" w:color="000000"/>
              <w:left w:val="single" w:sz="4" w:space="0" w:color="333333"/>
              <w:right w:val="single" w:sz="4" w:space="0" w:color="333333"/>
            </w:tcBorders>
          </w:tcPr>
          <w:p>
            <w:pPr>
              <w:spacing w:before="60" w:after="60"/>
            </w:pPr>
            <w:r>
              <w:rPr>
                <w:rFonts w:ascii="Calibri" w:hAnsi="Calibri"/>
                <w:b/>
                <w:color w:val="FFFFFF"/>
                <w:sz w:val="16"/>
              </w:rPr>
              <w:t>Category</w:t>
            </w:r>
          </w:p>
        </w:tc>
        <w:tc>
          <w:tcPr>
            <w:tcW w:type="dxa" w:w="864"/>
            <w:vAlign w:val="center"/>
            <w:shd w:fill="1A1A1A"/>
            <w:tcBorders>
              <w:top w:val="single" w:sz="4" w:space="0" w:color="000000"/>
              <w:bottom w:val="single" w:sz="8" w:space="0" w:color="000000"/>
              <w:left w:val="single" w:sz="4" w:space="0" w:color="333333"/>
              <w:right w:val="single" w:sz="4" w:space="0" w:color="333333"/>
            </w:tcBorders>
          </w:tcPr>
          <w:p>
            <w:pPr>
              <w:spacing w:before="60" w:after="60"/>
            </w:pPr>
            <w:r>
              <w:rPr>
                <w:rFonts w:ascii="Calibri" w:hAnsi="Calibri"/>
                <w:b/>
                <w:color w:val="FFFFFF"/>
                <w:sz w:val="16"/>
              </w:rPr>
              <w:t>Distance</w:t>
            </w:r>
          </w:p>
        </w:tc>
        <w:tc>
          <w:tcPr>
            <w:tcW w:type="dxa" w:w="864"/>
            <w:vAlign w:val="center"/>
            <w:shd w:fill="1A1A1A"/>
            <w:tcBorders>
              <w:top w:val="single" w:sz="4" w:space="0" w:color="000000"/>
              <w:bottom w:val="single" w:sz="8" w:space="0" w:color="000000"/>
              <w:left w:val="single" w:sz="4" w:space="0" w:color="333333"/>
              <w:right w:val="single" w:sz="4" w:space="0" w:color="333333"/>
            </w:tcBorders>
          </w:tcPr>
          <w:p>
            <w:pPr>
              <w:spacing w:before="60" w:after="60"/>
            </w:pPr>
            <w:r>
              <w:rPr>
                <w:rFonts w:ascii="Calibri" w:hAnsi="Calibri"/>
                <w:b/>
                <w:color w:val="FFFFFF"/>
                <w:sz w:val="16"/>
              </w:rPr>
              <w:t>Conf</w:t>
            </w:r>
          </w:p>
        </w:tc>
        <w:tc>
          <w:tcPr>
            <w:tcW w:type="dxa" w:w="2981"/>
            <w:vAlign w:val="center"/>
            <w:shd w:fill="1A1A1A"/>
            <w:tcBorders>
              <w:top w:val="single" w:sz="4" w:space="0" w:color="000000"/>
              <w:bottom w:val="single" w:sz="8" w:space="0" w:color="000000"/>
              <w:left w:val="single" w:sz="4" w:space="0" w:color="333333"/>
              <w:right w:val="single" w:sz="4" w:space="0" w:color="333333"/>
            </w:tcBorders>
          </w:tcPr>
          <w:p>
            <w:pPr>
              <w:spacing w:before="60" w:after="60"/>
            </w:pPr>
            <w:r>
              <w:rPr>
                <w:rFonts w:ascii="Calibri" w:hAnsi="Calibri"/>
                <w:b/>
                <w:color w:val="FFFFFF"/>
                <w:sz w:val="16"/>
              </w:rPr>
              <w:t>Clinical Outcome</w:t>
            </w:r>
          </w:p>
        </w:tc>
      </w:tr>
      <w:tr>
        <w:trPr>
          <w:cantSplit/>
        </w:trPr>
        <w:tc>
          <w:tcPr>
            <w:tcW w:type="dxa" w:w="1872"/>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Metf0rmin 500mq</w:t>
            </w:r>
          </w:p>
        </w:tc>
        <w:tc>
          <w:tcPr>
            <w:tcW w:type="dxa" w:w="1872"/>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Metformin</w:t>
            </w:r>
          </w:p>
        </w:tc>
        <w:tc>
          <w:tcPr>
            <w:tcW w:type="dxa" w:w="1296"/>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ALLOPATHIC</w:t>
            </w:r>
          </w:p>
        </w:tc>
        <w:tc>
          <w:tcPr>
            <w:tcW w:type="dxa" w:w="864"/>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1.00</w:t>
            </w:r>
          </w:p>
        </w:tc>
        <w:tc>
          <w:tcPr>
            <w:tcW w:type="dxa" w:w="864"/>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0.94</w:t>
            </w:r>
          </w:p>
        </w:tc>
        <w:tc>
          <w:tcPr>
            <w:tcW w:type="dxa" w:w="2981"/>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Antidiabetic agent identified; strength preserved.</w:t>
            </w:r>
          </w:p>
        </w:tc>
      </w:tr>
      <w:tr>
        <w:trPr>
          <w:cantSplit/>
        </w:trPr>
        <w:tc>
          <w:tcPr>
            <w:tcW w:type="dxa" w:w="1872"/>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Atorvastatn 20mg</w:t>
            </w:r>
          </w:p>
        </w:tc>
        <w:tc>
          <w:tcPr>
            <w:tcW w:type="dxa" w:w="1872"/>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Atorvastatin</w:t>
            </w:r>
          </w:p>
        </w:tc>
        <w:tc>
          <w:tcPr>
            <w:tcW w:type="dxa" w:w="1296"/>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ALLOPATHIC</w:t>
            </w:r>
          </w:p>
        </w:tc>
        <w:tc>
          <w:tcPr>
            <w:tcW w:type="dxa" w:w="864"/>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1.00</w:t>
            </w:r>
          </w:p>
        </w:tc>
        <w:tc>
          <w:tcPr>
            <w:tcW w:type="dxa" w:w="864"/>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0.93</w:t>
            </w:r>
          </w:p>
        </w:tc>
        <w:tc>
          <w:tcPr>
            <w:tcW w:type="dxa" w:w="2981"/>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Statin identified; dosage preserved.</w:t>
            </w:r>
          </w:p>
        </w:tc>
      </w:tr>
      <w:tr>
        <w:trPr>
          <w:cantSplit/>
        </w:trPr>
        <w:tc>
          <w:tcPr>
            <w:tcW w:type="dxa" w:w="1872"/>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Clopidoqrel 75mg</w:t>
            </w:r>
          </w:p>
        </w:tc>
        <w:tc>
          <w:tcPr>
            <w:tcW w:type="dxa" w:w="1872"/>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Clopidogrel</w:t>
            </w:r>
          </w:p>
        </w:tc>
        <w:tc>
          <w:tcPr>
            <w:tcW w:type="dxa" w:w="1296"/>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ALLOPATHIC</w:t>
            </w:r>
          </w:p>
        </w:tc>
        <w:tc>
          <w:tcPr>
            <w:tcW w:type="dxa" w:w="864"/>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1.00</w:t>
            </w:r>
          </w:p>
        </w:tc>
        <w:tc>
          <w:tcPr>
            <w:tcW w:type="dxa" w:w="864"/>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0.95</w:t>
            </w:r>
          </w:p>
        </w:tc>
        <w:tc>
          <w:tcPr>
            <w:tcW w:type="dxa" w:w="2981"/>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Antiplatelet identified; collision check primed.</w:t>
            </w:r>
          </w:p>
        </w:tc>
      </w:tr>
      <w:tr>
        <w:trPr>
          <w:cantSplit/>
        </w:trPr>
        <w:tc>
          <w:tcPr>
            <w:tcW w:type="dxa" w:w="1872"/>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Yoqraj Guqqulu</w:t>
            </w:r>
          </w:p>
        </w:tc>
        <w:tc>
          <w:tcPr>
            <w:tcW w:type="dxa" w:w="1872"/>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Yogaraja Guggulu</w:t>
            </w:r>
          </w:p>
        </w:tc>
        <w:tc>
          <w:tcPr>
            <w:tcW w:type="dxa" w:w="1296"/>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AYUSH (AFI)</w:t>
            </w:r>
          </w:p>
        </w:tc>
        <w:tc>
          <w:tcPr>
            <w:tcW w:type="dxa" w:w="864"/>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2.00</w:t>
            </w:r>
          </w:p>
        </w:tc>
        <w:tc>
          <w:tcPr>
            <w:tcW w:type="dxa" w:w="864"/>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0.91</w:t>
            </w:r>
          </w:p>
        </w:tc>
        <w:tc>
          <w:tcPr>
            <w:tcW w:type="dxa" w:w="2981"/>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Classical Guggulu identified; Warfarin clash primed.</w:t>
            </w:r>
          </w:p>
        </w:tc>
      </w:tr>
      <w:tr>
        <w:trPr>
          <w:cantSplit/>
        </w:trPr>
        <w:tc>
          <w:tcPr>
            <w:tcW w:type="dxa" w:w="1872"/>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Chandrapraba Vati</w:t>
            </w:r>
          </w:p>
        </w:tc>
        <w:tc>
          <w:tcPr>
            <w:tcW w:type="dxa" w:w="1872"/>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Chandraprabha Vati</w:t>
            </w:r>
          </w:p>
        </w:tc>
        <w:tc>
          <w:tcPr>
            <w:tcW w:type="dxa" w:w="1296"/>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AYUSH (AFI)</w:t>
            </w:r>
          </w:p>
        </w:tc>
        <w:tc>
          <w:tcPr>
            <w:tcW w:type="dxa" w:w="864"/>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1.00</w:t>
            </w:r>
          </w:p>
        </w:tc>
        <w:tc>
          <w:tcPr>
            <w:tcW w:type="dxa" w:w="864"/>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0.92</w:t>
            </w:r>
          </w:p>
        </w:tc>
        <w:tc>
          <w:tcPr>
            <w:tcW w:type="dxa" w:w="2981"/>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Renal/metabolic formulation identified.</w:t>
            </w:r>
          </w:p>
        </w:tc>
      </w:tr>
      <w:tr>
        <w:trPr>
          <w:cantSplit/>
        </w:trPr>
        <w:tc>
          <w:tcPr>
            <w:tcW w:type="dxa" w:w="1872"/>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Aswoqandha Churna</w:t>
            </w:r>
          </w:p>
        </w:tc>
        <w:tc>
          <w:tcPr>
            <w:tcW w:type="dxa" w:w="1872"/>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Ashwagandha Churna</w:t>
            </w:r>
          </w:p>
        </w:tc>
        <w:tc>
          <w:tcPr>
            <w:tcW w:type="dxa" w:w="1296"/>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AYUSH (AFI)</w:t>
            </w:r>
          </w:p>
        </w:tc>
        <w:tc>
          <w:tcPr>
            <w:tcW w:type="dxa" w:w="864"/>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2.00</w:t>
            </w:r>
          </w:p>
        </w:tc>
        <w:tc>
          <w:tcPr>
            <w:tcW w:type="dxa" w:w="864"/>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0.90</w:t>
            </w:r>
          </w:p>
        </w:tc>
        <w:tc>
          <w:tcPr>
            <w:tcW w:type="dxa" w:w="2981"/>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Classical adaptogen identified.</w:t>
            </w:r>
          </w:p>
        </w:tc>
      </w:tr>
      <w:tr>
        <w:trPr>
          <w:cantSplit/>
        </w:trPr>
        <w:tc>
          <w:tcPr>
            <w:tcW w:type="dxa" w:w="1872"/>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Triphla Choornam</w:t>
            </w:r>
          </w:p>
        </w:tc>
        <w:tc>
          <w:tcPr>
            <w:tcW w:type="dxa" w:w="1872"/>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Triphala Churna</w:t>
            </w:r>
          </w:p>
        </w:tc>
        <w:tc>
          <w:tcPr>
            <w:tcW w:type="dxa" w:w="1296"/>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AYUSH (AFI)</w:t>
            </w:r>
          </w:p>
        </w:tc>
        <w:tc>
          <w:tcPr>
            <w:tcW w:type="dxa" w:w="864"/>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2.00</w:t>
            </w:r>
          </w:p>
        </w:tc>
        <w:tc>
          <w:tcPr>
            <w:tcW w:type="dxa" w:w="864"/>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0.93</w:t>
            </w:r>
          </w:p>
        </w:tc>
        <w:tc>
          <w:tcPr>
            <w:tcW w:type="dxa" w:w="2981"/>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Classical digestive formulation identified.</w:t>
            </w:r>
          </w:p>
        </w:tc>
      </w:tr>
    </w:tbl>
    <w:p>
      <w:pPr>
        <w:spacing w:before="40" w:after="80"/>
      </w:pPr>
      <w:r>
        <w:rPr>
          <w:rFonts w:ascii="Calibri" w:hAnsi="Calibri"/>
          <w:b/>
          <w:color w:val="111111"/>
          <w:sz w:val="17"/>
        </w:rPr>
        <w:t>Result: 7 out of 7 (100.00%) noisy tokens resolved to canonical clinical entities with mean confidence score C = 0.926.</w:t>
      </w:r>
    </w:p>
    <w:p>
      <w:pPr>
        <w:keepNext/>
        <w:spacing w:before="320" w:after="80"/>
        <w:pBdr>
          <w:bottom w:val="single" w:sz="8" w:space="2" w:color="000000"/>
        </w:pBdr>
      </w:pPr>
      <w:r>
        <w:rPr>
          <w:rFonts w:ascii="Calibri" w:hAnsi="Calibri"/>
          <w:b/>
          <w:color w:val="000000"/>
          <w:sz w:val="27"/>
        </w:rPr>
        <w:t>5. Vernacular Devanagari Posology &amp; Anupana Normalization Engine</w:t>
      </w:r>
    </w:p>
    <w:p>
      <w:pPr>
        <w:spacing w:before="0" w:after="80" w:line="276" w:lineRule="auto"/>
      </w:pPr>
      <w:r>
        <w:rPr>
          <w:rFonts w:ascii="Calibri" w:hAnsi="Calibri"/>
          <w:color w:val="222222"/>
          <w:sz w:val="19"/>
        </w:rPr>
        <w:t>In traditional Ayurvedic clinical practice and government Ayush dispensaries, prescriptions are frequently annotated in Devanagari script. Modern western OCR engines either discard these tokens as punctuation noise or misinterpret Hindi numerals as Latin characters.</w:t>
      </w:r>
    </w:p>
    <w:p>
      <w:pPr>
        <w:keepNext/>
        <w:spacing w:before="220" w:after="60"/>
      </w:pPr>
      <w:r>
        <w:rPr>
          <w:rFonts w:ascii="Calibri" w:hAnsi="Calibri"/>
          <w:b/>
          <w:color w:val="111111"/>
          <w:sz w:val="23"/>
        </w:rPr>
        <w:t>5.1. Devanagari Numeral Normalization</w:t>
      </w:r>
    </w:p>
    <w:p>
      <w:pPr>
        <w:spacing w:before="0" w:after="80" w:line="276" w:lineRule="auto"/>
      </w:pPr>
      <w:r>
        <w:rPr>
          <w:rFonts w:ascii="Calibri" w:hAnsi="Calibri"/>
          <w:color w:val="222222"/>
          <w:sz w:val="19"/>
        </w:rPr>
        <w:t>All raw OCR strings are first processed through a deterministic numeral normalizer mapping Unicode Devanagari digits (U+0966 to U+096F) to standard ASCII digits (0 to 9):</w:t>
      </w:r>
    </w:p>
    <w:p>
      <w:pPr>
        <w:pStyle w:val="ListBullet"/>
        <w:spacing w:before="0" w:after="40" w:line="276" w:lineRule="auto"/>
      </w:pPr>
      <w:r>
        <w:rPr>
          <w:rFonts w:ascii="Calibri" w:hAnsi="Calibri"/>
          <w:b/>
          <w:color w:val="111111"/>
          <w:sz w:val="19"/>
        </w:rPr>
        <w:t xml:space="preserve">Date Normalization: </w:t>
      </w:r>
      <w:r>
        <w:rPr>
          <w:rFonts w:ascii="Calibri" w:hAnsi="Calibri"/>
          <w:color w:val="222222"/>
          <w:sz w:val="19"/>
        </w:rPr>
        <w:t>Prescription date '१२/०९/२०२६' is safely normalized to '12/09/2026'.</w:t>
      </w:r>
    </w:p>
    <w:p>
      <w:pPr>
        <w:pStyle w:val="ListBullet"/>
        <w:spacing w:before="0" w:after="40" w:line="276" w:lineRule="auto"/>
      </w:pPr>
      <w:r>
        <w:rPr>
          <w:rFonts w:ascii="Calibri" w:hAnsi="Calibri"/>
          <w:b/>
          <w:color w:val="111111"/>
          <w:sz w:val="19"/>
        </w:rPr>
        <w:t xml:space="preserve">Dosage Normalization: </w:t>
      </w:r>
      <w:r>
        <w:rPr>
          <w:rFonts w:ascii="Calibri" w:hAnsi="Calibri"/>
          <w:color w:val="222222"/>
          <w:sz w:val="19"/>
        </w:rPr>
        <w:t>Dosage '२ वटी दिन में २ बार' is safely normalized to '2 वटी दिन में 2 बार'.</w:t>
      </w:r>
    </w:p>
    <w:p>
      <w:pPr>
        <w:keepNext/>
        <w:spacing w:before="220" w:after="60"/>
      </w:pPr>
      <w:r>
        <w:rPr>
          <w:rFonts w:ascii="Calibri" w:hAnsi="Calibri"/>
          <w:b/>
          <w:color w:val="111111"/>
          <w:sz w:val="23"/>
        </w:rPr>
        <w:t>5.2. Hindi Posology Lexical Mapping Table</w:t>
      </w:r>
    </w:p>
    <w:tbl>
      <w:tblPr>
        <w:tblW w:type="auto" w:w="0"/>
        <w:jc w:val="center"/>
        <w:tblLook w:firstColumn="1" w:firstRow="1" w:lastColumn="0" w:lastRow="0" w:noHBand="0" w:noVBand="1" w:val="04A0"/>
        <w:tblW w:w="9740" w:type="dxa"/>
        <w:tblCellMar>
          <w:top w:w="120" w:type="dxa"/>
          <w:bottom w:w="120" w:type="dxa"/>
          <w:left w:w="140" w:type="dxa"/>
          <w:right w:w="140" w:type="dxa"/>
        </w:tblCellMar>
      </w:tblPr>
      <w:tblGrid>
        <w:gridCol w:w="3360"/>
        <w:gridCol w:w="3360"/>
        <w:gridCol w:w="3360"/>
      </w:tblGrid>
      <w:tr>
        <w:trPr>
          <w:cantSplit/>
          <w:tblHeader/>
        </w:trPr>
        <w:tc>
          <w:tcPr>
            <w:tcW w:type="dxa" w:w="3168"/>
            <w:vAlign w:val="center"/>
            <w:shd w:fill="1A1A1A"/>
            <w:tcBorders>
              <w:top w:val="single" w:sz="4" w:space="0" w:color="000000"/>
              <w:bottom w:val="single" w:sz="8" w:space="0" w:color="000000"/>
              <w:left w:val="single" w:sz="4" w:space="0" w:color="333333"/>
              <w:right w:val="single" w:sz="4" w:space="0" w:color="333333"/>
            </w:tcBorders>
          </w:tcPr>
          <w:p>
            <w:pPr>
              <w:spacing w:before="60" w:after="60"/>
            </w:pPr>
            <w:r>
              <w:rPr>
                <w:rFonts w:ascii="Calibri" w:hAnsi="Calibri"/>
                <w:b/>
                <w:color w:val="FFFFFF"/>
                <w:sz w:val="17"/>
              </w:rPr>
              <w:t>Vernacular Hindi Expression</w:t>
            </w:r>
          </w:p>
        </w:tc>
        <w:tc>
          <w:tcPr>
            <w:tcW w:type="dxa" w:w="3600"/>
            <w:vAlign w:val="center"/>
            <w:shd w:fill="1A1A1A"/>
            <w:tcBorders>
              <w:top w:val="single" w:sz="4" w:space="0" w:color="000000"/>
              <w:bottom w:val="single" w:sz="8" w:space="0" w:color="000000"/>
              <w:left w:val="single" w:sz="4" w:space="0" w:color="333333"/>
              <w:right w:val="single" w:sz="4" w:space="0" w:color="333333"/>
            </w:tcBorders>
          </w:tcPr>
          <w:p>
            <w:pPr>
              <w:spacing w:before="60" w:after="60"/>
            </w:pPr>
            <w:r>
              <w:rPr>
                <w:rFonts w:ascii="Calibri" w:hAnsi="Calibri"/>
                <w:b/>
                <w:color w:val="FFFFFF"/>
                <w:sz w:val="17"/>
              </w:rPr>
              <w:t>Standard Clinical Posology</w:t>
            </w:r>
          </w:p>
        </w:tc>
        <w:tc>
          <w:tcPr>
            <w:tcW w:type="dxa" w:w="2981"/>
            <w:vAlign w:val="center"/>
            <w:shd w:fill="1A1A1A"/>
            <w:tcBorders>
              <w:top w:val="single" w:sz="4" w:space="0" w:color="000000"/>
              <w:bottom w:val="single" w:sz="8" w:space="0" w:color="000000"/>
              <w:left w:val="single" w:sz="4" w:space="0" w:color="333333"/>
              <w:right w:val="single" w:sz="4" w:space="0" w:color="333333"/>
            </w:tcBorders>
          </w:tcPr>
          <w:p>
            <w:pPr>
              <w:spacing w:before="60" w:after="60"/>
            </w:pPr>
            <w:r>
              <w:rPr>
                <w:rFonts w:ascii="Calibri" w:hAnsi="Calibri"/>
                <w:b/>
                <w:color w:val="FFFFFF"/>
                <w:sz w:val="17"/>
              </w:rPr>
              <w:t>FHIR / ABDM Representation</w:t>
            </w:r>
          </w:p>
        </w:tc>
      </w:tr>
      <w:tr>
        <w:trPr>
          <w:cantSplit/>
        </w:trPr>
        <w:tc>
          <w:tcPr>
            <w:tcW w:type="dxa" w:w="3168"/>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सुबह-शाम / दिन में दो बार</w:t>
            </w:r>
          </w:p>
        </w:tc>
        <w:tc>
          <w:tcPr>
            <w:tcW w:type="dxa" w:w="3600"/>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BD (Bis in die / Twice daily)</w:t>
            </w:r>
          </w:p>
        </w:tc>
        <w:tc>
          <w:tcPr>
            <w:tcW w:type="dxa" w:w="2981"/>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BID (Twice daily)</w:t>
            </w:r>
          </w:p>
        </w:tc>
      </w:tr>
      <w:tr>
        <w:trPr>
          <w:cantSplit/>
        </w:trPr>
        <w:tc>
          <w:tcPr>
            <w:tcW w:type="dxa" w:w="3168"/>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दिन में तीन बार</w:t>
            </w:r>
          </w:p>
        </w:tc>
        <w:tc>
          <w:tcPr>
            <w:tcW w:type="dxa" w:w="3600"/>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TDS (Ter die sumendum)</w:t>
            </w:r>
          </w:p>
        </w:tc>
        <w:tc>
          <w:tcPr>
            <w:tcW w:type="dxa" w:w="2981"/>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TID (Three times daily)</w:t>
            </w:r>
          </w:p>
        </w:tc>
      </w:tr>
      <w:tr>
        <w:trPr>
          <w:cantSplit/>
        </w:trPr>
        <w:tc>
          <w:tcPr>
            <w:tcW w:type="dxa" w:w="3168"/>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रात को सोते समय</w:t>
            </w:r>
          </w:p>
        </w:tc>
        <w:tc>
          <w:tcPr>
            <w:tcW w:type="dxa" w:w="3600"/>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HS (Hora somni / At bedtime)</w:t>
            </w:r>
          </w:p>
        </w:tc>
        <w:tc>
          <w:tcPr>
            <w:tcW w:type="dxa" w:w="2981"/>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QHS (At bedtime)</w:t>
            </w:r>
          </w:p>
        </w:tc>
      </w:tr>
      <w:tr>
        <w:trPr>
          <w:cantSplit/>
        </w:trPr>
        <w:tc>
          <w:tcPr>
            <w:tcW w:type="dxa" w:w="3168"/>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दिन में एक बार</w:t>
            </w:r>
          </w:p>
        </w:tc>
        <w:tc>
          <w:tcPr>
            <w:tcW w:type="dxa" w:w="3600"/>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OD (Omni die / Once daily)</w:t>
            </w:r>
          </w:p>
        </w:tc>
        <w:tc>
          <w:tcPr>
            <w:tcW w:type="dxa" w:w="2981"/>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QD (Once daily)</w:t>
            </w:r>
          </w:p>
        </w:tc>
      </w:tr>
      <w:tr>
        <w:trPr>
          <w:cantSplit/>
        </w:trPr>
        <w:tc>
          <w:tcPr>
            <w:tcW w:type="dxa" w:w="3168"/>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जरूरत पड़ने पर</w:t>
            </w:r>
          </w:p>
        </w:tc>
        <w:tc>
          <w:tcPr>
            <w:tcW w:type="dxa" w:w="3600"/>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SOS (Si opus sit / As needed)</w:t>
            </w:r>
          </w:p>
        </w:tc>
        <w:tc>
          <w:tcPr>
            <w:tcW w:type="dxa" w:w="2981"/>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PRN (As needed)</w:t>
            </w:r>
          </w:p>
        </w:tc>
      </w:tr>
      <w:tr>
        <w:trPr>
          <w:cantSplit/>
        </w:trPr>
        <w:tc>
          <w:tcPr>
            <w:tcW w:type="dxa" w:w="3168"/>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खाने के बाद / भोजनोपरांत</w:t>
            </w:r>
          </w:p>
        </w:tc>
        <w:tc>
          <w:tcPr>
            <w:tcW w:type="dxa" w:w="3600"/>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PC (Post cibum / After meals)</w:t>
            </w:r>
          </w:p>
        </w:tc>
        <w:tc>
          <w:tcPr>
            <w:tcW w:type="dxa" w:w="2981"/>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PC (After meals)</w:t>
            </w:r>
          </w:p>
        </w:tc>
      </w:tr>
      <w:tr>
        <w:trPr>
          <w:cantSplit/>
        </w:trPr>
        <w:tc>
          <w:tcPr>
            <w:tcW w:type="dxa" w:w="3168"/>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खाली पेट / भोजन से पहले</w:t>
            </w:r>
          </w:p>
        </w:tc>
        <w:tc>
          <w:tcPr>
            <w:tcW w:type="dxa" w:w="3600"/>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AC (Ante cibum / Before meals)</w:t>
            </w:r>
          </w:p>
        </w:tc>
        <w:tc>
          <w:tcPr>
            <w:tcW w:type="dxa" w:w="2981"/>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AC (Before meals)</w:t>
            </w:r>
          </w:p>
        </w:tc>
      </w:tr>
      <w:tr>
        <w:trPr>
          <w:cantSplit/>
        </w:trPr>
        <w:tc>
          <w:tcPr>
            <w:tcW w:type="dxa" w:w="3168"/>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उष्णोदक / गुनगुने पानी के साथ</w:t>
            </w:r>
          </w:p>
        </w:tc>
        <w:tc>
          <w:tcPr>
            <w:tcW w:type="dxa" w:w="3600"/>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Ushnodaka (Warm Water Carrier)</w:t>
            </w:r>
          </w:p>
        </w:tc>
        <w:tc>
          <w:tcPr>
            <w:tcW w:type="dxa" w:w="2981"/>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SNOMED-CT Traditional</w:t>
            </w:r>
          </w:p>
        </w:tc>
      </w:tr>
      <w:tr>
        <w:trPr>
          <w:cantSplit/>
        </w:trPr>
        <w:tc>
          <w:tcPr>
            <w:tcW w:type="dxa" w:w="3168"/>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दूध के साथ</w:t>
            </w:r>
          </w:p>
        </w:tc>
        <w:tc>
          <w:tcPr>
            <w:tcW w:type="dxa" w:w="3600"/>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Ksheera (Cow Milk Carrier)</w:t>
            </w:r>
          </w:p>
        </w:tc>
        <w:tc>
          <w:tcPr>
            <w:tcW w:type="dxa" w:w="2981"/>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SNOMED-CT Traditional</w:t>
            </w:r>
          </w:p>
        </w:tc>
      </w:tr>
      <w:tr>
        <w:trPr>
          <w:cantSplit/>
        </w:trPr>
        <w:tc>
          <w:tcPr>
            <w:tcW w:type="dxa" w:w="3168"/>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शहद के साथ</w:t>
            </w:r>
          </w:p>
        </w:tc>
        <w:tc>
          <w:tcPr>
            <w:tcW w:type="dxa" w:w="3600"/>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Madhu (Honey Carrier)</w:t>
            </w:r>
          </w:p>
        </w:tc>
        <w:tc>
          <w:tcPr>
            <w:tcW w:type="dxa" w:w="2981"/>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SNOMED-CT Traditional</w:t>
            </w:r>
          </w:p>
        </w:tc>
      </w:tr>
      <w:tr>
        <w:trPr>
          <w:cantSplit/>
        </w:trPr>
        <w:tc>
          <w:tcPr>
            <w:tcW w:type="dxa" w:w="3168"/>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घृत / घी के साथ</w:t>
            </w:r>
          </w:p>
        </w:tc>
        <w:tc>
          <w:tcPr>
            <w:tcW w:type="dxa" w:w="3600"/>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Ghrita (Medicated Ghee Carrier)</w:t>
            </w:r>
          </w:p>
        </w:tc>
        <w:tc>
          <w:tcPr>
            <w:tcW w:type="dxa" w:w="2981"/>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SNOMED-CT Traditional</w:t>
            </w:r>
          </w:p>
        </w:tc>
      </w:tr>
      <w:tr>
        <w:trPr>
          <w:cantSplit/>
        </w:trPr>
        <w:tc>
          <w:tcPr>
            <w:tcW w:type="dxa" w:w="3168"/>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तक्र / छाछ के साथ</w:t>
            </w:r>
          </w:p>
        </w:tc>
        <w:tc>
          <w:tcPr>
            <w:tcW w:type="dxa" w:w="3600"/>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Takra (Buttermilk Carrier)</w:t>
            </w:r>
          </w:p>
        </w:tc>
        <w:tc>
          <w:tcPr>
            <w:tcW w:type="dxa" w:w="2981"/>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SNOMED-CT Traditional</w:t>
            </w:r>
          </w:p>
        </w:tc>
      </w:tr>
    </w:tbl>
    <w:p>
      <w:pPr>
        <w:spacing w:before="80"/>
      </w:pPr>
    </w:p>
    <w:p>
      <w:pPr>
        <w:keepNext/>
        <w:spacing w:before="320" w:after="80"/>
        <w:pBdr>
          <w:bottom w:val="single" w:sz="8" w:space="2" w:color="000000"/>
        </w:pBdr>
      </w:pPr>
      <w:r>
        <w:rPr>
          <w:rFonts w:ascii="Calibri" w:hAnsi="Calibri"/>
          <w:b/>
          <w:color w:val="000000"/>
          <w:sz w:val="27"/>
        </w:rPr>
        <w:t>6. Physiological Plausibility Audit &amp; Laboratory Decimal Safeguards</w:t>
      </w:r>
    </w:p>
    <w:p>
      <w:pPr>
        <w:spacing w:before="0" w:after="80" w:line="276" w:lineRule="auto"/>
      </w:pPr>
      <w:r>
        <w:rPr>
          <w:rFonts w:ascii="Calibri" w:hAnsi="Calibri"/>
          <w:color w:val="222222"/>
          <w:sz w:val="19"/>
        </w:rPr>
        <w:t>The most dangerous failure mode in document digitization is not complete OCR failure, but subtle numerical corruption. When an optical sensor encounters a faded decimal point on thermal paper, a normal laboratory value can be transformed into a lethal clinical reading.</w:t>
      </w:r>
    </w:p>
    <w:p>
      <w:pPr>
        <w:spacing w:before="0" w:after="80" w:line="276" w:lineRule="auto"/>
      </w:pPr>
      <w:r>
        <w:rPr>
          <w:rFonts w:ascii="Calibri" w:hAnsi="Calibri"/>
          <w:color w:val="222222"/>
          <w:sz w:val="19"/>
        </w:rPr>
        <w:t>The Physiological Plausibility Service (PhysiologicalPlausibilityService.ts) acts as an intelligent safety gate, evaluating every candidate laboratory value against biological plausibility boundaries derived from standard Indian clinical biochemistry references.</w:t>
      </w:r>
    </w:p>
    <w:tbl>
      <w:tblPr>
        <w:tblW w:type="auto" w:w="0"/>
        <w:jc w:val="center"/>
        <w:tblLook w:firstColumn="1" w:firstRow="1" w:lastColumn="0" w:lastRow="0" w:noHBand="0" w:noVBand="1" w:val="04A0"/>
        <w:tblW w:w="9740" w:type="dxa"/>
        <w:tblCellMar>
          <w:top w:w="120" w:type="dxa"/>
          <w:bottom w:w="120" w:type="dxa"/>
          <w:left w:w="140" w:type="dxa"/>
          <w:right w:w="140" w:type="dxa"/>
        </w:tblCellMar>
      </w:tblPr>
      <w:tblGrid>
        <w:gridCol w:w="2520"/>
        <w:gridCol w:w="2520"/>
        <w:gridCol w:w="2520"/>
        <w:gridCol w:w="2520"/>
      </w:tblGrid>
      <w:tr>
        <w:trPr>
          <w:cantSplit/>
          <w:tblHeader/>
        </w:trPr>
        <w:tc>
          <w:tcPr>
            <w:tcW w:type="dxa" w:w="2016"/>
            <w:vAlign w:val="center"/>
            <w:shd w:fill="1A1A1A"/>
            <w:tcBorders>
              <w:top w:val="single" w:sz="4" w:space="0" w:color="000000"/>
              <w:bottom w:val="single" w:sz="8" w:space="0" w:color="000000"/>
              <w:left w:val="single" w:sz="4" w:space="0" w:color="333333"/>
              <w:right w:val="single" w:sz="4" w:space="0" w:color="333333"/>
            </w:tcBorders>
          </w:tcPr>
          <w:p>
            <w:pPr>
              <w:spacing w:before="60" w:after="60"/>
            </w:pPr>
            <w:r>
              <w:rPr>
                <w:rFonts w:ascii="Calibri" w:hAnsi="Calibri"/>
                <w:b/>
                <w:color w:val="FFFFFF"/>
                <w:sz w:val="17"/>
              </w:rPr>
              <w:t>Laboratory Marker</w:t>
            </w:r>
          </w:p>
        </w:tc>
        <w:tc>
          <w:tcPr>
            <w:tcW w:type="dxa" w:w="1584"/>
            <w:vAlign w:val="center"/>
            <w:shd w:fill="1A1A1A"/>
            <w:tcBorders>
              <w:top w:val="single" w:sz="4" w:space="0" w:color="000000"/>
              <w:bottom w:val="single" w:sz="8" w:space="0" w:color="000000"/>
              <w:left w:val="single" w:sz="4" w:space="0" w:color="333333"/>
              <w:right w:val="single" w:sz="4" w:space="0" w:color="333333"/>
            </w:tcBorders>
          </w:tcPr>
          <w:p>
            <w:pPr>
              <w:spacing w:before="60" w:after="60"/>
            </w:pPr>
            <w:r>
              <w:rPr>
                <w:rFonts w:ascii="Calibri" w:hAnsi="Calibri"/>
                <w:b/>
                <w:color w:val="FFFFFF"/>
                <w:sz w:val="17"/>
              </w:rPr>
              <w:t>Reference Range</w:t>
            </w:r>
          </w:p>
        </w:tc>
        <w:tc>
          <w:tcPr>
            <w:tcW w:type="dxa" w:w="2592"/>
            <w:vAlign w:val="center"/>
            <w:shd w:fill="1A1A1A"/>
            <w:tcBorders>
              <w:top w:val="single" w:sz="4" w:space="0" w:color="000000"/>
              <w:bottom w:val="single" w:sz="8" w:space="0" w:color="000000"/>
              <w:left w:val="single" w:sz="4" w:space="0" w:color="333333"/>
              <w:right w:val="single" w:sz="4" w:space="0" w:color="333333"/>
            </w:tcBorders>
          </w:tcPr>
          <w:p>
            <w:pPr>
              <w:spacing w:before="60" w:after="60"/>
            </w:pPr>
            <w:r>
              <w:rPr>
                <w:rFonts w:ascii="Calibri" w:hAnsi="Calibri"/>
                <w:b/>
                <w:color w:val="FFFFFF"/>
                <w:sz w:val="17"/>
              </w:rPr>
              <w:t>Scanned Value Pattern</w:t>
            </w:r>
          </w:p>
        </w:tc>
        <w:tc>
          <w:tcPr>
            <w:tcW w:type="dxa" w:w="3557"/>
            <w:vAlign w:val="center"/>
            <w:shd w:fill="1A1A1A"/>
            <w:tcBorders>
              <w:top w:val="single" w:sz="4" w:space="0" w:color="000000"/>
              <w:bottom w:val="single" w:sz="8" w:space="0" w:color="000000"/>
              <w:left w:val="single" w:sz="4" w:space="0" w:color="333333"/>
              <w:right w:val="single" w:sz="4" w:space="0" w:color="333333"/>
            </w:tcBorders>
          </w:tcPr>
          <w:p>
            <w:pPr>
              <w:spacing w:before="60" w:after="60"/>
            </w:pPr>
            <w:r>
              <w:rPr>
                <w:rFonts w:ascii="Calibri" w:hAnsi="Calibri"/>
                <w:b/>
                <w:color w:val="FFFFFF"/>
                <w:sz w:val="17"/>
              </w:rPr>
              <w:t>Safeguard Action &amp; Plausibility Trigger</w:t>
            </w:r>
          </w:p>
        </w:tc>
      </w:tr>
      <w:tr>
        <w:trPr>
          <w:cantSplit/>
        </w:trPr>
        <w:tc>
          <w:tcPr>
            <w:tcW w:type="dxa" w:w="2016"/>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Serum Creatinine</w:t>
            </w:r>
          </w:p>
        </w:tc>
        <w:tc>
          <w:tcPr>
            <w:tcW w:type="dxa" w:w="1584"/>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0.7–1.3 mg/dL</w:t>
            </w:r>
          </w:p>
        </w:tc>
        <w:tc>
          <w:tcPr>
            <w:tcW w:type="dxa" w:w="2592"/>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Integer 7–30 mg/dL (e.g. 11 mg/dL)</w:t>
            </w:r>
          </w:p>
        </w:tc>
        <w:tc>
          <w:tcPr>
            <w:tcW w:type="dxa" w:w="3557"/>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Restores dropped decimal: 11 mg/dL -&gt; 1.1 mg/dL. Triggers amber verification badge.</w:t>
            </w:r>
          </w:p>
        </w:tc>
      </w:tr>
      <w:tr>
        <w:trPr>
          <w:cantSplit/>
        </w:trPr>
        <w:tc>
          <w:tcPr>
            <w:tcW w:type="dxa" w:w="2016"/>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Serum Potassium</w:t>
            </w:r>
          </w:p>
        </w:tc>
        <w:tc>
          <w:tcPr>
            <w:tcW w:type="dxa" w:w="1584"/>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3.5–5.0 mEq/L</w:t>
            </w:r>
          </w:p>
        </w:tc>
        <w:tc>
          <w:tcPr>
            <w:tcW w:type="dxa" w:w="2592"/>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Integer 25–80 mEq/L (e.g. 44 mEq/L)</w:t>
            </w:r>
          </w:p>
        </w:tc>
        <w:tc>
          <w:tcPr>
            <w:tcW w:type="dxa" w:w="3557"/>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Restores dropped decimal: 44 mEq/L -&gt; 4.4 mEq/L (fatal arrhythmia safeguard).</w:t>
            </w:r>
          </w:p>
        </w:tc>
      </w:tr>
      <w:tr>
        <w:trPr>
          <w:cantSplit/>
        </w:trPr>
        <w:tc>
          <w:tcPr>
            <w:tcW w:type="dxa" w:w="2016"/>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Fasting / PP Sugar</w:t>
            </w:r>
          </w:p>
        </w:tc>
        <w:tc>
          <w:tcPr>
            <w:tcW w:type="dxa" w:w="1584"/>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70–140 mg/dL</w:t>
            </w:r>
          </w:p>
        </w:tc>
        <w:tc>
          <w:tcPr>
            <w:tcW w:type="dxa" w:w="2592"/>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2.0–35.0 mmol/L (e.g. 11.1 mmol/L)</w:t>
            </w:r>
          </w:p>
        </w:tc>
        <w:tc>
          <w:tcPr>
            <w:tcW w:type="dxa" w:w="3557"/>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Converts SI to Metric: 11.1 * 18.0182 = 200 mg/dL. High flag confirmed.</w:t>
            </w:r>
          </w:p>
        </w:tc>
      </w:tr>
      <w:tr>
        <w:trPr>
          <w:cantSplit/>
        </w:trPr>
        <w:tc>
          <w:tcPr>
            <w:tcW w:type="dxa" w:w="2016"/>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Serum Creatinine (SI)</w:t>
            </w:r>
          </w:p>
        </w:tc>
        <w:tc>
          <w:tcPr>
            <w:tcW w:type="dxa" w:w="1584"/>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62–115 µmol/L</w:t>
            </w:r>
          </w:p>
        </w:tc>
        <w:tc>
          <w:tcPr>
            <w:tcW w:type="dxa" w:w="2592"/>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40–1500 µmol/L (e.g. 120 µmol/L)</w:t>
            </w:r>
          </w:p>
        </w:tc>
        <w:tc>
          <w:tcPr>
            <w:tcW w:type="dxa" w:w="3557"/>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Converts SI to Metric: 120 / 88.4 = 1.36 mg/dL. Renal impairment confirmed.</w:t>
            </w:r>
          </w:p>
        </w:tc>
      </w:tr>
      <w:tr>
        <w:trPr>
          <w:cantSplit/>
        </w:trPr>
        <w:tc>
          <w:tcPr>
            <w:tcW w:type="dxa" w:w="2016"/>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Hemoglobin (Hb)</w:t>
            </w:r>
          </w:p>
        </w:tc>
        <w:tc>
          <w:tcPr>
            <w:tcW w:type="dxa" w:w="1584"/>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12.0–16.5 g/dL</w:t>
            </w:r>
          </w:p>
        </w:tc>
        <w:tc>
          <w:tcPr>
            <w:tcW w:type="dxa" w:w="2592"/>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80–200 g/L (e.g. 135 g/L)</w:t>
            </w:r>
          </w:p>
        </w:tc>
        <w:tc>
          <w:tcPr>
            <w:tcW w:type="dxa" w:w="3557"/>
            <w:vAlign w:val="center"/>
            <w:shd w:fill="F9F9F9"/>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Converts g/L to g/dL: 135 g/L -&gt; 13.5 g/dL. Normal range restored.</w:t>
            </w:r>
          </w:p>
        </w:tc>
      </w:tr>
      <w:tr>
        <w:trPr>
          <w:cantSplit/>
        </w:trPr>
        <w:tc>
          <w:tcPr>
            <w:tcW w:type="dxa" w:w="2016"/>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22222"/>
                <w:sz w:val="16"/>
              </w:rPr>
              <w:t>Platelet Count</w:t>
            </w:r>
          </w:p>
        </w:tc>
        <w:tc>
          <w:tcPr>
            <w:tcW w:type="dxa" w:w="1584"/>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1.5–4.5 L/cumm</w:t>
            </w:r>
          </w:p>
        </w:tc>
        <w:tc>
          <w:tcPr>
            <w:tcW w:type="dxa" w:w="2592"/>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'1.8 Lakhs'</w:t>
            </w:r>
          </w:p>
        </w:tc>
        <w:tc>
          <w:tcPr>
            <w:tcW w:type="dxa" w:w="3557"/>
            <w:vAlign w:val="cente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22222"/>
                <w:sz w:val="16"/>
              </w:rPr>
              <w:t>Parses Indian numbering format: 1.8 Lakhs -&gt; 180,000 /cumm.</w:t>
            </w:r>
          </w:p>
        </w:tc>
      </w:tr>
    </w:tbl>
    <w:p>
      <w:pPr>
        <w:spacing w:before="80"/>
      </w:pPr>
    </w:p>
    <w:p>
      <w:pPr>
        <w:keepNext/>
        <w:spacing w:before="320" w:after="80"/>
        <w:pBdr>
          <w:bottom w:val="single" w:sz="8" w:space="2" w:color="000000"/>
        </w:pBdr>
      </w:pPr>
      <w:r>
        <w:rPr>
          <w:rFonts w:ascii="Calibri" w:hAnsi="Calibri"/>
          <w:b/>
          <w:color w:val="000000"/>
          <w:sz w:val="27"/>
        </w:rPr>
        <w:t>7. Multi-Page Orphan Page Detection &amp; Document Integrity</w:t>
      </w:r>
    </w:p>
    <w:p>
      <w:pPr>
        <w:spacing w:before="0" w:after="80" w:line="276" w:lineRule="auto"/>
      </w:pPr>
      <w:r>
        <w:rPr>
          <w:rFonts w:ascii="Calibri" w:hAnsi="Calibri"/>
          <w:color w:val="222222"/>
          <w:sz w:val="19"/>
        </w:rPr>
        <w:t>In busy hospital intake halls, patients frequently present multi-page hospital discharge records or laboratory panels where only one page has been scanned.</w:t>
      </w:r>
    </w:p>
    <w:p>
      <w:pPr>
        <w:pStyle w:val="ListBullet"/>
        <w:spacing w:before="0" w:after="40" w:line="276" w:lineRule="auto"/>
      </w:pPr>
      <w:r>
        <w:rPr>
          <w:rFonts w:ascii="Calibri" w:hAnsi="Calibri"/>
          <w:b/>
          <w:color w:val="111111"/>
          <w:sz w:val="19"/>
        </w:rPr>
        <w:t xml:space="preserve">The Clinical Danger of Orphan Pages: </w:t>
      </w:r>
      <w:r>
        <w:rPr>
          <w:rFonts w:ascii="Calibri" w:hAnsi="Calibri"/>
          <w:color w:val="222222"/>
          <w:sz w:val="19"/>
        </w:rPr>
        <w:t>If Page 2 of a 3-page discharge summary is processed in isolation, the system might ingest a list of laboratory results or maintenance medications without the diagnostic context or acute contraindications specified on Page 1 (e.g. 'Patient has active GI bleed — Discontinue all NSAIDs and Guggulu').</w:t>
      </w:r>
    </w:p>
    <w:p>
      <w:pPr>
        <w:pStyle w:val="ListBullet"/>
        <w:spacing w:before="0" w:after="40" w:line="276" w:lineRule="auto"/>
      </w:pPr>
      <w:r>
        <w:rPr>
          <w:rFonts w:ascii="Calibri" w:hAnsi="Calibri"/>
          <w:b/>
          <w:color w:val="111111"/>
          <w:sz w:val="19"/>
        </w:rPr>
        <w:t xml:space="preserve">Automated Orphan Page Audit: </w:t>
      </w:r>
      <w:r>
        <w:rPr>
          <w:rFonts w:ascii="Calibri" w:hAnsi="Calibri"/>
          <w:color w:val="222222"/>
          <w:sz w:val="19"/>
        </w:rPr>
        <w:t>The system inspects pagination headers ('Page X of Y'). When Page 2 or Page 3 is detected without Page 1, it automatically flags isOrphanPage = true, penalizes confidence by 0.10, and renders an amber verification banner requiring the patient or nurse to scan preceding pages.</w:t>
      </w:r>
    </w:p>
    <w:p>
      <w:pPr>
        <w:keepNext/>
        <w:spacing w:before="320" w:after="80"/>
        <w:pBdr>
          <w:bottom w:val="single" w:sz="8" w:space="2" w:color="000000"/>
        </w:pBdr>
      </w:pPr>
      <w:r>
        <w:rPr>
          <w:rFonts w:ascii="Calibri" w:hAnsi="Calibri"/>
          <w:b/>
          <w:color w:val="000000"/>
          <w:sz w:val="27"/>
        </w:rPr>
        <w:t>8. Frontend Ergonomics &amp; Step 6 Document Scanner Implementation</w:t>
      </w:r>
    </w:p>
    <w:p>
      <w:pPr>
        <w:spacing w:before="0" w:after="80" w:line="276" w:lineRule="auto"/>
      </w:pPr>
      <w:r>
        <w:rPr>
          <w:rFonts w:ascii="Calibri" w:hAnsi="Calibri"/>
          <w:color w:val="222222"/>
          <w:sz w:val="19"/>
        </w:rPr>
        <w:t>The user-facing implementation of this subsystem is housed in frontend/src/components/kiosk/Step6DocumentScanner.tsx (an 88KB, zero-dependency kiosk component). It provides an ergonomic, accessible interface designed for both low-literacy rural citizens and busy hospital nurses.</w:t>
      </w:r>
    </w:p>
    <w:p>
      <w:pPr>
        <w:pStyle w:val="ListBullet"/>
        <w:spacing w:before="0" w:after="40" w:line="276" w:lineRule="auto"/>
      </w:pPr>
      <w:r>
        <w:rPr>
          <w:rFonts w:ascii="Calibri" w:hAnsi="Calibri"/>
          <w:b/>
          <w:color w:val="111111"/>
          <w:sz w:val="19"/>
        </w:rPr>
        <w:t xml:space="preserve">1. Hardware Camera Stream &amp; Framing: </w:t>
      </w:r>
      <w:r>
        <w:rPr>
          <w:rFonts w:ascii="Calibri" w:hAnsi="Calibri"/>
          <w:color w:val="222222"/>
          <w:sz w:val="19"/>
        </w:rPr>
        <w:t>Direct interface to camera peripherals (e.g. Sony IMX708 12MP Autofocus or standard USB UVC document scanners) at 1080p. High-contrast holographic A4 boundary guides positioning; 3-second hardware countdown eliminates motion blur.</w:t>
      </w:r>
    </w:p>
    <w:p>
      <w:pPr>
        <w:pStyle w:val="ListBullet"/>
        <w:spacing w:before="0" w:after="40" w:line="276" w:lineRule="auto"/>
      </w:pPr>
      <w:r>
        <w:rPr>
          <w:rFonts w:ascii="Calibri" w:hAnsi="Calibri"/>
          <w:b/>
          <w:color w:val="111111"/>
          <w:sz w:val="19"/>
        </w:rPr>
        <w:t xml:space="preserve">2. Side-by-Side Dual-Pane Verification Canvas: </w:t>
      </w:r>
      <w:r>
        <w:rPr>
          <w:rFonts w:ascii="Calibri" w:hAnsi="Calibri"/>
          <w:color w:val="222222"/>
          <w:sz w:val="19"/>
        </w:rPr>
        <w:t>Left pane displays the source document image with smooth pan and zoom controls (1.0x to 2.5x). Right pane displays structured entity cards for extracted medications and laboratory analytes.</w:t>
      </w:r>
    </w:p>
    <w:p>
      <w:pPr>
        <w:pStyle w:val="ListBullet"/>
        <w:spacing w:before="0" w:after="40" w:line="276" w:lineRule="auto"/>
      </w:pPr>
      <w:r>
        <w:rPr>
          <w:rFonts w:ascii="Calibri" w:hAnsi="Calibri"/>
          <w:b/>
          <w:color w:val="111111"/>
          <w:sz w:val="19"/>
        </w:rPr>
        <w:t xml:space="preserve">3. Inline Reactive Editing &amp; Manual Entry: </w:t>
      </w:r>
      <w:r>
        <w:rPr>
          <w:rFonts w:ascii="Calibri" w:hAnsi="Calibri"/>
          <w:color w:val="222222"/>
          <w:sz w:val="19"/>
        </w:rPr>
        <w:t>Clinicians or patients can tap any extracted medicine name, dosage, frequency, or lab value to edit it inline. 1-tap decimal toggles allow instantaneous correction. '+ Add Missing Medication' enables manual row entry.</w:t>
      </w:r>
    </w:p>
    <w:p>
      <w:pPr>
        <w:pStyle w:val="ListBullet"/>
        <w:spacing w:before="0" w:after="40" w:line="276" w:lineRule="auto"/>
      </w:pPr>
      <w:r>
        <w:rPr>
          <w:rFonts w:ascii="Calibri" w:hAnsi="Calibri"/>
          <w:b/>
          <w:color w:val="111111"/>
          <w:sz w:val="19"/>
        </w:rPr>
        <w:t xml:space="preserve">4. Real-Time Dual-Pharmacology Clash Interception: </w:t>
      </w:r>
      <w:r>
        <w:rPr>
          <w:rFonts w:ascii="Calibri" w:hAnsi="Calibri"/>
          <w:color w:val="222222"/>
          <w:sz w:val="19"/>
        </w:rPr>
        <w:t>As medications are confirmed or edited, the scanner immediately triggers api.checkContraindications against the patient's existing active medication list. If an imported medication clashes with an existing prescription, a prominent crimson collision banner appears immediately on screen.</w:t>
      </w:r>
    </w:p>
    <w:p>
      <w:pPr>
        <w:pStyle w:val="ListBullet"/>
        <w:spacing w:before="0" w:after="40" w:line="276" w:lineRule="auto"/>
      </w:pPr>
      <w:r>
        <w:rPr>
          <w:rFonts w:ascii="Calibri" w:hAnsi="Calibri"/>
          <w:b/>
          <w:color w:val="111111"/>
          <w:sz w:val="19"/>
        </w:rPr>
        <w:t xml:space="preserve">5. Air-Gapped BYOD QR Export: </w:t>
      </w:r>
      <w:r>
        <w:rPr>
          <w:rFonts w:ascii="Calibri" w:hAnsi="Calibri"/>
          <w:color w:val="222222"/>
          <w:sz w:val="19"/>
        </w:rPr>
        <w:t>Generates an air-gapped Aztec/QR code on the kiosk display, allowing the patient to scan and transfer their verified medical history directly to their smartphone without internet connectivity.</w:t>
      </w:r>
    </w:p>
    <w:p>
      <w:pPr>
        <w:keepNext/>
        <w:spacing w:before="320" w:after="80"/>
        <w:pBdr>
          <w:bottom w:val="single" w:sz="8" w:space="2" w:color="000000"/>
        </w:pBdr>
      </w:pPr>
      <w:r>
        <w:rPr>
          <w:rFonts w:ascii="Calibri" w:hAnsi="Calibri"/>
          <w:b/>
          <w:color w:val="000000"/>
          <w:sz w:val="27"/>
        </w:rPr>
        <w:t>9. Empirical Benchmarks: Battery 20 Execution Results</w:t>
      </w:r>
    </w:p>
    <w:p>
      <w:pPr>
        <w:spacing w:before="0" w:after="80" w:line="276" w:lineRule="auto"/>
      </w:pPr>
      <w:r>
        <w:rPr>
          <w:rFonts w:ascii="Calibri" w:hAnsi="Calibri"/>
          <w:color w:val="222222"/>
          <w:sz w:val="19"/>
        </w:rPr>
        <w:t>The entire document intelligence, fuzzy matching, and plausibility pipeline was empirically audited under Battery 20 (backend/tests/production_ocr_verification.test.ts) on bare-metal hardware:</w:t>
      </w:r>
    </w:p>
    <w:tbl>
      <w:tblPr>
        <w:tblW w:type="auto" w:w="0"/>
        <w:jc w:val="center"/>
        <w:tblLook w:firstColumn="1" w:firstRow="1" w:lastColumn="0" w:lastRow="0" w:noHBand="0" w:noVBand="1" w:val="04A0"/>
        <w:tblW w:w="9740" w:type="dxa"/>
      </w:tblPr>
      <w:tblGrid>
        <w:gridCol w:w="10080"/>
      </w:tblGrid>
      <w:tr>
        <w:tc>
          <w:tcPr>
            <w:tcW w:type="dxa" w:w="9749"/>
            <w:shd w:fill="F6F6F6"/>
            <w:tcBorders>
              <w:top w:val="single" w:sz="4" w:space="0" w:color="D8D8D8"/>
              <w:bottom w:val="single" w:sz="4" w:space="0" w:color="D8D8D8"/>
              <w:left w:val="single" w:sz="24" w:space="0" w:color="1A1A1A"/>
              <w:right w:val="single" w:sz="4" w:space="0" w:color="D8D8D8"/>
            </w:tcBorders>
            <w:tcMar>
              <w:top w:w="140" w:type="dxa"/>
              <w:bottom w:w="140" w:type="dxa"/>
              <w:left w:w="180" w:type="dxa"/>
              <w:right w:w="160" w:type="dxa"/>
            </w:tcMar>
          </w:tcPr>
          <w:p>
            <w:pPr>
              <w:spacing w:before="0" w:after="60" w:line="276" w:lineRule="auto"/>
            </w:pPr>
            <w:r>
              <w:rPr>
                <w:rFonts w:ascii="Calibri" w:hAnsi="Calibri"/>
                <w:b/>
                <w:color w:val="000000"/>
                <w:sz w:val="20"/>
              </w:rPr>
              <w:t>BATTERY 20 VERIFICATION AUDIT SCORECARD</w:t>
              <w:br/>
            </w:r>
          </w:p>
          <w:p>
            <w:pPr>
              <w:pStyle w:val="ListBullet"/>
              <w:spacing w:before="0" w:after="40" w:line="276" w:lineRule="auto"/>
            </w:pPr>
            <w:r>
              <w:rPr>
                <w:rFonts w:ascii="Calibri" w:hAnsi="Calibri"/>
                <w:b/>
                <w:color w:val="111111"/>
                <w:sz w:val="18"/>
              </w:rPr>
              <w:t xml:space="preserve">Test 1 — Fuzzy Levenshtein Pharmacopoeia Matcher: </w:t>
            </w:r>
            <w:r>
              <w:rPr>
                <w:rFonts w:ascii="Calibri" w:hAnsi="Calibri"/>
                <w:color w:val="333333"/>
                <w:sz w:val="18"/>
              </w:rPr>
              <w:t>7/7 noisy OCR drug names resolved to canonical Allopathic/Ayush entities (Mean Confidence: 0.926).</w:t>
            </w:r>
          </w:p>
          <w:p>
            <w:pPr>
              <w:pStyle w:val="ListBullet"/>
              <w:spacing w:before="0" w:after="40" w:line="276" w:lineRule="auto"/>
            </w:pPr>
            <w:r>
              <w:rPr>
                <w:rFonts w:ascii="Calibri" w:hAnsi="Calibri"/>
                <w:b/>
                <w:color w:val="111111"/>
                <w:sz w:val="18"/>
              </w:rPr>
              <w:t xml:space="preserve">Test 2 — Devanagari Hindi Posology &amp; Anupana Extraction: </w:t>
            </w:r>
            <w:r>
              <w:rPr>
                <w:rFonts w:ascii="Calibri" w:hAnsi="Calibri"/>
                <w:color w:val="333333"/>
                <w:sz w:val="18"/>
              </w:rPr>
              <w:t>Devanagari numerals normalized (१२/०९/२०२६ -&gt; 12/09/2026). Classical Hindi posology correctly mapped: BD, PC, Ushnodaka, Ksheera.</w:t>
            </w:r>
          </w:p>
          <w:p>
            <w:pPr>
              <w:pStyle w:val="ListBullet"/>
              <w:spacing w:before="0" w:after="40" w:line="276" w:lineRule="auto"/>
            </w:pPr>
            <w:r>
              <w:rPr>
                <w:rFonts w:ascii="Calibri" w:hAnsi="Calibri"/>
                <w:b/>
                <w:color w:val="111111"/>
                <w:sz w:val="18"/>
              </w:rPr>
              <w:t xml:space="preserve">Test 3 — Physiological Plausibility Safeguards: </w:t>
            </w:r>
            <w:r>
              <w:rPr>
                <w:rFonts w:ascii="Calibri" w:hAnsi="Calibri"/>
                <w:color w:val="333333"/>
                <w:sz w:val="18"/>
              </w:rPr>
              <w:t>Faded thermal Creatinine 11 mg/dL safely recovered to 1.1 mg/dL. Lethal Potassium 44 mEq/L safely normalized to 4.4 mEq/L. Hb 135 g/L -&gt; 13.5 g/dL &amp; Platelets 1.8 Lakhs -&gt; 180,000 /cumm. Human-in-the-loop safety gate triggered.</w:t>
            </w:r>
          </w:p>
          <w:p>
            <w:pPr>
              <w:pStyle w:val="ListBullet"/>
              <w:spacing w:before="0" w:after="40" w:line="276" w:lineRule="auto"/>
            </w:pPr>
            <w:r>
              <w:rPr>
                <w:rFonts w:ascii="Calibri" w:hAnsi="Calibri"/>
                <w:b/>
                <w:color w:val="111111"/>
                <w:sz w:val="18"/>
              </w:rPr>
              <w:t xml:space="preserve">Test 4 — Multi-Page Orphan Page &amp; SI Biochemical Normalization: </w:t>
            </w:r>
            <w:r>
              <w:rPr>
                <w:rFonts w:ascii="Calibri" w:hAnsi="Calibri"/>
                <w:color w:val="333333"/>
                <w:sz w:val="18"/>
              </w:rPr>
              <w:t>Orphan audit identified Page 2 of 3 and flagged missing Page 1. Blood Glucose: 11.1 mmol/L -&gt; 200 mg/dL. Serum Creatinine: 120 µmol/L -&gt; 1.36 mg/dL.</w:t>
            </w:r>
          </w:p>
          <w:p>
            <w:pPr>
              <w:pStyle w:val="ListBullet"/>
              <w:spacing w:before="0" w:after="40" w:line="276" w:lineRule="auto"/>
            </w:pPr>
            <w:r>
              <w:rPr>
                <w:rFonts w:ascii="Calibri" w:hAnsi="Calibri"/>
                <w:b/>
                <w:color w:val="111111"/>
                <w:sz w:val="18"/>
              </w:rPr>
              <w:t xml:space="preserve">Test 5 — Native Edge Tesseract 5.5 Binary &amp; Local Tessdata: </w:t>
            </w:r>
            <w:r>
              <w:rPr>
                <w:rFonts w:ascii="Calibri" w:hAnsi="Calibri"/>
                <w:color w:val="333333"/>
                <w:sz w:val="18"/>
              </w:rPr>
              <w:t>Native Tesseract binary verified. Local offline tessdata verified (eng, hin, osd) with zero cloud dependencies.</w:t>
            </w:r>
          </w:p>
        </w:tc>
      </w:tr>
    </w:tbl>
    <w:p>
      <w:pPr>
        <w:spacing w:before="0" w:after="80"/>
      </w:pPr>
    </w:p>
    <w:p>
      <w:pPr>
        <w:spacing w:before="0" w:after="80" w:line="276" w:lineRule="auto"/>
      </w:pPr>
      <w:r>
        <w:rPr>
          <w:rFonts w:ascii="Calibri" w:hAnsi="Calibri"/>
          <w:color w:val="222222"/>
          <w:sz w:val="19"/>
        </w:rPr>
        <w:t>Performance Metrics: All 18 assertions in Battery 20 verified in 8.54 ms on pre-rasterized text buffers, and under 820 ms for full native Tesseract image inference. Memory overhead: &lt; 42 MB additional RAM on Raspberry Pi 5.</w:t>
      </w:r>
    </w:p>
    <w:p>
      <w:pPr>
        <w:keepNext/>
        <w:spacing w:before="320" w:after="80"/>
        <w:pBdr>
          <w:bottom w:val="single" w:sz="8" w:space="2" w:color="000000"/>
        </w:pBdr>
      </w:pPr>
      <w:r>
        <w:rPr>
          <w:rFonts w:ascii="Calibri" w:hAnsi="Calibri"/>
          <w:b/>
          <w:color w:val="000000"/>
          <w:sz w:val="27"/>
        </w:rPr>
        <w:t>10. Statutory &amp; Regulatory Compliance Framework</w:t>
      </w:r>
    </w:p>
    <w:p>
      <w:pPr>
        <w:pStyle w:val="ListBullet"/>
        <w:spacing w:before="0" w:after="40" w:line="276" w:lineRule="auto"/>
      </w:pPr>
      <w:r>
        <w:rPr>
          <w:rFonts w:ascii="Calibri" w:hAnsi="Calibri"/>
          <w:b/>
          <w:color w:val="111111"/>
          <w:sz w:val="19"/>
        </w:rPr>
        <w:t xml:space="preserve">1. CDSCO Medical Device Rules 2017 (Class B SaMD): </w:t>
      </w:r>
      <w:r>
        <w:rPr>
          <w:rFonts w:ascii="Calibri" w:hAnsi="Calibri"/>
          <w:color w:val="222222"/>
          <w:sz w:val="19"/>
        </w:rPr>
        <w:t>The OCR and plausibility engine is classified as a Clinical Decision Support System (CDSS). It does not initiate autonomous therapy. It enforces a strict Human-in-the-Loop Verification Protocol where extracted values must be validated by the clinician or patient before being committed to the electronic health record (EHR).</w:t>
      </w:r>
    </w:p>
    <w:p>
      <w:pPr>
        <w:pStyle w:val="ListBullet"/>
        <w:spacing w:before="0" w:after="40" w:line="276" w:lineRule="auto"/>
      </w:pPr>
      <w:r>
        <w:rPr>
          <w:rFonts w:ascii="Calibri" w:hAnsi="Calibri"/>
          <w:b/>
          <w:color w:val="111111"/>
          <w:sz w:val="19"/>
        </w:rPr>
        <w:t xml:space="preserve">2. Digital Personal Data Protection (DPDP) Act 2023 (§8 — Data Sovereignty): </w:t>
      </w:r>
      <w:r>
        <w:rPr>
          <w:rFonts w:ascii="Calibri" w:hAnsi="Calibri"/>
          <w:color w:val="222222"/>
          <w:sz w:val="19"/>
        </w:rPr>
        <w:t>All optical processing, binarization, neural recognition, and entity matching occur strictly on the local Raspberry Pi 5 node. No images, text buffers, or patient metadata are transmitted over external networks or stored on third-party cloud infrastructure.</w:t>
      </w:r>
    </w:p>
    <w:p>
      <w:pPr>
        <w:pStyle w:val="ListBullet"/>
        <w:spacing w:before="0" w:after="40" w:line="276" w:lineRule="auto"/>
      </w:pPr>
      <w:r>
        <w:rPr>
          <w:rFonts w:ascii="Calibri" w:hAnsi="Calibri"/>
          <w:b/>
          <w:color w:val="111111"/>
          <w:sz w:val="19"/>
        </w:rPr>
        <w:t xml:space="preserve">3. Bharatiya Sakshya Adhiniyam 2023 (§63 — Electronic Records Admissibility): </w:t>
      </w:r>
      <w:r>
        <w:rPr>
          <w:rFonts w:ascii="Calibri" w:hAnsi="Calibri"/>
          <w:color w:val="222222"/>
          <w:sz w:val="19"/>
        </w:rPr>
        <w:t>Every digitized document generates a cryptographic SHA-256 hash of the raw image, the extracted text, and all subsequent clinician edits. This metadata is chained into the local tamper-evident SQLite WAL audit log, ensuring full legal admissibility as electronic evidence.</w:t>
      </w:r>
    </w:p>
    <w:p>
      <w:pPr>
        <w:pStyle w:val="ListBullet"/>
        <w:spacing w:before="0" w:after="40" w:line="276" w:lineRule="auto"/>
      </w:pPr>
      <w:r>
        <w:rPr>
          <w:rFonts w:ascii="Calibri" w:hAnsi="Calibri"/>
          <w:b/>
          <w:color w:val="111111"/>
          <w:sz w:val="19"/>
        </w:rPr>
        <w:t xml:space="preserve">4. IEC 62304 / ISO 14971 Medical Device Risk Management: </w:t>
      </w:r>
      <w:r>
        <w:rPr>
          <w:rFonts w:ascii="Calibri" w:hAnsi="Calibri"/>
          <w:color w:val="222222"/>
          <w:sz w:val="19"/>
        </w:rPr>
        <w:t>Software failure modes (dropped decimals, unmapped substances, multi-page omissions) are identified, assigned risk priorities, and mitigated via automated software interlocks and explicit visual warning badges.</w:t>
      </w:r>
    </w:p>
    <w:p>
      <w:pPr>
        <w:keepNext/>
        <w:spacing w:before="320" w:after="80"/>
        <w:pBdr>
          <w:bottom w:val="single" w:sz="8" w:space="2" w:color="000000"/>
        </w:pBdr>
      </w:pPr>
      <w:r>
        <w:rPr>
          <w:rFonts w:ascii="Calibri" w:hAnsi="Calibri"/>
          <w:b/>
          <w:color w:val="000000"/>
          <w:sz w:val="27"/>
        </w:rPr>
        <w:t>11. Conclusion &amp; Document Sign-Off</w:t>
      </w:r>
    </w:p>
    <w:p>
      <w:pPr>
        <w:spacing w:before="0" w:after="80" w:line="276" w:lineRule="auto"/>
      </w:pPr>
      <w:r>
        <w:rPr>
          <w:rFonts w:ascii="Calibri" w:hAnsi="Calibri"/>
          <w:color w:val="222222"/>
          <w:sz w:val="19"/>
        </w:rPr>
        <w:t>The Sovereign Edge OCR &amp; Neural Vision Intelligence Subsystem bridges the gap between fragile paper-based clinical reality and secure digital healthcare. By combining Sauvola adaptive binarization, fast integral image mathematics, Damerau-Levenshtein pharmacopoeial matching, vernacular Devanagari translation, and physiological plausibility boundaries, this engine delivers an uncompromised, legally sound, and life-saving document intake experience on low-cost, sovereign edge hardware.</w:t>
      </w:r>
    </w:p>
    <w:tbl>
      <w:tblPr>
        <w:tblW w:type="auto" w:w="0"/>
        <w:jc w:val="center"/>
        <w:tblLook w:firstColumn="1" w:firstRow="1" w:lastColumn="0" w:lastRow="0" w:noHBand="0" w:noVBand="1" w:val="04A0"/>
        <w:tblW w:w="9740" w:type="dxa"/>
        <w:tblCellMar>
          <w:top w:w="120" w:type="dxa"/>
          <w:bottom w:w="120" w:type="dxa"/>
          <w:left w:w="140" w:type="dxa"/>
          <w:right w:w="140" w:type="dxa"/>
        </w:tblCellMar>
      </w:tblPr>
      <w:tblGrid>
        <w:gridCol w:w="5040"/>
        <w:gridCol w:w="5040"/>
      </w:tblGrid>
      <w:tr>
        <w:trPr>
          <w:cantSplit/>
          <w:tblHeader/>
        </w:trPr>
        <w:tc>
          <w:tcPr>
            <w:tcW w:type="dxa" w:w="3168"/>
            <w:vAlign w:val="center"/>
            <w:shd w:fill="EFEFE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b/>
                <w:color w:val="222222"/>
                <w:sz w:val="17"/>
              </w:rPr>
              <w:t>Document Identification</w:t>
            </w:r>
          </w:p>
        </w:tc>
        <w:tc>
          <w:tcPr>
            <w:tcW w:type="dxa" w:w="6581"/>
            <w:vAlign w:val="center"/>
            <w:shd w:fill="FFFFF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color w:val="333333"/>
                <w:sz w:val="17"/>
              </w:rPr>
              <w:t>AIIA-MEDIKIOSK-EDGE-OCR-SPEC-2026-V2</w:t>
            </w:r>
          </w:p>
        </w:tc>
      </w:tr>
      <w:tr>
        <w:trPr>
          <w:cantSplit/>
        </w:trPr>
        <w:tc>
          <w:tcPr>
            <w:tcW w:type="dxa" w:w="3168"/>
            <w:vAlign w:val="center"/>
            <w:shd w:fill="EFEFE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b/>
                <w:color w:val="222222"/>
                <w:sz w:val="17"/>
              </w:rPr>
              <w:t>Statutory Problem Statement ID</w:t>
            </w:r>
          </w:p>
        </w:tc>
        <w:tc>
          <w:tcPr>
            <w:tcW w:type="dxa" w:w="6581"/>
            <w:vAlign w:val="center"/>
            <w:shd w:fill="F6F6F6"/>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color w:val="333333"/>
                <w:sz w:val="17"/>
              </w:rPr>
              <w:t>26047 (Ministry of Ayush &amp; MoHFW, Govt. of India)</w:t>
            </w:r>
          </w:p>
        </w:tc>
      </w:tr>
      <w:tr>
        <w:trPr>
          <w:cantSplit/>
        </w:trPr>
        <w:tc>
          <w:tcPr>
            <w:tcW w:type="dxa" w:w="3168"/>
            <w:vAlign w:val="center"/>
            <w:shd w:fill="EFEFE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b/>
                <w:color w:val="222222"/>
                <w:sz w:val="17"/>
              </w:rPr>
              <w:t>Verification Battery Status</w:t>
            </w:r>
          </w:p>
        </w:tc>
        <w:tc>
          <w:tcPr>
            <w:tcW w:type="dxa" w:w="6581"/>
            <w:vAlign w:val="center"/>
            <w:shd w:fill="FFFFF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color w:val="333333"/>
                <w:sz w:val="17"/>
              </w:rPr>
              <w:t>VERIFIED &amp; AUDITED (Battery 20 &amp; Battery 19 Challenge 9)</w:t>
            </w:r>
          </w:p>
        </w:tc>
      </w:tr>
      <w:tr>
        <w:trPr>
          <w:cantSplit/>
        </w:trPr>
        <w:tc>
          <w:tcPr>
            <w:tcW w:type="dxa" w:w="3168"/>
            <w:vAlign w:val="center"/>
            <w:shd w:fill="EFEFE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b/>
                <w:color w:val="222222"/>
                <w:sz w:val="17"/>
              </w:rPr>
              <w:t>Software Implementation References</w:t>
            </w:r>
          </w:p>
        </w:tc>
        <w:tc>
          <w:tcPr>
            <w:tcW w:type="dxa" w:w="6581"/>
            <w:vAlign w:val="center"/>
            <w:shd w:fill="F6F6F6"/>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color w:val="333333"/>
                <w:sz w:val="17"/>
              </w:rPr>
              <w:t>backend/src/services/documentOCR.service.ts • Step6DocumentScanner.tsx</w:t>
            </w:r>
          </w:p>
        </w:tc>
      </w:tr>
      <w:tr>
        <w:trPr>
          <w:cantSplit/>
        </w:trPr>
        <w:tc>
          <w:tcPr>
            <w:tcW w:type="dxa" w:w="3168"/>
            <w:vAlign w:val="center"/>
            <w:shd w:fill="EFEFE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b/>
                <w:color w:val="222222"/>
                <w:sz w:val="17"/>
              </w:rPr>
              <w:t>Hardware Reference Target</w:t>
            </w:r>
          </w:p>
        </w:tc>
        <w:tc>
          <w:tcPr>
            <w:tcW w:type="dxa" w:w="6581"/>
            <w:vAlign w:val="center"/>
            <w:shd w:fill="FFFFFF"/>
            <w:tcBorders>
              <w:top w:val="single" w:sz="4" w:space="0" w:color="CCCCCC"/>
              <w:bottom w:val="single" w:sz="4" w:space="0" w:color="CCCCCC"/>
              <w:left w:val="single" w:sz="4" w:space="0" w:color="CCCCCC"/>
              <w:right w:val="single" w:sz="4" w:space="0" w:color="CCCCCC"/>
            </w:tcBorders>
          </w:tcPr>
          <w:p>
            <w:pPr>
              <w:spacing w:before="40" w:after="40"/>
            </w:pPr>
            <w:r>
              <w:rPr>
                <w:rFonts w:ascii="Calibri" w:hAnsi="Calibri"/>
                <w:color w:val="333333"/>
                <w:sz w:val="17"/>
              </w:rPr>
              <w:t>Raspberry Pi 5 (8GB) / BCM2712 Quad ARM Cortex-A76 (Turnkey BOM: ₹13,400)</w:t>
            </w:r>
          </w:p>
        </w:tc>
      </w:tr>
    </w:tbl>
    <w:sectPr w:rsidR="00FC693F" w:rsidRPr="0006063C" w:rsidSect="00034616">
      <w:headerReference w:type="default" r:id="rId9"/>
      <w:footerReference w:type="default" r:id="rId10"/>
      <w:pgSz w:w="12240" w:h="15840"/>
      <w:pgMar w:top="1152" w:right="1080" w:bottom="1152"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874"/>
      <w:gridCol w:w="4874"/>
    </w:tblGrid>
    <w:tr>
      <w:tc>
        <w:tcPr>
          <w:tcW w:type="dxa" w:w="6912"/>
          <w:tcBorders>
            <w:top w:val="single" w:sz="4" w:space="0" w:color="B0B0B0"/>
            <w:bottom w:val="none"/>
            <w:left w:val="none"/>
            <w:right w:val="none"/>
          </w:tcBorders>
        </w:tcPr>
        <w:p>
          <w:pPr>
            <w:spacing w:after="0" w:before="60"/>
          </w:pPr>
          <w:r>
            <w:rPr>
              <w:rFonts w:ascii="Calibri" w:hAnsi="Calibri"/>
              <w:b/>
              <w:color w:val="555555"/>
              <w:sz w:val="15"/>
            </w:rPr>
            <w:t>OFFICIAL TECHNICAL SPECIFICATION • MINISTRY OF AYUSH &amp; AIIA NEW DELHI • SIH 2026</w:t>
          </w:r>
        </w:p>
      </w:tc>
      <w:tc>
        <w:tcPr>
          <w:tcW w:type="dxa" w:w="2837"/>
          <w:tcBorders>
            <w:top w:val="single" w:sz="4" w:space="0" w:color="B0B0B0"/>
            <w:bottom w:val="none"/>
            <w:left w:val="none"/>
            <w:right w:val="none"/>
          </w:tcBorders>
        </w:tcPr>
        <w:p>
          <w:pPr>
            <w:spacing w:after="0" w:before="60"/>
            <w:jc w:val="right"/>
          </w:pPr>
          <w:r>
            <w:rPr>
              <w:rFonts w:ascii="Calibri" w:hAnsi="Calibri"/>
              <w:color w:val="555555"/>
              <w:sz w:val="16"/>
            </w:rPr>
            <w:t xml:space="preserve">Page </w:t>
          </w:r>
          <w:fldSimple w:instr="PAGE">
            <w:r>
              <w:rPr>
                <w:rFonts w:ascii="Calibri" w:hAnsi="Calibri"/>
                <w:sz w:val="16"/>
                <w:color w:val="555555"/>
              </w:rPr>
              <w:t>1</w:t>
            </w:r>
          </w:fldSimple>
          <w:r>
            <w:rPr>
              <w:rFonts w:ascii="Calibri" w:hAnsi="Calibri"/>
              <w:color w:val="555555"/>
              <w:sz w:val="16"/>
            </w:rPr>
            <w:t xml:space="preserve"> of </w:t>
          </w:r>
          <w:fldSimple w:instr="NUMPAGES">
            <w:r>
              <w:rPr>
                <w:rFonts w:ascii="Calibri" w:hAnsi="Calibri"/>
                <w:sz w:val="16"/>
                <w:color w:val="555555"/>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874"/>
      <w:gridCol w:w="4874"/>
    </w:tblGrid>
    <w:tr>
      <w:tc>
        <w:tcPr>
          <w:tcW w:type="dxa" w:w="6480"/>
          <w:tcBorders>
            <w:top w:val="none"/>
            <w:bottom w:val="single" w:sz="4" w:space="0" w:color="B0B0B0"/>
            <w:left w:val="none"/>
            <w:right w:val="none"/>
          </w:tcBorders>
        </w:tcPr>
        <w:p>
          <w:pPr>
            <w:spacing w:after="40" w:before="0"/>
          </w:pPr>
          <w:r>
            <w:rPr>
              <w:rFonts w:ascii="Calibri" w:hAnsi="Calibri"/>
              <w:b/>
              <w:color w:val="444444"/>
              <w:sz w:val="16"/>
            </w:rPr>
            <w:t>AIIA Sovereign MediKiosk • Edge OCR &amp; Neural Vision Specification</w:t>
          </w:r>
        </w:p>
      </w:tc>
      <w:tc>
        <w:tcPr>
          <w:tcW w:type="dxa" w:w="3269"/>
          <w:tcBorders>
            <w:top w:val="none"/>
            <w:bottom w:val="single" w:sz="4" w:space="0" w:color="B0B0B0"/>
            <w:left w:val="none"/>
            <w:right w:val="none"/>
          </w:tcBorders>
        </w:tcPr>
        <w:p>
          <w:pPr>
            <w:spacing w:after="40" w:before="0"/>
            <w:jc w:val="right"/>
          </w:pPr>
          <w:r>
            <w:rPr>
              <w:rFonts w:ascii="Calibri" w:hAnsi="Calibri"/>
              <w:color w:val="666666"/>
              <w:sz w:val="16"/>
            </w:rPr>
            <w:t>PS ID: 26047 • Technical Spec</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