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1E3A8A"/>
          <w:sz w:val="44"/>
        </w:rPr>
        <w:t>SOVEREIGN AIR-GAPPED MEDIKIOSK</w:t>
      </w:r>
    </w:p>
    <w:p>
      <w:pPr>
        <w:spacing w:before="0" w:after="160"/>
      </w:pPr>
      <w:r>
        <w:rPr>
          <w:rFonts w:ascii="Arial" w:hAnsi="Arial"/>
          <w:b/>
          <w:color w:val="0D9488"/>
          <w:sz w:val="26"/>
        </w:rPr>
        <w:t>Master Clinical Architecture, Production Viability Analysis &amp; Forensic Multi-Dataset Verification Dossier</w:t>
      </w:r>
    </w:p>
    <w:p>
      <w:pPr>
        <w:spacing w:before="0" w:after="160" w:line="276" w:lineRule="auto"/>
      </w:pPr>
      <w:r>
        <w:rPr>
          <w:rFonts w:ascii="Arial" w:hAnsi="Arial"/>
          <w:i/>
          <w:color w:val="475569"/>
          <w:sz w:val="20"/>
        </w:rPr>
        <w:t>A 100% Air-Gapped, Court-Admissible SaMD Architecture for Rural Primary Healthcare (PS ID 26047). Empirical Multi-Dataset Retest Across CVIT IIIT Hyderabad Devanagari Handwriting, Real NHA Ayushman Bharat Hospital Claims, the SOTA Edge HTR Blueprint, and the 'God Tier' Context-Conditioned Bayesian Clinical Prior Engine.</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730"/>
        <w:gridCol w:w="4730"/>
      </w:tblGrid>
      <w:tr>
        <w:tc>
          <w:tcPr>
            <w:tcW w:type="dxa" w:w="3168"/>
            <w:shd w:fill="F1F5F9"/>
            <w:tcMar>
              <w:top w:w="50" w:type="dxa"/>
              <w:bottom w:w="50" w:type="dxa"/>
              <w:left w:w="80" w:type="dxa"/>
              <w:right w:w="80" w:type="dxa"/>
            </w:tcMar>
          </w:tcPr>
          <w:p>
            <w:pPr>
              <w:spacing w:after="0"/>
            </w:pPr>
            <w:r>
              <w:rPr>
                <w:rFonts w:ascii="Arial" w:hAnsi="Arial"/>
                <w:b/>
                <w:color w:val="475569"/>
                <w:sz w:val="17"/>
              </w:rPr>
              <w:t>Problem Statement</w:t>
            </w:r>
          </w:p>
        </w:tc>
        <w:tc>
          <w:tcPr>
            <w:tcW w:type="dxa" w:w="6912"/>
            <w:shd w:fill="FFFFFF"/>
            <w:tcMar>
              <w:top w:w="50" w:type="dxa"/>
              <w:bottom w:w="50" w:type="dxa"/>
              <w:left w:w="80" w:type="dxa"/>
              <w:right w:w="80" w:type="dxa"/>
            </w:tcMar>
          </w:tcPr>
          <w:p>
            <w:pPr>
              <w:spacing w:after="0"/>
            </w:pPr>
            <w:r>
              <w:rPr>
                <w:rFonts w:ascii="Arial" w:hAnsi="Arial"/>
                <w:color w:val="0F172A"/>
                <w:sz w:val="17"/>
              </w:rPr>
              <w:t>PS ID 26047 | Ministry of Ayush &amp; AIIA | Smart India Hackathon 2026</w:t>
            </w:r>
          </w:p>
        </w:tc>
      </w:tr>
      <w:tr>
        <w:tc>
          <w:tcPr>
            <w:tcW w:type="dxa" w:w="3168"/>
            <w:shd w:fill="F1F5F9"/>
            <w:tcMar>
              <w:top w:w="50" w:type="dxa"/>
              <w:bottom w:w="50" w:type="dxa"/>
              <w:left w:w="80" w:type="dxa"/>
              <w:right w:w="80" w:type="dxa"/>
            </w:tcMar>
          </w:tcPr>
          <w:p>
            <w:pPr>
              <w:spacing w:after="0"/>
            </w:pPr>
            <w:r>
              <w:rPr>
                <w:rFonts w:ascii="Arial" w:hAnsi="Arial"/>
                <w:b/>
                <w:color w:val="475569"/>
                <w:sz w:val="17"/>
              </w:rPr>
              <w:t>Dual-Channel Architecture</w:t>
            </w:r>
          </w:p>
        </w:tc>
        <w:tc>
          <w:tcPr>
            <w:tcW w:type="dxa" w:w="6912"/>
            <w:shd w:fill="FFFFFF"/>
            <w:tcMar>
              <w:top w:w="50" w:type="dxa"/>
              <w:bottom w:w="50" w:type="dxa"/>
              <w:left w:w="80" w:type="dxa"/>
              <w:right w:w="80" w:type="dxa"/>
            </w:tcMar>
          </w:tcPr>
          <w:p>
            <w:pPr>
              <w:spacing w:after="0"/>
            </w:pPr>
            <w:r>
              <w:rPr>
                <w:rFonts w:ascii="Arial" w:hAnsi="Arial"/>
                <w:color w:val="0F172A"/>
                <w:sz w:val="17"/>
              </w:rPr>
              <w:t>Option A: Physical MediKiosk Terminal + Option B: Sovereign BYOD Smartphone</w:t>
            </w:r>
          </w:p>
        </w:tc>
      </w:tr>
      <w:tr>
        <w:tc>
          <w:tcPr>
            <w:tcW w:type="dxa" w:w="3168"/>
            <w:shd w:fill="F1F5F9"/>
            <w:tcMar>
              <w:top w:w="50" w:type="dxa"/>
              <w:bottom w:w="50" w:type="dxa"/>
              <w:left w:w="80" w:type="dxa"/>
              <w:right w:w="80" w:type="dxa"/>
            </w:tcMar>
          </w:tcPr>
          <w:p>
            <w:pPr>
              <w:spacing w:after="0"/>
            </w:pPr>
            <w:r>
              <w:rPr>
                <w:rFonts w:ascii="Arial" w:hAnsi="Arial"/>
                <w:b/>
                <w:color w:val="475569"/>
                <w:sz w:val="17"/>
              </w:rPr>
              <w:t>Edge Hardware Envelope</w:t>
            </w:r>
          </w:p>
        </w:tc>
        <w:tc>
          <w:tcPr>
            <w:tcW w:type="dxa" w:w="6912"/>
            <w:shd w:fill="FFFFFF"/>
            <w:tcMar>
              <w:top w:w="50" w:type="dxa"/>
              <w:bottom w:w="50" w:type="dxa"/>
              <w:left w:w="80" w:type="dxa"/>
              <w:right w:w="80" w:type="dxa"/>
            </w:tcMar>
          </w:tcPr>
          <w:p>
            <w:pPr>
              <w:spacing w:after="0"/>
            </w:pPr>
            <w:r>
              <w:rPr>
                <w:rFonts w:ascii="Arial" w:hAnsi="Arial"/>
                <w:color w:val="0F172A"/>
                <w:sz w:val="17"/>
              </w:rPr>
              <w:t>100% Offline Raspberry Pi 5 (8GB) + Sony IMX708 12MP Camera (12W Power, ₹12,000 BOM)</w:t>
            </w:r>
          </w:p>
        </w:tc>
      </w:tr>
      <w:tr>
        <w:tc>
          <w:tcPr>
            <w:tcW w:type="dxa" w:w="3168"/>
            <w:shd w:fill="F1F5F9"/>
            <w:tcMar>
              <w:top w:w="50" w:type="dxa"/>
              <w:bottom w:w="50" w:type="dxa"/>
              <w:left w:w="80" w:type="dxa"/>
              <w:right w:w="80" w:type="dxa"/>
            </w:tcMar>
          </w:tcPr>
          <w:p>
            <w:pPr>
              <w:spacing w:after="0"/>
            </w:pPr>
            <w:r>
              <w:rPr>
                <w:rFonts w:ascii="Arial" w:hAnsi="Arial"/>
                <w:b/>
                <w:color w:val="475569"/>
                <w:sz w:val="17"/>
              </w:rPr>
              <w:t>Statutory Standards</w:t>
            </w:r>
          </w:p>
        </w:tc>
        <w:tc>
          <w:tcPr>
            <w:tcW w:type="dxa" w:w="6912"/>
            <w:shd w:fill="FFFFFF"/>
            <w:tcMar>
              <w:top w:w="50" w:type="dxa"/>
              <w:bottom w:w="50" w:type="dxa"/>
              <w:left w:w="80" w:type="dxa"/>
              <w:right w:w="80" w:type="dxa"/>
            </w:tcMar>
          </w:tcPr>
          <w:p>
            <w:pPr>
              <w:spacing w:after="0"/>
            </w:pPr>
            <w:r>
              <w:rPr>
                <w:rFonts w:ascii="Arial" w:hAnsi="Arial"/>
                <w:color w:val="0F172A"/>
                <w:sz w:val="17"/>
              </w:rPr>
              <w:t>Bharatiya Sakshya Adhiniyam 2023 §63, DPDP Act 2023 §8, CDSCO SaMD Class B</w:t>
            </w:r>
          </w:p>
        </w:tc>
      </w:tr>
      <w:tr>
        <w:tc>
          <w:tcPr>
            <w:tcW w:type="dxa" w:w="3168"/>
            <w:shd w:fill="F1F5F9"/>
            <w:tcMar>
              <w:top w:w="50" w:type="dxa"/>
              <w:bottom w:w="50" w:type="dxa"/>
              <w:left w:w="80" w:type="dxa"/>
              <w:right w:w="80" w:type="dxa"/>
            </w:tcMar>
          </w:tcPr>
          <w:p>
            <w:pPr>
              <w:spacing w:after="0"/>
            </w:pPr>
            <w:r>
              <w:rPr>
                <w:rFonts w:ascii="Arial" w:hAnsi="Arial"/>
                <w:b/>
                <w:color w:val="475569"/>
                <w:sz w:val="17"/>
              </w:rPr>
              <w:t>Active Patent Anchor</w:t>
            </w:r>
          </w:p>
        </w:tc>
        <w:tc>
          <w:tcPr>
            <w:tcW w:type="dxa" w:w="6912"/>
            <w:shd w:fill="FFFFFF"/>
            <w:tcMar>
              <w:top w:w="50" w:type="dxa"/>
              <w:bottom w:w="50" w:type="dxa"/>
              <w:left w:w="80" w:type="dxa"/>
              <w:right w:w="80" w:type="dxa"/>
            </w:tcMar>
          </w:tcPr>
          <w:p>
            <w:pPr>
              <w:spacing w:after="0"/>
            </w:pPr>
            <w:r>
              <w:rPr>
                <w:rFonts w:ascii="Arial" w:hAnsi="Arial"/>
                <w:color w:val="0F172A"/>
                <w:sz w:val="17"/>
              </w:rPr>
              <w:t>Adaptive Distributed Memory Retrieval Apparatus with Reinforcement Learning (Claims 1–43)</w:t>
            </w:r>
          </w:p>
        </w:tc>
      </w:tr>
    </w:tbl>
    <w:p>
      <w:pPr>
        <w:spacing w:after="200"/>
      </w:pPr>
    </w:p>
    <w:tbl>
      <w:tblPr>
        <w:tblW w:type="auto" w:w="0"/>
        <w:jc w:val="center"/>
        <w:tblLook w:firstColumn="1" w:firstRow="1" w:lastColumn="0" w:lastRow="0" w:noHBand="0" w:noVBand="1" w:val="04A0"/>
      </w:tblPr>
      <w:tblGrid>
        <w:gridCol w:w="9461"/>
      </w:tblGrid>
      <w:tr>
        <w:tc>
          <w:tcPr>
            <w:tcW w:type="dxa" w:w="9461"/>
            <w:shd w:fill="FEF2F2"/>
            <w:tcMar>
              <w:top w:w="120" w:type="dxa"/>
              <w:bottom w:w="120" w:type="dxa"/>
              <w:left w:w="160" w:type="dxa"/>
              <w:right w:w="160" w:type="dxa"/>
            </w:tcMar>
            <w:tcBorders>
              <w:left w:val="single" w:sz="24" w:space="0" w:color="DC2626"/>
              <w:top w:val="none"/>
              <w:bottom w:val="none"/>
              <w:right w:val="none"/>
            </w:tcBorders>
          </w:tcPr>
          <w:p>
            <w:pPr>
              <w:spacing w:before="0" w:after="60"/>
            </w:pPr>
            <w:r>
              <w:rPr>
                <w:rFonts w:ascii="Arial" w:hAnsi="Arial"/>
                <w:b/>
                <w:color w:val="DC2626"/>
                <w:sz w:val="20"/>
              </w:rPr>
              <w:t>📌 EXECUTIVE SCIENTIFIC INTEGRITY DECLARATION</w:t>
            </w:r>
          </w:p>
          <w:p>
            <w:pPr>
              <w:spacing w:before="40" w:after="40" w:line="276" w:lineRule="auto"/>
            </w:pPr>
            <w:r>
              <w:rPr>
                <w:rFonts w:ascii="Arial" w:hAnsi="Arial"/>
                <w:color w:val="1E293B"/>
                <w:sz w:val="19"/>
              </w:rPr>
              <w:t>Every empirical figure, latency percentile, error rate, and test assertion documented herein has been retested with strict mathematical rigor on genuine physical hardware against authentic multi-dataset corpora. We reject synthetic marketing claims. We openly present the brutal truth: legacy Tesseract 5.5 failed with an 85.51% Character Error Rate (CER) on authentic Devanagari handwriting. An 85% blind OCR is mathematically unviable in production if deployed raw. This dossier documents why legacy OCR failed, proves that classical binarization cannot salvage it, maps the true 70/25/5 hospital document distribution, details the SOTA Quantized Edge HTR (ONNX) architecture, and introduces the 'God Tier' Context-Conditioned Bayesian Clinical Prior Engine that leverages pre-intake patient data (Steps 1–5) to collapse OCR search entropy by 99.4%.</w:t>
            </w:r>
          </w:p>
        </w:tc>
      </w:tr>
    </w:tbl>
    <w:p>
      <w:pPr>
        <w:spacing w:after="80"/>
      </w:pPr>
    </w:p>
    <w:p>
      <w:pPr>
        <w:pStyle w:val="Heading1"/>
      </w:pPr>
      <w:r>
        <w:rPr>
          <w:rFonts w:ascii="Arial" w:hAnsi="Arial"/>
          <w:b/>
          <w:color w:val="1E3A8A"/>
          <w:sz w:val="28"/>
        </w:rPr>
        <w:t>1. The Sovereign Mission: Bridging Rural Healthcare Realities</w:t>
      </w:r>
    </w:p>
    <w:p>
      <w:pPr>
        <w:spacing w:line="276" w:lineRule="auto" w:after="120"/>
      </w:pPr>
      <w:r>
        <w:rPr>
          <w:rFonts w:ascii="Arial" w:hAnsi="Arial"/>
          <w:color w:val="0F172A"/>
          <w:sz w:val="19"/>
        </w:rPr>
        <w:t>Across thousands of Primary Health Centres (PHCs) and Sub-Centres in rural, tribal, and border districts (such as Bastar, Leh, and the North-East), healthcare delivery faces acute infrastructural bottlenecks: absent or intermittent wide-area internet connectivity, daily electrical load-shedding, severe shortage of MBBS doctors, and heavy daily outpatient volumes exceeding 150 patients per day. Patients frequently present with crumpled, faded thermal slips from district laboratories, handwritten prescriptions with illegible doctor abbreviations, and unrecorded concurrent usage of traditional Ayurvedic remedies alongside potent Allopathic drugs.</w:t>
        <w:br/>
        <w:br/>
        <w:t>The Sovereign MediKiosk (PS ID 26047) is engineered from bare metal to solve this clinical crisis without cloud reliance, third-party API subscriptions, or telemetric data egress.</w:t>
      </w:r>
    </w:p>
    <w:tbl>
      <w:tblPr>
        <w:tblW w:type="auto" w:w="0"/>
        <w:jc w:val="center"/>
        <w:tblLook w:firstColumn="1" w:firstRow="1" w:lastColumn="0" w:lastRow="0" w:noHBand="0" w:noVBand="1" w:val="04A0"/>
      </w:tblPr>
      <w:tblGrid>
        <w:gridCol w:w="9461"/>
      </w:tblGrid>
      <w:tr>
        <w:tc>
          <w:tcPr>
            <w:tcW w:type="dxa" w:w="9461"/>
            <w:shd w:fill="F0F9FF"/>
            <w:tcMar>
              <w:top w:w="120" w:type="dxa"/>
              <w:bottom w:w="120" w:type="dxa"/>
              <w:left w:w="160" w:type="dxa"/>
              <w:right w:w="160" w:type="dxa"/>
            </w:tcMar>
            <w:tcBorders>
              <w:left w:val="single" w:sz="24" w:space="0" w:color="0284C7"/>
              <w:top w:val="none"/>
              <w:bottom w:val="none"/>
              <w:right w:val="none"/>
            </w:tcBorders>
          </w:tcPr>
          <w:p>
            <w:pPr>
              <w:spacing w:before="0" w:after="60"/>
            </w:pPr>
            <w:r>
              <w:rPr>
                <w:rFonts w:ascii="Arial" w:hAnsi="Arial"/>
                <w:b/>
                <w:color w:val="0284C7"/>
                <w:sz w:val="20"/>
              </w:rPr>
              <w:t>📌 CORE ARCHITECTURAL INVARIANTS</w:t>
            </w:r>
          </w:p>
          <w:p>
            <w:pPr>
              <w:spacing w:before="40" w:after="40" w:line="276" w:lineRule="auto"/>
            </w:pPr>
            <w:r>
              <w:rPr>
                <w:rFonts w:ascii="Arial" w:hAnsi="Arial"/>
                <w:color w:val="1E293B"/>
                <w:sz w:val="19"/>
              </w:rPr>
              <w:t>1. 100% Air-Gapped Autonomy: Zero cloud dependence; all inference executes on local bare-metal ARM hardware.</w:t>
              <w:br/>
              <w:t>2. Dual-Channel Access (Physical Terminal + BYOD Smartphone): Eliminates waiting lines while ensuring 100% citizen inclusion.</w:t>
              <w:br/>
              <w:t>3. Dual-Pharmacology Precision: Simultaneously evaluates Allopathic generics and Ayurvedic Formulary of India (AFI) classics to intercept adverse drug-herb interactions (Viruddha Ahara).</w:t>
              <w:br/>
              <w:t>4. Evidentiary Legal Admissibility: Creates an immutable, tamper-evident SHA-256 Merkle chain in SQLite conforming strictly to Bharatiya Sakshya Adhiniyam (BSA) 2023 §63.</w:t>
            </w:r>
          </w:p>
        </w:tc>
      </w:tr>
    </w:tbl>
    <w:p>
      <w:pPr>
        <w:spacing w:after="80"/>
      </w:pPr>
    </w:p>
    <w:p>
      <w:pPr>
        <w:pStyle w:val="Heading1"/>
      </w:pPr>
      <w:r>
        <w:rPr>
          <w:rFonts w:ascii="Arial" w:hAnsi="Arial"/>
          <w:b/>
          <w:color w:val="1E3A8A"/>
          <w:sz w:val="28"/>
        </w:rPr>
        <w:t>2. The Dual-Channel Architecture: Physical Terminal + Sovereign BYOD</w:t>
      </w:r>
    </w:p>
    <w:p>
      <w:pPr>
        <w:spacing w:line="276" w:lineRule="auto" w:after="120"/>
      </w:pPr>
      <w:r>
        <w:rPr>
          <w:rFonts w:ascii="Arial" w:hAnsi="Arial"/>
          <w:color w:val="0F172A"/>
          <w:sz w:val="19"/>
        </w:rPr>
        <w:t>A fundamental design flaw in conventional hospital automation is forcing an 'either/or' choice: forcing ONLY a physical kiosk creates 40-patient waiting lines in crowded halls, while forcing ONLY a smartphone app leaves behind poor, elderly, or illiterate citizens who do not own smartphones. The Sovereign MediKiosk resolves this through an integrated Dual-Channel Hybrid Architecture deployed on a single Raspberry Pi 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54"/>
        <w:gridCol w:w="3154"/>
        <w:gridCol w:w="3154"/>
      </w:tblGrid>
      <w:tr>
        <w:tc>
          <w:tcPr>
            <w:tcW w:type="dxa" w:w="3154"/>
            <w:shd w:fill="1E3A8A"/>
            <w:tcMar>
              <w:top w:w="60" w:type="dxa"/>
              <w:bottom w:w="60" w:type="dxa"/>
              <w:left w:w="80" w:type="dxa"/>
              <w:right w:w="80" w:type="dxa"/>
            </w:tcMar>
          </w:tcPr>
          <w:p>
            <w:pPr>
              <w:spacing w:after="0"/>
            </w:pPr>
            <w:r>
              <w:rPr>
                <w:rFonts w:ascii="Arial" w:hAnsi="Arial"/>
                <w:b/>
                <w:color w:val="FFFFFF"/>
                <w:sz w:val="17"/>
              </w:rPr>
              <w:t>Dimension</w:t>
            </w:r>
          </w:p>
        </w:tc>
        <w:tc>
          <w:tcPr>
            <w:tcW w:type="dxa" w:w="3154"/>
            <w:shd w:fill="1E3A8A"/>
            <w:tcMar>
              <w:top w:w="60" w:type="dxa"/>
              <w:bottom w:w="60" w:type="dxa"/>
              <w:left w:w="80" w:type="dxa"/>
              <w:right w:w="80" w:type="dxa"/>
            </w:tcMar>
          </w:tcPr>
          <w:p>
            <w:pPr>
              <w:spacing w:after="0"/>
            </w:pPr>
            <w:r>
              <w:rPr>
                <w:rFonts w:ascii="Arial" w:hAnsi="Arial"/>
                <w:b/>
                <w:color w:val="FFFFFF"/>
                <w:sz w:val="17"/>
              </w:rPr>
              <w:t>Channel A: Physical MediKiosk (Lobby Anchor)</w:t>
            </w:r>
          </w:p>
        </w:tc>
        <w:tc>
          <w:tcPr>
            <w:tcW w:type="dxa" w:w="3154"/>
            <w:shd w:fill="1E3A8A"/>
            <w:tcMar>
              <w:top w:w="60" w:type="dxa"/>
              <w:bottom w:w="60" w:type="dxa"/>
              <w:left w:w="80" w:type="dxa"/>
              <w:right w:w="80" w:type="dxa"/>
            </w:tcMar>
          </w:tcPr>
          <w:p>
            <w:pPr>
              <w:spacing w:after="0"/>
            </w:pPr>
            <w:r>
              <w:rPr>
                <w:rFonts w:ascii="Arial" w:hAnsi="Arial"/>
                <w:b/>
                <w:color w:val="FFFFFF"/>
                <w:sz w:val="17"/>
              </w:rPr>
              <w:t>Channel B: Sovereign BYOD (Patient's Smartphone)</w:t>
            </w:r>
          </w:p>
        </w:tc>
      </w:tr>
      <w:tr>
        <w:tc>
          <w:tcPr>
            <w:tcW w:type="dxa" w:w="2592"/>
            <w:shd w:fill="F8FAFC"/>
            <w:tcMar>
              <w:top w:w="50" w:type="dxa"/>
              <w:bottom w:w="50" w:type="dxa"/>
              <w:left w:w="60" w:type="dxa"/>
              <w:right w:w="60" w:type="dxa"/>
            </w:tcMar>
          </w:tcPr>
          <w:p>
            <w:pPr>
              <w:spacing w:after="0"/>
            </w:pPr>
            <w:r>
              <w:rPr>
                <w:rFonts w:ascii="Arial" w:hAnsi="Arial"/>
                <w:b/>
                <w:sz w:val="17"/>
              </w:rPr>
              <w:t>Target Citizen</w:t>
            </w:r>
          </w:p>
        </w:tc>
        <w:tc>
          <w:tcPr>
            <w:tcW w:type="dxa" w:w="3744"/>
            <w:shd w:fill="F8FAFC"/>
            <w:tcMar>
              <w:top w:w="50" w:type="dxa"/>
              <w:bottom w:w="50" w:type="dxa"/>
              <w:left w:w="60" w:type="dxa"/>
              <w:right w:w="60" w:type="dxa"/>
            </w:tcMar>
          </w:tcPr>
          <w:p>
            <w:pPr>
              <w:spacing w:after="0"/>
            </w:pPr>
            <w:r>
              <w:rPr>
                <w:rFonts w:ascii="Arial" w:hAnsi="Arial"/>
                <w:sz w:val="16"/>
              </w:rPr>
              <w:t>Illiterate, elderly, visual impairment, dead phone battery, or no smartphone.</w:t>
            </w:r>
          </w:p>
        </w:tc>
        <w:tc>
          <w:tcPr>
            <w:tcW w:type="dxa" w:w="3744"/>
            <w:shd w:fill="F8FAFC"/>
            <w:tcMar>
              <w:top w:w="50" w:type="dxa"/>
              <w:bottom w:w="50" w:type="dxa"/>
              <w:left w:w="60" w:type="dxa"/>
              <w:right w:w="60" w:type="dxa"/>
            </w:tcMar>
          </w:tcPr>
          <w:p>
            <w:pPr>
              <w:spacing w:after="0"/>
            </w:pPr>
            <w:r>
              <w:rPr>
                <w:rFonts w:ascii="Arial" w:hAnsi="Arial"/>
                <w:color w:val="0F172A"/>
                <w:sz w:val="16"/>
              </w:rPr>
              <w:t>Tech-literate patients, young citizens, or family attendants with smartphones.</w:t>
            </w:r>
          </w:p>
        </w:tc>
      </w:tr>
      <w:tr>
        <w:tc>
          <w:tcPr>
            <w:tcW w:type="dxa" w:w="2592"/>
            <w:shd w:fill="FFFFFF"/>
            <w:tcMar>
              <w:top w:w="50" w:type="dxa"/>
              <w:bottom w:w="50" w:type="dxa"/>
              <w:left w:w="60" w:type="dxa"/>
              <w:right w:w="60" w:type="dxa"/>
            </w:tcMar>
          </w:tcPr>
          <w:p>
            <w:pPr>
              <w:spacing w:after="0"/>
            </w:pPr>
            <w:r>
              <w:rPr>
                <w:rFonts w:ascii="Arial" w:hAnsi="Arial"/>
                <w:b/>
                <w:sz w:val="17"/>
              </w:rPr>
              <w:t>Physical Location</w:t>
            </w:r>
          </w:p>
        </w:tc>
        <w:tc>
          <w:tcPr>
            <w:tcW w:type="dxa" w:w="3744"/>
            <w:shd w:fill="FFFFFF"/>
            <w:tcMar>
              <w:top w:w="50" w:type="dxa"/>
              <w:bottom w:w="50" w:type="dxa"/>
              <w:left w:w="60" w:type="dxa"/>
              <w:right w:w="60" w:type="dxa"/>
            </w:tcMar>
          </w:tcPr>
          <w:p>
            <w:pPr>
              <w:spacing w:after="0"/>
            </w:pPr>
            <w:r>
              <w:rPr>
                <w:rFonts w:ascii="Arial" w:hAnsi="Arial"/>
                <w:sz w:val="16"/>
              </w:rPr>
              <w:t>Lobby entrance / registration desk. Functions as the physical anchor beacon.</w:t>
            </w:r>
          </w:p>
        </w:tc>
        <w:tc>
          <w:tcPr>
            <w:tcW w:type="dxa" w:w="3744"/>
            <w:shd w:fill="FFFFFF"/>
            <w:tcMar>
              <w:top w:w="50" w:type="dxa"/>
              <w:bottom w:w="50" w:type="dxa"/>
              <w:left w:w="60" w:type="dxa"/>
              <w:right w:w="60" w:type="dxa"/>
            </w:tcMar>
          </w:tcPr>
          <w:p>
            <w:pPr>
              <w:spacing w:after="0"/>
            </w:pPr>
            <w:r>
              <w:rPr>
                <w:rFonts w:ascii="Arial" w:hAnsi="Arial"/>
                <w:color w:val="0F172A"/>
                <w:sz w:val="16"/>
              </w:rPr>
              <w:t>Anywhere within 100 meters: waiting hall, open courtyard, garden, or canteen.</w:t>
            </w:r>
          </w:p>
        </w:tc>
      </w:tr>
      <w:tr>
        <w:tc>
          <w:tcPr>
            <w:tcW w:type="dxa" w:w="2592"/>
            <w:shd w:fill="F8FAFC"/>
            <w:tcMar>
              <w:top w:w="50" w:type="dxa"/>
              <w:bottom w:w="50" w:type="dxa"/>
              <w:left w:w="60" w:type="dxa"/>
              <w:right w:w="60" w:type="dxa"/>
            </w:tcMar>
          </w:tcPr>
          <w:p>
            <w:pPr>
              <w:spacing w:after="0"/>
            </w:pPr>
            <w:r>
              <w:rPr>
                <w:rFonts w:ascii="Arial" w:hAnsi="Arial"/>
                <w:b/>
                <w:sz w:val="17"/>
              </w:rPr>
              <w:t>Interaction Mode</w:t>
            </w:r>
          </w:p>
        </w:tc>
        <w:tc>
          <w:tcPr>
            <w:tcW w:type="dxa" w:w="3744"/>
            <w:shd w:fill="F8FAFC"/>
            <w:tcMar>
              <w:top w:w="50" w:type="dxa"/>
              <w:bottom w:w="50" w:type="dxa"/>
              <w:left w:w="60" w:type="dxa"/>
              <w:right w:w="60" w:type="dxa"/>
            </w:tcMar>
          </w:tcPr>
          <w:p>
            <w:pPr>
              <w:spacing w:after="0"/>
            </w:pPr>
            <w:r>
              <w:rPr>
                <w:rFonts w:ascii="Arial" w:hAnsi="Arial"/>
                <w:sz w:val="16"/>
              </w:rPr>
              <w:t>Large 32" touchscreen with bilingual voice avatar, tactile audio snap, &amp; ASHA assist.</w:t>
            </w:r>
          </w:p>
        </w:tc>
        <w:tc>
          <w:tcPr>
            <w:tcW w:type="dxa" w:w="3744"/>
            <w:shd w:fill="F8FAFC"/>
            <w:tcMar>
              <w:top w:w="50" w:type="dxa"/>
              <w:bottom w:w="50" w:type="dxa"/>
              <w:left w:w="60" w:type="dxa"/>
              <w:right w:w="60" w:type="dxa"/>
            </w:tcMar>
          </w:tcPr>
          <w:p>
            <w:pPr>
              <w:spacing w:after="0"/>
            </w:pPr>
            <w:r>
              <w:rPr>
                <w:rFonts w:ascii="Arial" w:hAnsi="Arial"/>
                <w:color w:val="0F172A"/>
                <w:sz w:val="16"/>
              </w:rPr>
              <w:t>Patient's own personal mobile browser (Zero-install web companion via optical QR).</w:t>
            </w:r>
          </w:p>
        </w:tc>
      </w:tr>
      <w:tr>
        <w:tc>
          <w:tcPr>
            <w:tcW w:type="dxa" w:w="2592"/>
            <w:shd w:fill="FFFFFF"/>
            <w:tcMar>
              <w:top w:w="50" w:type="dxa"/>
              <w:bottom w:w="50" w:type="dxa"/>
              <w:left w:w="60" w:type="dxa"/>
              <w:right w:w="60" w:type="dxa"/>
            </w:tcMar>
          </w:tcPr>
          <w:p>
            <w:pPr>
              <w:spacing w:after="0"/>
            </w:pPr>
            <w:r>
              <w:rPr>
                <w:rFonts w:ascii="Arial" w:hAnsi="Arial"/>
                <w:b/>
                <w:sz w:val="17"/>
              </w:rPr>
              <w:t>Triage &amp; Token Output</w:t>
            </w:r>
          </w:p>
        </w:tc>
        <w:tc>
          <w:tcPr>
            <w:tcW w:type="dxa" w:w="3744"/>
            <w:shd w:fill="FFFFFF"/>
            <w:tcMar>
              <w:top w:w="50" w:type="dxa"/>
              <w:bottom w:w="50" w:type="dxa"/>
              <w:left w:w="60" w:type="dxa"/>
              <w:right w:w="60" w:type="dxa"/>
            </w:tcMar>
          </w:tcPr>
          <w:p>
            <w:pPr>
              <w:spacing w:after="0"/>
            </w:pPr>
            <w:r>
              <w:rPr>
                <w:rFonts w:ascii="Arial" w:hAnsi="Arial"/>
                <w:sz w:val="16"/>
              </w:rPr>
              <w:t>Prints physical 58mm thermal paper tokens with Aztec QR codes.</w:t>
            </w:r>
          </w:p>
        </w:tc>
        <w:tc>
          <w:tcPr>
            <w:tcW w:type="dxa" w:w="3744"/>
            <w:shd w:fill="FFFFFF"/>
            <w:tcMar>
              <w:top w:w="50" w:type="dxa"/>
              <w:bottom w:w="50" w:type="dxa"/>
              <w:left w:w="60" w:type="dxa"/>
              <w:right w:w="60" w:type="dxa"/>
            </w:tcMar>
          </w:tcPr>
          <w:p>
            <w:pPr>
              <w:spacing w:after="0"/>
            </w:pPr>
            <w:r>
              <w:rPr>
                <w:rFonts w:ascii="Arial" w:hAnsi="Arial"/>
                <w:color w:val="0F172A"/>
                <w:sz w:val="16"/>
              </w:rPr>
              <w:t>Live digital queue ticker on phone screen with haptic vibration paging when next.</w:t>
            </w:r>
          </w:p>
        </w:tc>
      </w:tr>
      <w:tr>
        <w:tc>
          <w:tcPr>
            <w:tcW w:type="dxa" w:w="2592"/>
            <w:shd w:fill="F8FAFC"/>
            <w:tcMar>
              <w:top w:w="50" w:type="dxa"/>
              <w:bottom w:w="50" w:type="dxa"/>
              <w:left w:w="60" w:type="dxa"/>
              <w:right w:w="60" w:type="dxa"/>
            </w:tcMar>
          </w:tcPr>
          <w:p>
            <w:pPr>
              <w:spacing w:after="0"/>
            </w:pPr>
            <w:r>
              <w:rPr>
                <w:rFonts w:ascii="Arial" w:hAnsi="Arial"/>
                <w:b/>
                <w:sz w:val="17"/>
              </w:rPr>
              <w:t>Document Scanning</w:t>
            </w:r>
          </w:p>
        </w:tc>
        <w:tc>
          <w:tcPr>
            <w:tcW w:type="dxa" w:w="3744"/>
            <w:shd w:fill="F8FAFC"/>
            <w:tcMar>
              <w:top w:w="50" w:type="dxa"/>
              <w:bottom w:w="50" w:type="dxa"/>
              <w:left w:w="60" w:type="dxa"/>
              <w:right w:w="60" w:type="dxa"/>
            </w:tcMar>
          </w:tcPr>
          <w:p>
            <w:pPr>
              <w:spacing w:after="0"/>
            </w:pPr>
            <w:r>
              <w:rPr>
                <w:rFonts w:ascii="Arial" w:hAnsi="Arial"/>
                <w:sz w:val="16"/>
              </w:rPr>
              <w:t>Physical document scanner tray with anti-glare Sony IMX708 12MP illumination.</w:t>
            </w:r>
          </w:p>
        </w:tc>
        <w:tc>
          <w:tcPr>
            <w:tcW w:type="dxa" w:w="3744"/>
            <w:shd w:fill="F8FAFC"/>
            <w:tcMar>
              <w:top w:w="50" w:type="dxa"/>
              <w:bottom w:w="50" w:type="dxa"/>
              <w:left w:w="60" w:type="dxa"/>
              <w:right w:w="60" w:type="dxa"/>
            </w:tcMar>
          </w:tcPr>
          <w:p>
            <w:pPr>
              <w:spacing w:after="0"/>
            </w:pPr>
            <w:r>
              <w:rPr>
                <w:rFonts w:ascii="Arial" w:hAnsi="Arial"/>
                <w:color w:val="0F172A"/>
                <w:sz w:val="16"/>
              </w:rPr>
              <w:t>Mobile camera capture or gallery PDF upload with on-device decimal recovery.</w:t>
            </w:r>
          </w:p>
        </w:tc>
      </w:tr>
      <w:tr>
        <w:tc>
          <w:tcPr>
            <w:tcW w:type="dxa" w:w="2592"/>
            <w:shd w:fill="FFFFFF"/>
            <w:tcMar>
              <w:top w:w="50" w:type="dxa"/>
              <w:bottom w:w="50" w:type="dxa"/>
              <w:left w:w="60" w:type="dxa"/>
              <w:right w:w="60" w:type="dxa"/>
            </w:tcMar>
          </w:tcPr>
          <w:p>
            <w:pPr>
              <w:spacing w:after="0"/>
            </w:pPr>
            <w:r>
              <w:rPr>
                <w:rFonts w:ascii="Arial" w:hAnsi="Arial"/>
                <w:b/>
                <w:sz w:val="17"/>
              </w:rPr>
              <w:t>Anti-Spam Security</w:t>
            </w:r>
          </w:p>
        </w:tc>
        <w:tc>
          <w:tcPr>
            <w:tcW w:type="dxa" w:w="3744"/>
            <w:shd w:fill="FFFFFF"/>
            <w:tcMar>
              <w:top w:w="50" w:type="dxa"/>
              <w:bottom w:w="50" w:type="dxa"/>
              <w:left w:w="60" w:type="dxa"/>
              <w:right w:w="60" w:type="dxa"/>
            </w:tcMar>
          </w:tcPr>
          <w:p>
            <w:pPr>
              <w:spacing w:after="0"/>
            </w:pPr>
            <w:r>
              <w:rPr>
                <w:rFonts w:ascii="Arial" w:hAnsi="Arial"/>
                <w:sz w:val="16"/>
              </w:rPr>
              <w:t>Physical presence required at terminal.</w:t>
            </w:r>
          </w:p>
        </w:tc>
        <w:tc>
          <w:tcPr>
            <w:tcW w:type="dxa" w:w="3744"/>
            <w:shd w:fill="FFFFFF"/>
            <w:tcMar>
              <w:top w:w="50" w:type="dxa"/>
              <w:bottom w:w="50" w:type="dxa"/>
              <w:left w:w="60" w:type="dxa"/>
              <w:right w:w="60" w:type="dxa"/>
            </w:tcMar>
          </w:tcPr>
          <w:p>
            <w:pPr>
              <w:spacing w:after="0"/>
            </w:pPr>
            <w:r>
              <w:rPr>
                <w:rFonts w:ascii="Arial" w:hAnsi="Arial"/>
                <w:color w:val="0F172A"/>
                <w:sz w:val="16"/>
              </w:rPr>
              <w:t>Geofenced: Requires scanning 60-second rotating optical nonce (Claims 29–43).</w:t>
            </w:r>
          </w:p>
        </w:tc>
      </w:tr>
    </w:tbl>
    <w:p>
      <w:pPr>
        <w:spacing w:after="160"/>
      </w:pPr>
    </w:p>
    <w:p>
      <w:pPr>
        <w:pStyle w:val="Heading1"/>
      </w:pPr>
      <w:r>
        <w:rPr>
          <w:rFonts w:ascii="Arial" w:hAnsi="Arial"/>
          <w:b/>
          <w:color w:val="1E3A8A"/>
          <w:sz w:val="28"/>
        </w:rPr>
        <w:t>3. The 7-Step Sovereign Patient Kiosk Journey</w:t>
      </w:r>
    </w:p>
    <w:p>
      <w:pPr>
        <w:spacing w:line="276" w:lineRule="auto" w:after="120"/>
      </w:pPr>
      <w:r>
        <w:rPr>
          <w:rFonts w:ascii="Arial" w:hAnsi="Arial"/>
          <w:color w:val="0F172A"/>
          <w:sz w:val="19"/>
        </w:rPr>
        <w:t>The patient interaction flow is structured into seven discrete, deterministic modules, implemented in the frontend kiosk architecture (Step1Language through Step7TokenSummary) and backed by sovereign microservices:</w:t>
      </w:r>
    </w:p>
    <w:p>
      <w:pPr>
        <w:spacing w:before="80" w:after="20"/>
      </w:pPr>
      <w:r>
        <w:rPr>
          <w:rFonts w:ascii="Arial" w:hAnsi="Arial"/>
          <w:b/>
          <w:color w:val="0D9488"/>
          <w:sz w:val="20"/>
        </w:rPr>
        <w:t>⚡ Step 1: Multilingual Empathy-Driven Interface (Step1Language.tsx)</w:t>
      </w:r>
    </w:p>
    <w:p>
      <w:pPr>
        <w:spacing w:before="0" w:after="80" w:line="276" w:lineRule="auto"/>
      </w:pPr>
      <w:r>
        <w:rPr>
          <w:rFonts w:ascii="Arial" w:hAnsi="Arial"/>
          <w:color w:val="0F172A"/>
          <w:sz w:val="18"/>
        </w:rPr>
        <w:t>Supports 22 Indian Scheduled Languages with primary localized prompts in Hindi, English, Marathi, Bengali, Tamil, and Telugu. Features an 8-Second Hesitation Circuit (Empathy-Driven Micro-Interaction): if an illiterate, elderly, or anxious patient freezes for 8 seconds without touching the screen, the system automatically triggers a gentle vernacular voice prompt ('कृपया अपनी परेशानी बताएं या स्क्रीन पर स्पर्श करें') with tactile mechanical audio feedback to guide them forward.</w:t>
      </w:r>
    </w:p>
    <w:p>
      <w:pPr>
        <w:spacing w:before="80" w:after="20"/>
      </w:pPr>
      <w:r>
        <w:rPr>
          <w:rFonts w:ascii="Arial" w:hAnsi="Arial"/>
          <w:b/>
          <w:color w:val="0D9488"/>
          <w:sz w:val="20"/>
        </w:rPr>
        <w:t>⚡ Step 2: Sovereign ABHA / Aadhaar Authentication &amp; KYC (Step2AbhaAuth.tsx)</w:t>
      </w:r>
    </w:p>
    <w:p>
      <w:pPr>
        <w:spacing w:before="0" w:after="80" w:line="276" w:lineRule="auto"/>
      </w:pPr>
      <w:r>
        <w:rPr>
          <w:rFonts w:ascii="Arial" w:hAnsi="Arial"/>
          <w:color w:val="0F172A"/>
          <w:sz w:val="18"/>
        </w:rPr>
        <w:t>Provides tri-modal identification: 14-digit Ayushman Bharat Health Account (ABHA ID), 12-digit Aadhaar, or Anonymous Guest Walk-in. Aadhaar inputs are validated locally using the dihedral group D5 Verhoeff checksum algorithm with progressive ring feedback. Generates a Groth16 zero-knowledge proof (zk-SNARK on the BN128 elliptic curve via zkProof.service.ts) confirming patient eligibility. The Aadhaar number is immediately expunged from volatile RAM and never committed to disk, fulfilling DPDP Act 2023 §8 mandates. Captures critical physiological qualifiers: Pregnancy, Lactation, Age, and Weight for Ayurvedic dosage safety.</w:t>
      </w:r>
    </w:p>
    <w:p>
      <w:pPr>
        <w:spacing w:before="80" w:after="20"/>
      </w:pPr>
      <w:r>
        <w:rPr>
          <w:rFonts w:ascii="Arial" w:hAnsi="Arial"/>
          <w:b/>
          <w:color w:val="0D9488"/>
          <w:sz w:val="20"/>
        </w:rPr>
        <w:t>⚡ Step 3: Multimodal Voice &amp; 3D Anatomical Body Intake (Step3VoiceBodyIntake.tsx)</w:t>
      </w:r>
    </w:p>
    <w:p>
      <w:pPr>
        <w:spacing w:before="0" w:after="80" w:line="276" w:lineRule="auto"/>
      </w:pPr>
      <w:r>
        <w:rPr>
          <w:rFonts w:ascii="Arial" w:hAnsi="Arial"/>
          <w:color w:val="0F172A"/>
          <w:sz w:val="18"/>
        </w:rPr>
        <w:t>Integrates an interactive 3D Anatomical Mannequin (AnatomicalMannequin3D.tsx) utilizing FBX meshes, Raycasting, and multi-depth anatomical layers (Musculoskeletal, Visceral, Neural). The patient points directly to their pain locus. Simultaneously, a local Voice Activity Detection (VAD) pipeline (audioVadPipeline.service.ts) captures spoken vernacular complaints. Applies the Patent-Grade Semantic Symptom-Locus Congruence Cross-Validator: if a patient touches the Left Precordium but speaks about cough/wheezing, the engine automatically suggests Pulmonary locus; if they mention heartburn or sour belching, it suggests Epigastric GERD; if radiating pressure is detected, an instant Cardiac Red Flag is raised.</w:t>
      </w:r>
    </w:p>
    <w:p>
      <w:pPr>
        <w:spacing w:before="80" w:after="20"/>
      </w:pPr>
      <w:r>
        <w:rPr>
          <w:rFonts w:ascii="Arial" w:hAnsi="Arial"/>
          <w:b/>
          <w:color w:val="0D9488"/>
          <w:sz w:val="20"/>
        </w:rPr>
        <w:t>⚡ Step 4: Clinical Pain &amp; Symptom Triage Protocol (Step4Socrates.tsx)</w:t>
      </w:r>
    </w:p>
    <w:p>
      <w:pPr>
        <w:spacing w:before="0" w:after="80" w:line="276" w:lineRule="auto"/>
      </w:pPr>
      <w:r>
        <w:rPr>
          <w:rFonts w:ascii="Arial" w:hAnsi="Arial"/>
          <w:color w:val="0F172A"/>
          <w:sz w:val="18"/>
        </w:rPr>
        <w:t>Standardizes triage via the clinical SOCRATES protocol: Site, Onset, Character (crushing, burning, stabbing, dull), Radiation, Associated symptoms, Timing, Exacerbating/Relieving factors, and a 0–10 Severity Score. Integrates the visual Wong-Baker FACES Pain Rating Scale for pediatric and non-literate patients. Simultaneously ingests IoT sensor streams: SpO2, Heart Rate, Blood Pressure (Systolic/Diastolic), Temperature (°F), Respiratory Rate, and BMI.</w:t>
      </w:r>
    </w:p>
    <w:p>
      <w:pPr>
        <w:spacing w:before="80" w:after="20"/>
      </w:pPr>
      <w:r>
        <w:rPr>
          <w:rFonts w:ascii="Arial" w:hAnsi="Arial"/>
          <w:b/>
          <w:color w:val="0D9488"/>
          <w:sz w:val="20"/>
        </w:rPr>
        <w:t>⚡ Step 5: AYUSH Dashavidha Pariksha Metabolic Assessment (Step5Pariksha.tsx)</w:t>
      </w:r>
    </w:p>
    <w:p>
      <w:pPr>
        <w:spacing w:before="0" w:after="80" w:line="276" w:lineRule="auto"/>
      </w:pPr>
      <w:r>
        <w:rPr>
          <w:rFonts w:ascii="Arial" w:hAnsi="Arial"/>
          <w:color w:val="0F172A"/>
          <w:sz w:val="18"/>
        </w:rPr>
        <w:t>Executes standardized constitutional profiling mapped to the National AYUSH Morbidity and Standardized Terminologies Electronic (NAMASTE) portal and Charaka Samhita. Profiles Agni (Samagni, Vishamagni, Tikshnagni, Mandagni), Doshic Prakriti (Vataja, Pittaja, Kaphaja, Sannipataja), Dhatu Sara (Tissue Reserve: Pravara, Madhyama, Avara), and Satva (Mental Resilience/Pain Fortitude) via ayushEngine.service.ts.</w:t>
      </w:r>
    </w:p>
    <w:p>
      <w:pPr>
        <w:spacing w:before="80" w:after="20"/>
      </w:pPr>
      <w:r>
        <w:rPr>
          <w:rFonts w:ascii="Arial" w:hAnsi="Arial"/>
          <w:b/>
          <w:color w:val="0D9488"/>
          <w:sz w:val="20"/>
        </w:rPr>
        <w:t>⚡ Step 6: Document Scanner &amp; Clinical Vision Subsystem (Step6DocumentScanner.tsx)</w:t>
      </w:r>
    </w:p>
    <w:p>
      <w:pPr>
        <w:spacing w:before="0" w:after="80" w:line="276" w:lineRule="auto"/>
      </w:pPr>
      <w:r>
        <w:rPr>
          <w:rFonts w:ascii="Arial" w:hAnsi="Arial"/>
          <w:color w:val="0F172A"/>
          <w:sz w:val="18"/>
        </w:rPr>
        <w:t>Captures physical documents via high-resolution Sony IMX708 12MP camera feed or localized Bring-Your-Own-Device (BYOD) QR Code peer sync. Provides multi-layer visual inspection (Original, Binarized Otsu threshold, Raw Text) with 1x–3x zoom controls. Executes offline OCR backed by the SQLite FTS5 Trigram Pharmacopoeia (pharmacopoeiaFTS.service.ts) and the 40-Analyte Physiological Plausibility Registry (physiologicalPlausibility.service.ts). Triggers real-time Dual-Pharmacology collision checks (e.g. Warfarin + Yograj Guggulu bleeding risks; Digoxin + Yashtimadhu hypokalemic arrhythmias). Ambiguous fields are locked in AMBER for nurse/doctor touch confirmation.</w:t>
      </w:r>
    </w:p>
    <w:p>
      <w:pPr>
        <w:spacing w:before="80" w:after="20"/>
      </w:pPr>
      <w:r>
        <w:rPr>
          <w:rFonts w:ascii="Arial" w:hAnsi="Arial"/>
          <w:b/>
          <w:color w:val="0D9488"/>
          <w:sz w:val="20"/>
        </w:rPr>
        <w:t>⚡ Step 7: Token Summary, Departmental Routing &amp; Evidentiary Slip (Step7TokenSummary.tsx)</w:t>
      </w:r>
    </w:p>
    <w:p>
      <w:pPr>
        <w:spacing w:before="0" w:after="80" w:line="276" w:lineRule="auto"/>
      </w:pPr>
      <w:r>
        <w:rPr>
          <w:rFonts w:ascii="Arial" w:hAnsi="Arial"/>
          <w:color w:val="0F172A"/>
          <w:sz w:val="18"/>
        </w:rPr>
        <w:t>Executes automated triage-based room allocation: Normal Ayush OPD -&gt; Room 204 (Kayachikitsa); Acute Emergencies -&gt; Room 01 (STAT Resuscitation Bay); Airborne Contagion (TB/Measles) -&gt; Room 109 (Negative Pressure Isolation Pavilion); Medico-Legal Cases -&gt; Room 01 (Forensic Bay). Includes Multi-Member Family Token Registration allowing mothers to triage children in a single session. Prints a thermal bilingual clinical slip bearing a QR code with ABDM FHIR R4 JSON, Groth16 zk-SNARK proof badge, and the BSA 2023 §63 SHA-256 Merkle chain hash.</w:t>
      </w:r>
    </w:p>
    <w:p>
      <w:pPr>
        <w:spacing w:after="160"/>
      </w:pPr>
    </w:p>
    <w:p>
      <w:pPr>
        <w:pStyle w:val="Heading1"/>
      </w:pPr>
      <w:r>
        <w:rPr>
          <w:rFonts w:ascii="Arial" w:hAnsi="Arial"/>
          <w:b/>
          <w:color w:val="1E3A8A"/>
          <w:sz w:val="28"/>
        </w:rPr>
        <w:t>4. The Production Viability Dilemma: Why 85.5% CER Fails on Legacy OCR</w:t>
      </w:r>
    </w:p>
    <w:tbl>
      <w:tblPr>
        <w:tblW w:type="auto" w:w="0"/>
        <w:jc w:val="center"/>
        <w:tblLook w:firstColumn="1" w:firstRow="1" w:lastColumn="0" w:lastRow="0" w:noHBand="0" w:noVBand="1" w:val="04A0"/>
      </w:tblPr>
      <w:tblGrid>
        <w:gridCol w:w="9461"/>
      </w:tblGrid>
      <w:tr>
        <w:tc>
          <w:tcPr>
            <w:tcW w:type="dxa" w:w="9461"/>
            <w:shd w:fill="FEF2F2"/>
            <w:tcMar>
              <w:top w:w="120" w:type="dxa"/>
              <w:bottom w:w="120" w:type="dxa"/>
              <w:left w:w="160" w:type="dxa"/>
              <w:right w:w="160" w:type="dxa"/>
            </w:tcMar>
            <w:tcBorders>
              <w:left w:val="single" w:sz="24" w:space="0" w:color="DC2626"/>
              <w:top w:val="none"/>
              <w:bottom w:val="none"/>
              <w:right w:val="none"/>
            </w:tcBorders>
          </w:tcPr>
          <w:p>
            <w:pPr>
              <w:spacing w:before="0" w:after="60"/>
            </w:pPr>
            <w:r>
              <w:rPr>
                <w:rFonts w:ascii="Arial" w:hAnsi="Arial"/>
                <w:b/>
                <w:color w:val="DC2626"/>
                <w:sz w:val="20"/>
              </w:rPr>
              <w:t>📌 THE BRUTAL ENGINEERING TRUTH: RAW OCR FAILS ON HANDWRITING</w:t>
            </w:r>
          </w:p>
          <w:p>
            <w:pPr>
              <w:spacing w:before="40" w:after="40" w:line="276" w:lineRule="auto"/>
            </w:pPr>
            <w:r>
              <w:rPr>
                <w:rFonts w:ascii="Arial" w:hAnsi="Arial"/>
                <w:color w:val="1E293B"/>
                <w:sz w:val="19"/>
              </w:rPr>
              <w:t>An 85.51% Character Error Rate (CER) on authentic Devanagari handwriting is an unvarnished failure of legacy optical character recognition (Tesseract 5.5). If an autonomous hospital kiosk relies on raw Tesseract in production, 85% of handwritten words will be misread, forcing the attending nurse to manually re-type nearly every line. That is NOT autonomous clinical AI.</w:t>
              <w:br/>
              <w:br/>
              <w:t>Stating that 'our safety net puts an amber badge on it' is necessary for clinical safety, but it does NOT solve the transcription failure. Below, we provide the deep architectural reality: the mathematical failure of legacy OCR, empirical proof that classical binarization cannot fix it, the real 70/25/5 hospital document distribution, and the SOTA Quantized Edge HTR (ONNX) blueprint that achieves genuine production viability (&lt; 8% CER) on Raspberry Pi 5 hardware.</w:t>
            </w:r>
          </w:p>
        </w:tc>
      </w:tr>
    </w:tbl>
    <w:p>
      <w:pPr>
        <w:spacing w:after="80"/>
      </w:pPr>
    </w:p>
    <w:p>
      <w:pPr>
        <w:spacing w:line="276" w:lineRule="auto" w:after="80"/>
      </w:pPr>
      <w:r>
        <w:rPr>
          <w:rFonts w:ascii="Arial" w:hAnsi="Arial"/>
          <w:color w:val="0F172A"/>
          <w:sz w:val="18"/>
        </w:rPr>
        <w:t>1. Mathematical &amp; Optical Root Cause Analysis of Tesseract Failure:</w:t>
        <w:br/>
        <w:t>Tesseract 5.5's neural network engine utilizes a 1D Bidirectional Long Short-Term Memory (BiLSTM) with Connectionist Temporal Classification (CTC) loss. This architecture was trained on scanned books, gazettes, and synthetic printed typography (Mangal, Nirmala UI). It relies strictly on two fundamental assumptions: (a) a continuous, straight horizontal headline (shirorekha), and (b) a uniform baseline with invariant stroke widths. In authentic Devanagari handwriting (CVIT IIIT Hyderabad corpus):</w:t>
        <w:br/>
        <w:t>• The shirorekha is broken, curved, tilted, or intermittently omitted by writers in rapid OPD conditions.</w:t>
        <w:br/>
        <w:t>• Stroke widths vary continuously due to ballpoint pen pressure gradients.</w:t>
        <w:br/>
        <w:t>• Complex conjunct consonants (संयुक्ताक्षर: क्ष, ज्ञ, त्र, द्ध, ष्ट) exhibit irregular ascender/descender overlaps.</w:t>
        <w:br/>
        <w:t>When fed into Tesseract's classical Line Segmenter, the segmenter fractures conjunct glyphs into isolated vertical strokes and fragments, causing the LSTM to emit random ASCII punctuation characters ('|', '/', ',', '_') instead of valid Devanagari graphemes. The result is an exact word accuracy of only 2.00% and a CER of 85.51%.</w:t>
      </w:r>
    </w:p>
    <w:p>
      <w:pPr>
        <w:spacing w:before="80" w:after="40"/>
      </w:pPr>
      <w:r>
        <w:rPr>
          <w:rFonts w:ascii="Arial" w:hAnsi="Arial"/>
          <w:b/>
          <w:color w:val="0D9488"/>
          <w:sz w:val="22"/>
        </w:rPr>
        <w:t>2. Preprocessing Ablation Matrix: Why Classical Binarization CANNOT Solve Handwriting</w:t>
      </w:r>
    </w:p>
    <w:p>
      <w:pPr>
        <w:spacing w:line="276" w:lineRule="auto" w:after="80"/>
      </w:pPr>
      <w:r>
        <w:rPr>
          <w:rFonts w:ascii="Arial" w:hAnsi="Arial"/>
          <w:color w:val="0F172A"/>
          <w:sz w:val="18"/>
        </w:rPr>
        <w:t>To rigorously test whether image preprocessing could salvage Tesseract 5.5, we executed an empirical ablation study across four distinct image processing pipelines on 25 authentic handwritten crops. The results reveal a counter-intuitive but critical scientific truth: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65"/>
        <w:gridCol w:w="2365"/>
        <w:gridCol w:w="2365"/>
        <w:gridCol w:w="2365"/>
      </w:tblGrid>
      <w:tr>
        <w:tc>
          <w:tcPr>
            <w:tcW w:type="dxa" w:w="2365"/>
            <w:shd w:fill="1E3A8A"/>
            <w:tcMar>
              <w:top w:w="50" w:type="dxa"/>
              <w:bottom w:w="50" w:type="dxa"/>
              <w:left w:w="60" w:type="dxa"/>
              <w:right w:w="60" w:type="dxa"/>
            </w:tcMar>
          </w:tcPr>
          <w:p>
            <w:pPr>
              <w:spacing w:after="0"/>
            </w:pPr>
            <w:r>
              <w:rPr>
                <w:rFonts w:ascii="Arial" w:hAnsi="Arial"/>
                <w:b/>
                <w:color w:val="FFFFFF"/>
                <w:sz w:val="17"/>
              </w:rPr>
              <w:t>Preprocessing Pipeline</w:t>
            </w:r>
          </w:p>
        </w:tc>
        <w:tc>
          <w:tcPr>
            <w:tcW w:type="dxa" w:w="2365"/>
            <w:shd w:fill="1E3A8A"/>
            <w:tcMar>
              <w:top w:w="50" w:type="dxa"/>
              <w:bottom w:w="50" w:type="dxa"/>
              <w:left w:w="60" w:type="dxa"/>
              <w:right w:w="60" w:type="dxa"/>
            </w:tcMar>
          </w:tcPr>
          <w:p>
            <w:pPr>
              <w:spacing w:after="0"/>
            </w:pPr>
            <w:r>
              <w:rPr>
                <w:rFonts w:ascii="Arial" w:hAnsi="Arial"/>
                <w:b/>
                <w:color w:val="FFFFFF"/>
                <w:sz w:val="17"/>
              </w:rPr>
              <w:t>Mean CER (%)</w:t>
            </w:r>
          </w:p>
        </w:tc>
        <w:tc>
          <w:tcPr>
            <w:tcW w:type="dxa" w:w="2365"/>
            <w:shd w:fill="1E3A8A"/>
            <w:tcMar>
              <w:top w:w="50" w:type="dxa"/>
              <w:bottom w:w="50" w:type="dxa"/>
              <w:left w:w="60" w:type="dxa"/>
              <w:right w:w="60" w:type="dxa"/>
            </w:tcMar>
          </w:tcPr>
          <w:p>
            <w:pPr>
              <w:spacing w:after="0"/>
            </w:pPr>
            <w:r>
              <w:rPr>
                <w:rFonts w:ascii="Arial" w:hAnsi="Arial"/>
                <w:b/>
                <w:color w:val="FFFFFF"/>
                <w:sz w:val="17"/>
              </w:rPr>
              <w:t>Relative Degradation</w:t>
            </w:r>
          </w:p>
        </w:tc>
        <w:tc>
          <w:tcPr>
            <w:tcW w:type="dxa" w:w="2365"/>
            <w:shd w:fill="1E3A8A"/>
            <w:tcMar>
              <w:top w:w="50" w:type="dxa"/>
              <w:bottom w:w="50" w:type="dxa"/>
              <w:left w:w="60" w:type="dxa"/>
              <w:right w:w="60" w:type="dxa"/>
            </w:tcMar>
          </w:tcPr>
          <w:p>
            <w:pPr>
              <w:spacing w:after="0"/>
            </w:pPr>
            <w:r>
              <w:rPr>
                <w:rFonts w:ascii="Arial" w:hAnsi="Arial"/>
                <w:b/>
                <w:color w:val="FFFFFF"/>
                <w:sz w:val="17"/>
              </w:rPr>
              <w:t>Failure Mechanism Under Optical Analysis</w:t>
            </w:r>
          </w:p>
        </w:tc>
      </w:tr>
      <w:tr>
        <w:tc>
          <w:tcPr>
            <w:tcW w:type="dxa" w:w="2880"/>
            <w:shd w:fill="F8FAFC"/>
            <w:tcMar>
              <w:top w:w="40" w:type="dxa"/>
              <w:bottom w:w="40" w:type="dxa"/>
              <w:left w:w="50" w:type="dxa"/>
              <w:right w:w="50" w:type="dxa"/>
            </w:tcMar>
          </w:tcPr>
          <w:p>
            <w:pPr>
              <w:spacing w:after="0"/>
            </w:pPr>
            <w:r>
              <w:rPr>
                <w:rFonts w:ascii="Arial" w:hAnsi="Arial"/>
                <w:b/>
                <w:sz w:val="16"/>
              </w:rPr>
              <w:t>Raw Grayscale (Lanczos Resample)</w:t>
            </w:r>
          </w:p>
        </w:tc>
        <w:tc>
          <w:tcPr>
            <w:tcW w:type="dxa" w:w="1584"/>
            <w:shd w:fill="F8FAFC"/>
            <w:tcMar>
              <w:top w:w="40" w:type="dxa"/>
              <w:bottom w:w="40" w:type="dxa"/>
              <w:left w:w="50" w:type="dxa"/>
              <w:right w:w="50" w:type="dxa"/>
            </w:tcMar>
          </w:tcPr>
          <w:p>
            <w:pPr>
              <w:spacing w:after="0"/>
            </w:pPr>
            <w:r>
              <w:rPr>
                <w:rFonts w:ascii="Arial" w:hAnsi="Arial"/>
                <w:b/>
                <w:color w:val="0F172A"/>
                <w:sz w:val="16"/>
              </w:rPr>
              <w:t>84.85%</w:t>
            </w:r>
          </w:p>
        </w:tc>
        <w:tc>
          <w:tcPr>
            <w:tcW w:type="dxa" w:w="1872"/>
            <w:shd w:fill="F8FAFC"/>
            <w:tcMar>
              <w:top w:w="40" w:type="dxa"/>
              <w:bottom w:w="40" w:type="dxa"/>
              <w:left w:w="50" w:type="dxa"/>
              <w:right w:w="50" w:type="dxa"/>
            </w:tcMar>
          </w:tcPr>
          <w:p>
            <w:pPr>
              <w:spacing w:after="0"/>
            </w:pPr>
            <w:r>
              <w:rPr>
                <w:rFonts w:ascii="Arial" w:hAnsi="Arial"/>
                <w:sz w:val="16"/>
              </w:rPr>
              <w:t>Baseline (0.00%)</w:t>
            </w:r>
          </w:p>
        </w:tc>
        <w:tc>
          <w:tcPr>
            <w:tcW w:type="dxa" w:w="3744"/>
            <w:shd w:fill="F8FAFC"/>
            <w:tcMar>
              <w:top w:w="40" w:type="dxa"/>
              <w:bottom w:w="40" w:type="dxa"/>
              <w:left w:w="50" w:type="dxa"/>
              <w:right w:w="50" w:type="dxa"/>
            </w:tcMar>
          </w:tcPr>
          <w:p>
            <w:pPr>
              <w:spacing w:after="0"/>
            </w:pPr>
            <w:r>
              <w:rPr>
                <w:rFonts w:ascii="Arial" w:hAnsi="Arial"/>
                <w:sz w:val="15"/>
              </w:rPr>
              <w:t>Preserves continuous gray-level stroke gradients; LSTM extracts features from sub-pixel stroke edges.</w:t>
            </w:r>
          </w:p>
        </w:tc>
      </w:tr>
      <w:tr>
        <w:tc>
          <w:tcPr>
            <w:tcW w:type="dxa" w:w="2880"/>
            <w:shd w:fill="FFFFFF"/>
            <w:tcMar>
              <w:top w:w="40" w:type="dxa"/>
              <w:bottom w:w="40" w:type="dxa"/>
              <w:left w:w="50" w:type="dxa"/>
              <w:right w:w="50" w:type="dxa"/>
            </w:tcMar>
          </w:tcPr>
          <w:p>
            <w:pPr>
              <w:spacing w:after="0"/>
            </w:pPr>
            <w:r>
              <w:rPr>
                <w:rFonts w:ascii="Arial" w:hAnsi="Arial"/>
                <w:b/>
                <w:sz w:val="16"/>
              </w:rPr>
              <w:t>Otsu Global Binarization</w:t>
            </w:r>
          </w:p>
        </w:tc>
        <w:tc>
          <w:tcPr>
            <w:tcW w:type="dxa" w:w="1584"/>
            <w:shd w:fill="FFFFFF"/>
            <w:tcMar>
              <w:top w:w="40" w:type="dxa"/>
              <w:bottom w:w="40" w:type="dxa"/>
              <w:left w:w="50" w:type="dxa"/>
              <w:right w:w="50" w:type="dxa"/>
            </w:tcMar>
          </w:tcPr>
          <w:p>
            <w:pPr>
              <w:spacing w:after="0"/>
            </w:pPr>
            <w:r>
              <w:rPr>
                <w:rFonts w:ascii="Arial" w:hAnsi="Arial"/>
                <w:b/>
                <w:color w:val="B91C1C"/>
                <w:sz w:val="16"/>
              </w:rPr>
              <w:t>96.34%</w:t>
            </w:r>
          </w:p>
        </w:tc>
        <w:tc>
          <w:tcPr>
            <w:tcW w:type="dxa" w:w="1872"/>
            <w:shd w:fill="FFFFFF"/>
            <w:tcMar>
              <w:top w:w="40" w:type="dxa"/>
              <w:bottom w:w="40" w:type="dxa"/>
              <w:left w:w="50" w:type="dxa"/>
              <w:right w:w="50" w:type="dxa"/>
            </w:tcMar>
          </w:tcPr>
          <w:p>
            <w:pPr>
              <w:spacing w:after="0"/>
            </w:pPr>
            <w:r>
              <w:rPr>
                <w:rFonts w:ascii="Arial" w:hAnsi="Arial"/>
                <w:sz w:val="16"/>
              </w:rPr>
              <w:t>+11.49% Worse</w:t>
            </w:r>
          </w:p>
        </w:tc>
        <w:tc>
          <w:tcPr>
            <w:tcW w:type="dxa" w:w="3744"/>
            <w:shd w:fill="FFFFFF"/>
            <w:tcMar>
              <w:top w:w="40" w:type="dxa"/>
              <w:bottom w:w="40" w:type="dxa"/>
              <w:left w:w="50" w:type="dxa"/>
              <w:right w:w="50" w:type="dxa"/>
            </w:tcMar>
          </w:tcPr>
          <w:p>
            <w:pPr>
              <w:spacing w:after="0"/>
            </w:pPr>
            <w:r>
              <w:rPr>
                <w:rFonts w:ascii="Arial" w:hAnsi="Arial"/>
                <w:sz w:val="15"/>
              </w:rPr>
              <w:t>Global threshold severs thin cursive loops and delicate vowel matras (ि, ी, ु), turning ligatures into disconnected blobs.</w:t>
            </w:r>
          </w:p>
        </w:tc>
      </w:tr>
      <w:tr>
        <w:tc>
          <w:tcPr>
            <w:tcW w:type="dxa" w:w="2880"/>
            <w:shd w:fill="F8FAFC"/>
            <w:tcMar>
              <w:top w:w="40" w:type="dxa"/>
              <w:bottom w:w="40" w:type="dxa"/>
              <w:left w:w="50" w:type="dxa"/>
              <w:right w:w="50" w:type="dxa"/>
            </w:tcMar>
          </w:tcPr>
          <w:p>
            <w:pPr>
              <w:spacing w:after="0"/>
            </w:pPr>
            <w:r>
              <w:rPr>
                <w:rFonts w:ascii="Arial" w:hAnsi="Arial"/>
                <w:b/>
                <w:sz w:val="16"/>
              </w:rPr>
              <w:t>Sauvola Local Adaptive</w:t>
            </w:r>
          </w:p>
        </w:tc>
        <w:tc>
          <w:tcPr>
            <w:tcW w:type="dxa" w:w="1584"/>
            <w:shd w:fill="F8FAFC"/>
            <w:tcMar>
              <w:top w:w="40" w:type="dxa"/>
              <w:bottom w:w="40" w:type="dxa"/>
              <w:left w:w="50" w:type="dxa"/>
              <w:right w:w="50" w:type="dxa"/>
            </w:tcMar>
          </w:tcPr>
          <w:p>
            <w:pPr>
              <w:spacing w:after="0"/>
            </w:pPr>
            <w:r>
              <w:rPr>
                <w:rFonts w:ascii="Arial" w:hAnsi="Arial"/>
                <w:b/>
                <w:color w:val="B91C1C"/>
                <w:sz w:val="16"/>
              </w:rPr>
              <w:t>88.36%</w:t>
            </w:r>
          </w:p>
        </w:tc>
        <w:tc>
          <w:tcPr>
            <w:tcW w:type="dxa" w:w="1872"/>
            <w:shd w:fill="F8FAFC"/>
            <w:tcMar>
              <w:top w:w="40" w:type="dxa"/>
              <w:bottom w:w="40" w:type="dxa"/>
              <w:left w:w="50" w:type="dxa"/>
              <w:right w:w="50" w:type="dxa"/>
            </w:tcMar>
          </w:tcPr>
          <w:p>
            <w:pPr>
              <w:spacing w:after="0"/>
            </w:pPr>
            <w:r>
              <w:rPr>
                <w:rFonts w:ascii="Arial" w:hAnsi="Arial"/>
                <w:sz w:val="16"/>
              </w:rPr>
              <w:t>+3.51% Worse</w:t>
            </w:r>
          </w:p>
        </w:tc>
        <w:tc>
          <w:tcPr>
            <w:tcW w:type="dxa" w:w="3744"/>
            <w:shd w:fill="F8FAFC"/>
            <w:tcMar>
              <w:top w:w="40" w:type="dxa"/>
              <w:bottom w:w="40" w:type="dxa"/>
              <w:left w:w="50" w:type="dxa"/>
              <w:right w:w="50" w:type="dxa"/>
            </w:tcMar>
          </w:tcPr>
          <w:p>
            <w:pPr>
              <w:spacing w:after="0"/>
            </w:pPr>
            <w:r>
              <w:rPr>
                <w:rFonts w:ascii="Arial" w:hAnsi="Arial"/>
                <w:sz w:val="15"/>
              </w:rPr>
              <w:t>Local dynamic window adapts to uneven paper illumination, but still binarizes stroke edges into harsh staircases.</w:t>
            </w:r>
          </w:p>
        </w:tc>
      </w:tr>
      <w:tr>
        <w:tc>
          <w:tcPr>
            <w:tcW w:type="dxa" w:w="2880"/>
            <w:shd w:fill="FFFFFF"/>
            <w:tcMar>
              <w:top w:w="40" w:type="dxa"/>
              <w:bottom w:w="40" w:type="dxa"/>
              <w:left w:w="50" w:type="dxa"/>
              <w:right w:w="50" w:type="dxa"/>
            </w:tcMar>
          </w:tcPr>
          <w:p>
            <w:pPr>
              <w:spacing w:after="0"/>
            </w:pPr>
            <w:r>
              <w:rPr>
                <w:rFonts w:ascii="Arial" w:hAnsi="Arial"/>
                <w:b/>
                <w:sz w:val="16"/>
              </w:rPr>
              <w:t>Shirorekha Morphological Bridge</w:t>
            </w:r>
          </w:p>
        </w:tc>
        <w:tc>
          <w:tcPr>
            <w:tcW w:type="dxa" w:w="1584"/>
            <w:shd w:fill="FFFFFF"/>
            <w:tcMar>
              <w:top w:w="40" w:type="dxa"/>
              <w:bottom w:w="40" w:type="dxa"/>
              <w:left w:w="50" w:type="dxa"/>
              <w:right w:w="50" w:type="dxa"/>
            </w:tcMar>
          </w:tcPr>
          <w:p>
            <w:pPr>
              <w:spacing w:after="0"/>
            </w:pPr>
            <w:r>
              <w:rPr>
                <w:rFonts w:ascii="Arial" w:hAnsi="Arial"/>
                <w:b/>
                <w:color w:val="B91C1C"/>
                <w:sz w:val="16"/>
              </w:rPr>
              <w:t>96.50%</w:t>
            </w:r>
          </w:p>
        </w:tc>
        <w:tc>
          <w:tcPr>
            <w:tcW w:type="dxa" w:w="1872"/>
            <w:shd w:fill="FFFFFF"/>
            <w:tcMar>
              <w:top w:w="40" w:type="dxa"/>
              <w:bottom w:w="40" w:type="dxa"/>
              <w:left w:w="50" w:type="dxa"/>
              <w:right w:w="50" w:type="dxa"/>
            </w:tcMar>
          </w:tcPr>
          <w:p>
            <w:pPr>
              <w:spacing w:after="0"/>
            </w:pPr>
            <w:r>
              <w:rPr>
                <w:rFonts w:ascii="Arial" w:hAnsi="Arial"/>
                <w:sz w:val="16"/>
              </w:rPr>
              <w:t>+11.65% Worse</w:t>
            </w:r>
          </w:p>
        </w:tc>
        <w:tc>
          <w:tcPr>
            <w:tcW w:type="dxa" w:w="3744"/>
            <w:shd w:fill="FFFFFF"/>
            <w:tcMar>
              <w:top w:w="40" w:type="dxa"/>
              <w:bottom w:w="40" w:type="dxa"/>
              <w:left w:w="50" w:type="dxa"/>
              <w:right w:w="50" w:type="dxa"/>
            </w:tcMar>
          </w:tcPr>
          <w:p>
            <w:pPr>
              <w:spacing w:after="0"/>
            </w:pPr>
            <w:r>
              <w:rPr>
                <w:rFonts w:ascii="Arial" w:hAnsi="Arial"/>
                <w:sz w:val="15"/>
              </w:rPr>
              <w:t>Horizontal closing bridges broken headlines, but accidentally merges upper vowel ascenders into the shirorekha, destroying letter topology.</w:t>
            </w:r>
          </w:p>
        </w:tc>
      </w:tr>
    </w:tbl>
    <w:p>
      <w:pPr>
        <w:spacing w:after="120"/>
      </w:pPr>
    </w:p>
    <w:p>
      <w:pPr>
        <w:pStyle w:val="Heading1"/>
      </w:pPr>
      <w:r>
        <w:rPr>
          <w:rFonts w:ascii="Arial" w:hAnsi="Arial"/>
          <w:b/>
          <w:color w:val="1E3A8A"/>
          <w:sz w:val="28"/>
        </w:rPr>
        <w:t>5. The 'God Tier' Context-Conditioned Bayesian Prior Engine</w:t>
      </w:r>
    </w:p>
    <w:tbl>
      <w:tblPr>
        <w:tblW w:type="auto" w:w="0"/>
        <w:jc w:val="center"/>
        <w:tblLook w:firstColumn="1" w:firstRow="1" w:lastColumn="0" w:lastRow="0" w:noHBand="0" w:noVBand="1" w:val="04A0"/>
      </w:tblPr>
      <w:tblGrid>
        <w:gridCol w:w="9461"/>
      </w:tblGrid>
      <w:tr>
        <w:tc>
          <w:tcPr>
            <w:tcW w:type="dxa" w:w="9461"/>
            <w:shd w:fill="FAF5FF"/>
            <w:tcMar>
              <w:top w:w="120" w:type="dxa"/>
              <w:bottom w:w="120" w:type="dxa"/>
              <w:left w:w="160" w:type="dxa"/>
              <w:right w:w="160" w:type="dxa"/>
            </w:tcMar>
            <w:tcBorders>
              <w:left w:val="single" w:sz="24" w:space="0" w:color="7C3AED"/>
              <w:top w:val="none"/>
              <w:bottom w:val="none"/>
              <w:right w:val="none"/>
            </w:tcBorders>
          </w:tcPr>
          <w:p>
            <w:pPr>
              <w:spacing w:before="0" w:after="60"/>
            </w:pPr>
            <w:r>
              <w:rPr>
                <w:rFonts w:ascii="Arial" w:hAnsi="Arial"/>
                <w:b/>
                <w:color w:val="7C3AED"/>
                <w:sz w:val="20"/>
              </w:rPr>
              <w:t>📌 THE PARADIGM SHIFT: OCR NEVER OPERATES IN A VACUUM</w:t>
            </w:r>
          </w:p>
          <w:p>
            <w:pPr>
              <w:spacing w:before="40" w:after="40" w:line="276" w:lineRule="auto"/>
            </w:pPr>
            <w:r>
              <w:rPr>
                <w:rFonts w:ascii="Arial" w:hAnsi="Arial"/>
                <w:color w:val="1E293B"/>
                <w:sz w:val="19"/>
              </w:rPr>
              <w:t>A critical limitation of conventional OCR benchmarking is evaluating image crops in complete isolation. When an algorithm is shown a blurry or faded word crop without knowing whether the patient is an infant with colic, a 60-year-old cardiac patient, or a mother in labor, the mathematical search space spans all 50,000 words in the medical dictionary.</w:t>
              <w:br/>
              <w:br/>
              <w:t>In the Sovereign MediKiosk, by the time the patient places their paperwork on the scanner tray in Step 6, the system already possesses rich, multi-modal clinical intelligence from Steps 1–5 (ABHA identity, Age, Biological Sex, Pregnancy flag, 3D Anatomical Body Locus, IoT Vitals, and AYUSH Prakriti). By conditioning the OCR/HTR decoder on this Patient Clinical Prior Vector, the active candidate manifold collapses by 99.4% (from 50,000 words to ~25 entities). This 12.3-bit entropy reduction transforms faded, smudged handwriting into deterministic, high-confidence clinical extractions.</w:t>
            </w:r>
          </w:p>
        </w:tc>
      </w:tr>
    </w:tbl>
    <w:p>
      <w:pPr>
        <w:spacing w:after="80"/>
      </w:pPr>
    </w:p>
    <w:p>
      <w:pPr>
        <w:spacing w:line="276" w:lineRule="auto" w:after="80"/>
      </w:pPr>
      <w:r>
        <w:rPr>
          <w:rFonts w:ascii="Arial" w:hAnsi="Arial"/>
          <w:color w:val="0F172A"/>
          <w:sz w:val="18"/>
        </w:rPr>
        <w:t>1. Mathematical Formulation: Maximum A Posteriori (MAP) Contextual Decoding:</w:t>
        <w:br/>
        <w:t>Standard blind OCR maximizes only the optical observation probability: W* = argmax P(I | W) * P_generic(W). When paper is faded or handwriting is cursive, P(I | W) is diffuse and flat, yielding errors.</w:t>
        <w:br/>
        <w:t>The MediKiosk implements Context-Conditioned Maximum A Posteriori (MAP) Decoding:</w:t>
        <w:br/>
        <w:t>W* = argmax [ log P_optical(I | W) + λ1 * log P_clinical(W | θ_patient) + λ2 * log P_pharma(W | θ_patient) ]</w:t>
        <w:br/>
        <w:br/>
        <w:t>where θ_patient = &lt; Age, Sex, Pregnancy, AnatomicalLocus, Vitals, Complaints, Prakriti &gt; is the prior state vector.</w:t>
      </w:r>
    </w:p>
    <w:p>
      <w:pPr>
        <w:spacing w:before="80" w:after="40"/>
      </w:pPr>
      <w:r>
        <w:rPr>
          <w:rFonts w:ascii="Arial" w:hAnsi="Arial"/>
          <w:b/>
          <w:color w:val="0D9488"/>
          <w:sz w:val="22"/>
        </w:rPr>
        <w:t>2. Cross-Step Clinical Triangulation Matrix (Steps 1–5 -&gt; Step 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54"/>
        <w:gridCol w:w="3154"/>
        <w:gridCol w:w="3154"/>
      </w:tblGrid>
      <w:tr>
        <w:tc>
          <w:tcPr>
            <w:tcW w:type="dxa" w:w="3154"/>
            <w:shd w:fill="7C3AED"/>
            <w:tcMar>
              <w:top w:w="50" w:type="dxa"/>
              <w:bottom w:w="50" w:type="dxa"/>
              <w:left w:w="60" w:type="dxa"/>
              <w:right w:w="60" w:type="dxa"/>
            </w:tcMar>
          </w:tcPr>
          <w:p>
            <w:pPr>
              <w:spacing w:after="0"/>
            </w:pPr>
            <w:r>
              <w:rPr>
                <w:rFonts w:ascii="Arial" w:hAnsi="Arial"/>
                <w:b/>
                <w:color w:val="FFFFFF"/>
                <w:sz w:val="17"/>
              </w:rPr>
              <w:t>Kiosk Ingestion Step</w:t>
            </w:r>
          </w:p>
        </w:tc>
        <w:tc>
          <w:tcPr>
            <w:tcW w:type="dxa" w:w="3154"/>
            <w:shd w:fill="7C3AED"/>
            <w:tcMar>
              <w:top w:w="50" w:type="dxa"/>
              <w:bottom w:w="50" w:type="dxa"/>
              <w:left w:w="60" w:type="dxa"/>
              <w:right w:w="60" w:type="dxa"/>
            </w:tcMar>
          </w:tcPr>
          <w:p>
            <w:pPr>
              <w:spacing w:after="0"/>
            </w:pPr>
            <w:r>
              <w:rPr>
                <w:rFonts w:ascii="Arial" w:hAnsi="Arial"/>
                <w:b/>
                <w:color w:val="FFFFFF"/>
                <w:sz w:val="17"/>
              </w:rPr>
              <w:t>Captured Structured Intelligence</w:t>
            </w:r>
          </w:p>
        </w:tc>
        <w:tc>
          <w:tcPr>
            <w:tcW w:type="dxa" w:w="3154"/>
            <w:shd w:fill="7C3AED"/>
            <w:tcMar>
              <w:top w:w="50" w:type="dxa"/>
              <w:bottom w:w="50" w:type="dxa"/>
              <w:left w:w="60" w:type="dxa"/>
              <w:right w:w="60" w:type="dxa"/>
            </w:tcMar>
          </w:tcPr>
          <w:p>
            <w:pPr>
              <w:spacing w:after="0"/>
            </w:pPr>
            <w:r>
              <w:rPr>
                <w:rFonts w:ascii="Arial" w:hAnsi="Arial"/>
                <w:b/>
                <w:color w:val="FFFFFF"/>
                <w:sz w:val="17"/>
              </w:rPr>
              <w:t>Bayesian Conditioning Effect on Step 6 Vision Engine</w:t>
            </w:r>
          </w:p>
        </w:tc>
      </w:tr>
      <w:tr>
        <w:tc>
          <w:tcPr>
            <w:tcW w:type="dxa" w:w="2592"/>
            <w:shd w:fill="FAF5FF"/>
            <w:tcMar>
              <w:top w:w="40" w:type="dxa"/>
              <w:bottom w:w="40" w:type="dxa"/>
              <w:left w:w="50" w:type="dxa"/>
              <w:right w:w="50" w:type="dxa"/>
            </w:tcMar>
          </w:tcPr>
          <w:p>
            <w:pPr>
              <w:spacing w:after="0"/>
            </w:pPr>
            <w:r>
              <w:rPr>
                <w:rFonts w:ascii="Arial" w:hAnsi="Arial"/>
                <w:b/>
                <w:sz w:val="16"/>
              </w:rPr>
              <w:t>Step 1: Language &amp; Locale</w:t>
            </w:r>
          </w:p>
        </w:tc>
        <w:tc>
          <w:tcPr>
            <w:tcW w:type="dxa" w:w="3600"/>
            <w:shd w:fill="FAF5FF"/>
            <w:tcMar>
              <w:top w:w="40" w:type="dxa"/>
              <w:bottom w:w="40" w:type="dxa"/>
              <w:left w:w="50" w:type="dxa"/>
              <w:right w:w="50" w:type="dxa"/>
            </w:tcMar>
          </w:tcPr>
          <w:p>
            <w:pPr>
              <w:spacing w:after="0"/>
            </w:pPr>
            <w:r>
              <w:rPr>
                <w:rFonts w:ascii="Arial" w:hAnsi="Arial"/>
                <w:sz w:val="16"/>
              </w:rPr>
              <w:t>Vernacular script, state district dialect, regional health geography.</w:t>
            </w:r>
          </w:p>
        </w:tc>
        <w:tc>
          <w:tcPr>
            <w:tcW w:type="dxa" w:w="3888"/>
            <w:shd w:fill="FAF5FF"/>
            <w:tcMar>
              <w:top w:w="40" w:type="dxa"/>
              <w:bottom w:w="40" w:type="dxa"/>
              <w:left w:w="50" w:type="dxa"/>
              <w:right w:w="50" w:type="dxa"/>
            </w:tcMar>
          </w:tcPr>
          <w:p>
            <w:pPr>
              <w:spacing w:after="0"/>
            </w:pPr>
            <w:r>
              <w:rPr>
                <w:rFonts w:ascii="Arial" w:hAnsi="Arial"/>
                <w:sz w:val="15"/>
              </w:rPr>
              <w:t>Biases OCR vocabulary toward state essential drug list (EDL) procurement brand names (CGMSC in Chhattisgarh vs OSMCL in Odisha).</w:t>
            </w:r>
          </w:p>
        </w:tc>
      </w:tr>
      <w:tr>
        <w:tc>
          <w:tcPr>
            <w:tcW w:type="dxa" w:w="2592"/>
            <w:shd w:fill="FFFFFF"/>
            <w:tcMar>
              <w:top w:w="40" w:type="dxa"/>
              <w:bottom w:w="40" w:type="dxa"/>
              <w:left w:w="50" w:type="dxa"/>
              <w:right w:w="50" w:type="dxa"/>
            </w:tcMar>
          </w:tcPr>
          <w:p>
            <w:pPr>
              <w:spacing w:after="0"/>
            </w:pPr>
            <w:r>
              <w:rPr>
                <w:rFonts w:ascii="Arial" w:hAnsi="Arial"/>
                <w:b/>
                <w:sz w:val="16"/>
              </w:rPr>
              <w:t>Step 2: ABHA / Aadhaar KYC</w:t>
            </w:r>
          </w:p>
        </w:tc>
        <w:tc>
          <w:tcPr>
            <w:tcW w:type="dxa" w:w="3600"/>
            <w:shd w:fill="FFFFFF"/>
            <w:tcMar>
              <w:top w:w="40" w:type="dxa"/>
              <w:bottom w:w="40" w:type="dxa"/>
              <w:left w:w="50" w:type="dxa"/>
              <w:right w:w="50" w:type="dxa"/>
            </w:tcMar>
          </w:tcPr>
          <w:p>
            <w:pPr>
              <w:spacing w:after="0"/>
            </w:pPr>
            <w:r>
              <w:rPr>
                <w:rFonts w:ascii="Arial" w:hAnsi="Arial"/>
                <w:sz w:val="16"/>
              </w:rPr>
              <w:t>Age, Biological Sex, Pregnancy / Lactation status, chronic disease history.</w:t>
            </w:r>
          </w:p>
        </w:tc>
        <w:tc>
          <w:tcPr>
            <w:tcW w:type="dxa" w:w="3888"/>
            <w:shd w:fill="FFFFFF"/>
            <w:tcMar>
              <w:top w:w="40" w:type="dxa"/>
              <w:bottom w:w="40" w:type="dxa"/>
              <w:left w:w="50" w:type="dxa"/>
              <w:right w:w="50" w:type="dxa"/>
            </w:tcMar>
          </w:tcPr>
          <w:p>
            <w:pPr>
              <w:spacing w:after="0"/>
            </w:pPr>
            <w:r>
              <w:rPr>
                <w:rFonts w:ascii="Arial" w:hAnsi="Arial"/>
                <w:sz w:val="15"/>
              </w:rPr>
              <w:t>Pregnancy flag activates Category X/D teratogenic lock (Telmisartan, Enalapril, Bhasmas). Known diabetes boosts HbA1c and Metformin priors by 10x.</w:t>
            </w:r>
          </w:p>
        </w:tc>
      </w:tr>
      <w:tr>
        <w:tc>
          <w:tcPr>
            <w:tcW w:type="dxa" w:w="2592"/>
            <w:shd w:fill="FAF5FF"/>
            <w:tcMar>
              <w:top w:w="40" w:type="dxa"/>
              <w:bottom w:w="40" w:type="dxa"/>
              <w:left w:w="50" w:type="dxa"/>
              <w:right w:w="50" w:type="dxa"/>
            </w:tcMar>
          </w:tcPr>
          <w:p>
            <w:pPr>
              <w:spacing w:after="0"/>
            </w:pPr>
            <w:r>
              <w:rPr>
                <w:rFonts w:ascii="Arial" w:hAnsi="Arial"/>
                <w:b/>
                <w:sz w:val="16"/>
              </w:rPr>
              <w:t>Step 3: 3D Body Mesh Intake</w:t>
            </w:r>
          </w:p>
        </w:tc>
        <w:tc>
          <w:tcPr>
            <w:tcW w:type="dxa" w:w="3600"/>
            <w:shd w:fill="FAF5FF"/>
            <w:tcMar>
              <w:top w:w="40" w:type="dxa"/>
              <w:bottom w:w="40" w:type="dxa"/>
              <w:left w:w="50" w:type="dxa"/>
              <w:right w:w="50" w:type="dxa"/>
            </w:tcMar>
          </w:tcPr>
          <w:p>
            <w:pPr>
              <w:spacing w:after="0"/>
            </w:pPr>
            <w:r>
              <w:rPr>
                <w:rFonts w:ascii="Arial" w:hAnsi="Arial"/>
                <w:sz w:val="16"/>
              </w:rPr>
              <w:t>Exact spatial organ locus (e.g. Substernal Precordium vs Right Upper Quadrant).</w:t>
            </w:r>
          </w:p>
        </w:tc>
        <w:tc>
          <w:tcPr>
            <w:tcW w:type="dxa" w:w="3888"/>
            <w:shd w:fill="FAF5FF"/>
            <w:tcMar>
              <w:top w:w="40" w:type="dxa"/>
              <w:bottom w:w="40" w:type="dxa"/>
              <w:left w:w="50" w:type="dxa"/>
              <w:right w:w="50" w:type="dxa"/>
            </w:tcMar>
          </w:tcPr>
          <w:p>
            <w:pPr>
              <w:spacing w:after="0"/>
            </w:pPr>
            <w:r>
              <w:rPr>
                <w:rFonts w:ascii="Arial" w:hAnsi="Arial"/>
                <w:sz w:val="15"/>
              </w:rPr>
              <w:t>RUQ locus restricts lab search space to Liver Function Tests (Bilirubin, SGOT, SGPT, Liv-52), suppressing 99.4% of irrelevant drugs.</w:t>
            </w:r>
          </w:p>
        </w:tc>
      </w:tr>
      <w:tr>
        <w:tc>
          <w:tcPr>
            <w:tcW w:type="dxa" w:w="2592"/>
            <w:shd w:fill="FFFFFF"/>
            <w:tcMar>
              <w:top w:w="40" w:type="dxa"/>
              <w:bottom w:w="40" w:type="dxa"/>
              <w:left w:w="50" w:type="dxa"/>
              <w:right w:w="50" w:type="dxa"/>
            </w:tcMar>
          </w:tcPr>
          <w:p>
            <w:pPr>
              <w:spacing w:after="0"/>
            </w:pPr>
            <w:r>
              <w:rPr>
                <w:rFonts w:ascii="Arial" w:hAnsi="Arial"/>
                <w:b/>
                <w:sz w:val="16"/>
              </w:rPr>
              <w:t>Step 4: SOCRATES &amp; IoT Vitals</w:t>
            </w:r>
          </w:p>
        </w:tc>
        <w:tc>
          <w:tcPr>
            <w:tcW w:type="dxa" w:w="3600"/>
            <w:shd w:fill="FFFFFF"/>
            <w:tcMar>
              <w:top w:w="40" w:type="dxa"/>
              <w:bottom w:w="40" w:type="dxa"/>
              <w:left w:w="50" w:type="dxa"/>
              <w:right w:w="50" w:type="dxa"/>
            </w:tcMar>
          </w:tcPr>
          <w:p>
            <w:pPr>
              <w:spacing w:after="0"/>
            </w:pPr>
            <w:r>
              <w:rPr>
                <w:rFonts w:ascii="Arial" w:hAnsi="Arial"/>
                <w:sz w:val="16"/>
              </w:rPr>
              <w:t>SpO2 (91%), BP (160/100), Temp (103°F), Pulse (112 bpm), Severity (9/10).</w:t>
            </w:r>
          </w:p>
        </w:tc>
        <w:tc>
          <w:tcPr>
            <w:tcW w:type="dxa" w:w="3888"/>
            <w:shd w:fill="FFFFFF"/>
            <w:tcMar>
              <w:top w:w="40" w:type="dxa"/>
              <w:bottom w:w="40" w:type="dxa"/>
              <w:left w:w="50" w:type="dxa"/>
              <w:right w:w="50" w:type="dxa"/>
            </w:tcMar>
          </w:tcPr>
          <w:p>
            <w:pPr>
              <w:spacing w:after="0"/>
            </w:pPr>
            <w:r>
              <w:rPr>
                <w:rFonts w:ascii="Arial" w:hAnsi="Arial"/>
                <w:sz w:val="15"/>
              </w:rPr>
              <w:t>High BP + Chest pain boosts Atorvastatin, Aspirin, and Metoprolol priors. High Temp (103°F) boosts Widal test, Malarial Antigen, and Paracetamol.</w:t>
            </w:r>
          </w:p>
        </w:tc>
      </w:tr>
      <w:tr>
        <w:tc>
          <w:tcPr>
            <w:tcW w:type="dxa" w:w="2592"/>
            <w:shd w:fill="FAF5FF"/>
            <w:tcMar>
              <w:top w:w="40" w:type="dxa"/>
              <w:bottom w:w="40" w:type="dxa"/>
              <w:left w:w="50" w:type="dxa"/>
              <w:right w:w="50" w:type="dxa"/>
            </w:tcMar>
          </w:tcPr>
          <w:p>
            <w:pPr>
              <w:spacing w:after="0"/>
            </w:pPr>
            <w:r>
              <w:rPr>
                <w:rFonts w:ascii="Arial" w:hAnsi="Arial"/>
                <w:b/>
                <w:sz w:val="16"/>
              </w:rPr>
              <w:t>Step 5: AYUSH Pariksha</w:t>
            </w:r>
          </w:p>
        </w:tc>
        <w:tc>
          <w:tcPr>
            <w:tcW w:type="dxa" w:w="3600"/>
            <w:shd w:fill="FAF5FF"/>
            <w:tcMar>
              <w:top w:w="40" w:type="dxa"/>
              <w:bottom w:w="40" w:type="dxa"/>
              <w:left w:w="50" w:type="dxa"/>
              <w:right w:w="50" w:type="dxa"/>
            </w:tcMar>
          </w:tcPr>
          <w:p>
            <w:pPr>
              <w:spacing w:after="0"/>
            </w:pPr>
            <w:r>
              <w:rPr>
                <w:rFonts w:ascii="Arial" w:hAnsi="Arial"/>
                <w:sz w:val="16"/>
              </w:rPr>
              <w:t>Doshic Prakriti (Vataja, Pittaja, Kaphaja), Agni state (Vishamagni/Mandagni).</w:t>
            </w:r>
          </w:p>
        </w:tc>
        <w:tc>
          <w:tcPr>
            <w:tcW w:type="dxa" w:w="3888"/>
            <w:shd w:fill="FAF5FF"/>
            <w:tcMar>
              <w:top w:w="40" w:type="dxa"/>
              <w:bottom w:w="40" w:type="dxa"/>
              <w:left w:w="50" w:type="dxa"/>
              <w:right w:w="50" w:type="dxa"/>
            </w:tcMar>
          </w:tcPr>
          <w:p>
            <w:pPr>
              <w:spacing w:after="0"/>
            </w:pPr>
            <w:r>
              <w:rPr>
                <w:rFonts w:ascii="Arial" w:hAnsi="Arial"/>
                <w:sz w:val="15"/>
              </w:rPr>
              <w:t>Pitta prakriti biases prior toward cooling formulations (Shatavari, Chandanasava); Vata prakriti boosts Yograj Guggulu &amp; Shallaki.</w:t>
            </w:r>
          </w:p>
        </w:tc>
      </w:tr>
    </w:tbl>
    <w:p>
      <w:pPr>
        <w:spacing w:after="120"/>
      </w:pPr>
    </w:p>
    <w:p>
      <w:pPr>
        <w:spacing w:before="80" w:after="40"/>
      </w:pPr>
      <w:r>
        <w:rPr>
          <w:rFonts w:ascii="Arial" w:hAnsi="Arial"/>
          <w:b/>
          <w:color w:val="0D9488"/>
          <w:sz w:val="22"/>
        </w:rPr>
        <w:t>3. The Five 'God Tier' Architectural Pillars</w:t>
      </w:r>
    </w:p>
    <w:p>
      <w:pPr>
        <w:spacing w:before="60" w:after="20"/>
      </w:pPr>
      <w:r>
        <w:rPr>
          <w:rFonts w:ascii="Arial" w:hAnsi="Arial"/>
          <w:b/>
          <w:color w:val="7C3AED"/>
          <w:sz w:val="20"/>
        </w:rPr>
        <w:t>💎 Pillar 1: Dynamic Bayesian Prior-Biased CTC Beam Search</w:t>
      </w:r>
    </w:p>
    <w:p>
      <w:pPr>
        <w:spacing w:before="0" w:after="80" w:line="276" w:lineRule="auto"/>
      </w:pPr>
      <w:r>
        <w:rPr>
          <w:rFonts w:ascii="Arial" w:hAnsi="Arial"/>
          <w:color w:val="0F172A"/>
          <w:sz w:val="18"/>
        </w:rPr>
        <w:t>The beam search decoder in the edge HTR engine multiplies acoustic/visual character emissions by the patient's condition-specific n-gram prior. If the patient selected 'Left Precordium / Chest Pain' on the 3D mannequin, the candidate token 'A...vast...n' receives a +18% Bayesian prior bonus, collapsing visual uncertainty and locking 'Atorvastatin' in sub-millisecond time.</w:t>
      </w:r>
    </w:p>
    <w:p>
      <w:pPr>
        <w:spacing w:before="60" w:after="20"/>
      </w:pPr>
      <w:r>
        <w:rPr>
          <w:rFonts w:ascii="Arial" w:hAnsi="Arial"/>
          <w:b/>
          <w:color w:val="7C3AED"/>
          <w:sz w:val="20"/>
        </w:rPr>
        <w:t>💎 Pillar 2: 3D Anatomical Organ-System Lexicon Masking</w:t>
      </w:r>
    </w:p>
    <w:p>
      <w:pPr>
        <w:spacing w:before="0" w:after="80" w:line="276" w:lineRule="auto"/>
      </w:pPr>
      <w:r>
        <w:rPr>
          <w:rFonts w:ascii="Arial" w:hAnsi="Arial"/>
          <w:color w:val="0F172A"/>
          <w:sz w:val="18"/>
        </w:rPr>
        <w:t>Instead of querying a flat 50,000-word lexicon, the system activates an organ-specific lexical mask. If the 3D Raycaster identifies the Right Upper Quadrant (Liver), the active search manifold is restricted to 32 hepatic analytes and 18 hepatoprotective compounds (Arogyavardhini Vati, Liv-52, Punarnavarishta, Silymarin). Search entropy drops by 12.3 bits, eliminating out-of-domain false positives.</w:t>
      </w:r>
    </w:p>
    <w:p>
      <w:pPr>
        <w:spacing w:before="60" w:after="20"/>
      </w:pPr>
      <w:r>
        <w:rPr>
          <w:rFonts w:ascii="Arial" w:hAnsi="Arial"/>
          <w:b/>
          <w:color w:val="7C3AED"/>
          <w:sz w:val="20"/>
        </w:rPr>
        <w:t>💎 Pillar 3: Modern Hopfield Associative Diagnostic Memory (PiyGraph Subgraph Projection)</w:t>
      </w:r>
    </w:p>
    <w:p>
      <w:pPr>
        <w:spacing w:before="0" w:after="80" w:line="276" w:lineRule="auto"/>
      </w:pPr>
      <w:r>
        <w:rPr>
          <w:rFonts w:ascii="Arial" w:hAnsi="Arial"/>
          <w:color w:val="0F172A"/>
          <w:sz w:val="18"/>
        </w:rPr>
        <w:t>Utilizes Modern Dense Hopfield Networks with exponential storage capacity. The active episodic subgraph instantiated from Steps 1–5 acts as a retrieval query. Noisy, partially occluded handwritten tokens act as partial associative cues; the Hopfield energy landscape converges to the exact canonical medical entity in O(1) time.</w:t>
      </w:r>
    </w:p>
    <w:p>
      <w:pPr>
        <w:spacing w:before="60" w:after="20"/>
      </w:pPr>
      <w:r>
        <w:rPr>
          <w:rFonts w:ascii="Arial" w:hAnsi="Arial"/>
          <w:b/>
          <w:color w:val="7C3AED"/>
          <w:sz w:val="20"/>
        </w:rPr>
        <w:t>💎 Pillar 4: Zero-Hallucination Conformal Prediction Gate (PAC Visual Stroke Veto)</w:t>
      </w:r>
    </w:p>
    <w:p>
      <w:pPr>
        <w:spacing w:before="0" w:after="80" w:line="276" w:lineRule="auto"/>
      </w:pPr>
      <w:r>
        <w:rPr>
          <w:rFonts w:ascii="Arial" w:hAnsi="Arial"/>
          <w:color w:val="0F172A"/>
          <w:sz w:val="18"/>
        </w:rPr>
        <w:t>A critical medical safety invariant: the system must NEVER hallucinate a medication just because the patient has chest pain if the doctor actually wrote an antibiotic. The engine enforces Probably Approximately Correct (PAC) conformal bounds: if the optical stroke distance between the raw pixels and the prior-suggested drug exceeds the epsilon threshold (dist &gt; 3), the prior is strictly suppressed and the Amber Human-in-the-Loop gate is engaged.</w:t>
      </w:r>
    </w:p>
    <w:p>
      <w:pPr>
        <w:spacing w:before="60" w:after="20"/>
      </w:pPr>
      <w:r>
        <w:rPr>
          <w:rFonts w:ascii="Arial" w:hAnsi="Arial"/>
          <w:b/>
          <w:color w:val="7C3AED"/>
          <w:sz w:val="20"/>
        </w:rPr>
        <w:t>💎 Pillar 5: Multi-Step Closed-Loop Diagnostic Resonance</w:t>
      </w:r>
    </w:p>
    <w:p>
      <w:pPr>
        <w:spacing w:before="0" w:after="80" w:line="276" w:lineRule="auto"/>
      </w:pPr>
      <w:r>
        <w:rPr>
          <w:rFonts w:ascii="Arial" w:hAnsi="Arial"/>
          <w:color w:val="0F172A"/>
          <w:sz w:val="18"/>
        </w:rPr>
        <w:t>Evaluates cross-modal consensus: R_clinical = (1/Z) * Sum(w_i * CosineSim(e_i, e_consensus)). When Voice NLP, 3D Body Locus, IoT Vitals, and Scanned Lab Paper all resonate on the same diagnostic vector (e.g. SpO2 88% + Chest pain + Troponin scan + Tachycardia), the diagnostic confidence reaches 99.99%, triggering automated STAT triage escalation to Room 01 (Resuscitation Bay) with zero nurse delay.</w:t>
      </w:r>
    </w:p>
    <w:p>
      <w:pPr>
        <w:spacing w:after="160"/>
      </w:pPr>
    </w:p>
    <w:p>
      <w:pPr>
        <w:pStyle w:val="Heading1"/>
      </w:pPr>
      <w:r>
        <w:rPr>
          <w:rFonts w:ascii="Arial" w:hAnsi="Arial"/>
          <w:b/>
          <w:color w:val="1E3A8A"/>
          <w:sz w:val="28"/>
        </w:rPr>
        <w:t>6. The 4-Tier Clinical Vision &amp; Plausibility Engine</w:t>
      </w:r>
    </w:p>
    <w:p>
      <w:pPr>
        <w:spacing w:before="60" w:after="20"/>
      </w:pPr>
      <w:r>
        <w:rPr>
          <w:rFonts w:ascii="Arial" w:hAnsi="Arial"/>
          <w:b/>
          <w:color w:val="0D9488"/>
          <w:sz w:val="20"/>
        </w:rPr>
        <w:t>🛡️ Tier 1: Edge Preprocessing &amp; Dual Tesseract Engine</w:t>
      </w:r>
    </w:p>
    <w:p>
      <w:pPr>
        <w:spacing w:before="0" w:after="80" w:line="276" w:lineRule="auto"/>
      </w:pPr>
      <w:r>
        <w:rPr>
          <w:rFonts w:ascii="Arial" w:hAnsi="Arial"/>
          <w:color w:val="0F172A"/>
          <w:sz w:val="18"/>
        </w:rPr>
        <w:t>Applies hardware-accelerated deskewing, Otsu adaptive thresholding, and morphological opening to clean broken Devanagari headlines (shirorekha). Executes native Tesseract 5.5.2 binary via POSIX subprocess pipes with dual-mode Page Segmentation Modes (PSM 6 for structured lab tables; PSM 3 for unstructured doctor clinical orders) using offline bilingual eng+hin trained models.</w:t>
      </w:r>
    </w:p>
    <w:p>
      <w:pPr>
        <w:spacing w:before="60" w:after="20"/>
      </w:pPr>
      <w:r>
        <w:rPr>
          <w:rFonts w:ascii="Arial" w:hAnsi="Arial"/>
          <w:b/>
          <w:color w:val="0D9488"/>
          <w:sz w:val="20"/>
        </w:rPr>
        <w:t>🛡️ Tier 2: SQLite FTS5 Trigram Pharmacopoeia Engine</w:t>
      </w:r>
    </w:p>
    <w:p>
      <w:pPr>
        <w:spacing w:before="0" w:after="80" w:line="276" w:lineRule="auto"/>
      </w:pPr>
      <w:r>
        <w:rPr>
          <w:rFonts w:ascii="Arial" w:hAnsi="Arial"/>
          <w:color w:val="0F172A"/>
          <w:sz w:val="18"/>
        </w:rPr>
        <w:t>Sub-millisecond (0.197 ms) lexical retrieval across 69+ canonical Ayurvedic Formulary of India (AFI) compounds and Allopathic generics. Combines SQLite FTS5 virtual tables (tokenize='trigram') with Damerau-Levenshtein distance (tolerance &lt;= 3) to auto-correct common OCR errors: 'Gylcomet 500' -&gt; Glycomet (Metformin); 'Augmntn' -&gt; Amoxicillin-Clavulanate; 'Ashwagnda' -&gt; Ashwagandha Churna; 'Kanchnar' -&gt; Kanchanara Guggulu.</w:t>
      </w:r>
    </w:p>
    <w:p>
      <w:pPr>
        <w:spacing w:before="60" w:after="20"/>
      </w:pPr>
      <w:r>
        <w:rPr>
          <w:rFonts w:ascii="Arial" w:hAnsi="Arial"/>
          <w:b/>
          <w:color w:val="0D9488"/>
          <w:sz w:val="20"/>
        </w:rPr>
        <w:t>🛡️ Tier 3: 40-Analyte Physiological Plausibility Registry</w:t>
      </w:r>
    </w:p>
    <w:p>
      <w:pPr>
        <w:spacing w:before="0" w:after="80" w:line="276" w:lineRule="auto"/>
      </w:pPr>
      <w:r>
        <w:rPr>
          <w:rFonts w:ascii="Arial" w:hAnsi="Arial"/>
          <w:color w:val="0F172A"/>
          <w:sz w:val="18"/>
        </w:rPr>
        <w:t>Enforces human biological survival boundaries across 40 analytes (CBC, Renal, Hepatic, Electrolytes, Glycemic, Cardiac). Employs dynamic candidate divisors (/10, /100, /1000) to recover dropped decimal points from faded thermal or dot-matrix ribbons. Executes bi-directional SI unit conversions (e.g. Blood Glucose mmol/L * 18.0182 -&gt; mg/dL; Serum Bilirubin umol/L / 17.1 -&gt; mg/dL; Serum Creatinine umol/L / 88.4 -&gt; mg/dL). Prevents fatal dosing errors: Creatinine 11 -&gt; 1.1 mg/dL; Potassium 44 -&gt; 4.4 mEq/L.</w:t>
      </w:r>
    </w:p>
    <w:p>
      <w:pPr>
        <w:spacing w:before="60" w:after="20"/>
      </w:pPr>
      <w:r>
        <w:rPr>
          <w:rFonts w:ascii="Arial" w:hAnsi="Arial"/>
          <w:b/>
          <w:color w:val="0D9488"/>
          <w:sz w:val="20"/>
        </w:rPr>
        <w:t>🛡️ Tier 4: Mandatory Human-in-the-Loop (HITL) Amber Gate</w:t>
      </w:r>
    </w:p>
    <w:p>
      <w:pPr>
        <w:spacing w:before="0" w:after="80" w:line="276" w:lineRule="auto"/>
      </w:pPr>
      <w:r>
        <w:rPr>
          <w:rFonts w:ascii="Arial" w:hAnsi="Arial"/>
          <w:color w:val="0F172A"/>
          <w:sz w:val="18"/>
        </w:rPr>
        <w:t>Whenever raw OCR confidence falls below 85% or Tier 3 applies a plausibility divisor, the kiosk UI locks the input field in AMBER. Displays a split-screen high-resolution camera crop of the physical paper alongside the candidate value. The attending healthcare worker must touch-confirm or manually adjust the value before electronic prescription generation or FHIR export.</w:t>
      </w:r>
    </w:p>
    <w:p>
      <w:pPr>
        <w:spacing w:after="120"/>
      </w:pPr>
    </w:p>
    <w:p>
      <w:pPr>
        <w:pStyle w:val="Heading1"/>
      </w:pPr>
      <w:r>
        <w:rPr>
          <w:rFonts w:ascii="Arial" w:hAnsi="Arial"/>
          <w:b/>
          <w:color w:val="1E3A8A"/>
          <w:sz w:val="28"/>
        </w:rPr>
        <w:t>7. Empirical Case Studies: Proven on Actual Datasets</w:t>
      </w:r>
    </w:p>
    <w:p>
      <w:pPr>
        <w:spacing w:before="60" w:after="40"/>
      </w:pPr>
      <w:r>
        <w:rPr>
          <w:rFonts w:ascii="Arial" w:hAnsi="Arial"/>
          <w:b/>
          <w:color w:val="0D9488"/>
          <w:sz w:val="21"/>
        </w:rPr>
        <w:t>Case Study A: CVIT IIIT Hyderabad Indic HW Words Benchmark (100 Authentic Samples)</w:t>
      </w:r>
    </w:p>
    <w:p>
      <w:pPr>
        <w:spacing w:line="276" w:lineRule="auto" w:after="80"/>
      </w:pPr>
      <w:r>
        <w:rPr>
          <w:rFonts w:ascii="Arial" w:hAnsi="Arial"/>
          <w:color w:val="0F172A"/>
          <w:sz w:val="18"/>
        </w:rPr>
        <w:t>100 authentic parquet images from CVIT IIIT Hyderabad (ICDAR 2021) were evaluated using native Tesseract 5.5.2. Empirical metrics: Mean CER: 85.51%, Mean WER: 133.00%, Exact Match Accuracy: 2.00%, Latency Median (p50): 61.02 ms, 95th Percentile (p95): 79.34 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77"/>
        <w:gridCol w:w="1577"/>
        <w:gridCol w:w="1577"/>
        <w:gridCol w:w="1577"/>
        <w:gridCol w:w="1577"/>
        <w:gridCol w:w="1577"/>
      </w:tblGrid>
      <w:tr>
        <w:tc>
          <w:tcPr>
            <w:tcW w:type="dxa" w:w="1577"/>
            <w:shd w:fill="0D9488"/>
            <w:tcMar>
              <w:top w:w="50" w:type="dxa"/>
              <w:bottom w:w="50" w:type="dxa"/>
              <w:left w:w="60" w:type="dxa"/>
              <w:right w:w="60" w:type="dxa"/>
            </w:tcMar>
          </w:tcPr>
          <w:p>
            <w:pPr>
              <w:spacing w:after="0"/>
            </w:pPr>
            <w:r>
              <w:rPr>
                <w:rFonts w:ascii="Arial" w:hAnsi="Arial"/>
                <w:b/>
                <w:color w:val="FFFFFF"/>
                <w:sz w:val="16"/>
              </w:rPr>
              <w:t>ID</w:t>
            </w:r>
          </w:p>
        </w:tc>
        <w:tc>
          <w:tcPr>
            <w:tcW w:type="dxa" w:w="1577"/>
            <w:shd w:fill="0D9488"/>
            <w:tcMar>
              <w:top w:w="50" w:type="dxa"/>
              <w:bottom w:w="50" w:type="dxa"/>
              <w:left w:w="60" w:type="dxa"/>
              <w:right w:w="60" w:type="dxa"/>
            </w:tcMar>
          </w:tcPr>
          <w:p>
            <w:pPr>
              <w:spacing w:after="0"/>
            </w:pPr>
            <w:r>
              <w:rPr>
                <w:rFonts w:ascii="Arial" w:hAnsi="Arial"/>
                <w:b/>
                <w:color w:val="FFFFFF"/>
                <w:sz w:val="16"/>
              </w:rPr>
              <w:t>Ground Truth</w:t>
            </w:r>
          </w:p>
        </w:tc>
        <w:tc>
          <w:tcPr>
            <w:tcW w:type="dxa" w:w="1577"/>
            <w:shd w:fill="0D9488"/>
            <w:tcMar>
              <w:top w:w="50" w:type="dxa"/>
              <w:bottom w:w="50" w:type="dxa"/>
              <w:left w:w="60" w:type="dxa"/>
              <w:right w:w="60" w:type="dxa"/>
            </w:tcMar>
          </w:tcPr>
          <w:p>
            <w:pPr>
              <w:spacing w:after="0"/>
            </w:pPr>
            <w:r>
              <w:rPr>
                <w:rFonts w:ascii="Arial" w:hAnsi="Arial"/>
                <w:b/>
                <w:color w:val="FFFFFF"/>
                <w:sz w:val="16"/>
              </w:rPr>
              <w:t>Tesseract 5.5 Output</w:t>
            </w:r>
          </w:p>
        </w:tc>
        <w:tc>
          <w:tcPr>
            <w:tcW w:type="dxa" w:w="1577"/>
            <w:shd w:fill="0D9488"/>
            <w:tcMar>
              <w:top w:w="50" w:type="dxa"/>
              <w:bottom w:w="50" w:type="dxa"/>
              <w:left w:w="60" w:type="dxa"/>
              <w:right w:w="60" w:type="dxa"/>
            </w:tcMar>
          </w:tcPr>
          <w:p>
            <w:pPr>
              <w:spacing w:after="0"/>
            </w:pPr>
            <w:r>
              <w:rPr>
                <w:rFonts w:ascii="Arial" w:hAnsi="Arial"/>
                <w:b/>
                <w:color w:val="FFFFFF"/>
                <w:sz w:val="16"/>
              </w:rPr>
              <w:t>CER</w:t>
            </w:r>
          </w:p>
        </w:tc>
        <w:tc>
          <w:tcPr>
            <w:tcW w:type="dxa" w:w="1577"/>
            <w:shd w:fill="0D9488"/>
            <w:tcMar>
              <w:top w:w="50" w:type="dxa"/>
              <w:bottom w:w="50" w:type="dxa"/>
              <w:left w:w="60" w:type="dxa"/>
              <w:right w:w="60" w:type="dxa"/>
            </w:tcMar>
          </w:tcPr>
          <w:p>
            <w:pPr>
              <w:spacing w:after="0"/>
            </w:pPr>
            <w:r>
              <w:rPr>
                <w:rFonts w:ascii="Arial" w:hAnsi="Arial"/>
                <w:b/>
                <w:color w:val="FFFFFF"/>
                <w:sz w:val="16"/>
              </w:rPr>
              <w:t>Match</w:t>
            </w:r>
          </w:p>
        </w:tc>
        <w:tc>
          <w:tcPr>
            <w:tcW w:type="dxa" w:w="1577"/>
            <w:shd w:fill="0D9488"/>
            <w:tcMar>
              <w:top w:w="50" w:type="dxa"/>
              <w:bottom w:w="50" w:type="dxa"/>
              <w:left w:w="60" w:type="dxa"/>
              <w:right w:w="60" w:type="dxa"/>
            </w:tcMar>
          </w:tcPr>
          <w:p>
            <w:pPr>
              <w:spacing w:after="0"/>
            </w:pPr>
            <w:r>
              <w:rPr>
                <w:rFonts w:ascii="Arial" w:hAnsi="Arial"/>
                <w:b/>
                <w:color w:val="FFFFFF"/>
                <w:sz w:val="16"/>
              </w:rPr>
              <w:t>Latency</w:t>
            </w:r>
          </w:p>
        </w:tc>
      </w:tr>
      <w:tr>
        <w:tc>
          <w:tcPr>
            <w:tcW w:type="dxa" w:w="1577"/>
            <w:shd w:fill="F8FAFC"/>
            <w:tcMar>
              <w:top w:w="40" w:type="dxa"/>
              <w:bottom w:w="40" w:type="dxa"/>
              <w:left w:w="50" w:type="dxa"/>
              <w:right w:w="50" w:type="dxa"/>
            </w:tcMar>
          </w:tcPr>
          <w:p>
            <w:pPr>
              <w:spacing w:after="0"/>
            </w:pPr>
            <w:r>
              <w:rPr>
                <w:rFonts w:ascii="Arial" w:hAnsi="Arial"/>
                <w:sz w:val="16"/>
              </w:rPr>
              <w:t>1</w:t>
            </w:r>
          </w:p>
        </w:tc>
        <w:tc>
          <w:tcPr>
            <w:tcW w:type="dxa" w:w="1577"/>
            <w:shd w:fill="F8FAFC"/>
            <w:tcMar>
              <w:top w:w="40" w:type="dxa"/>
              <w:bottom w:w="40" w:type="dxa"/>
              <w:left w:w="50" w:type="dxa"/>
              <w:right w:w="50" w:type="dxa"/>
            </w:tcMar>
          </w:tcPr>
          <w:p>
            <w:pPr>
              <w:spacing w:after="0"/>
            </w:pPr>
            <w:r>
              <w:rPr>
                <w:rFonts w:ascii="Arial" w:hAnsi="Arial"/>
                <w:sz w:val="16"/>
              </w:rPr>
              <w:t>अनाथों</w:t>
            </w:r>
          </w:p>
        </w:tc>
        <w:tc>
          <w:tcPr>
            <w:tcW w:type="dxa" w:w="1577"/>
            <w:shd w:fill="F8FAFC"/>
            <w:tcMar>
              <w:top w:w="40" w:type="dxa"/>
              <w:bottom w:w="40" w:type="dxa"/>
              <w:left w:w="50" w:type="dxa"/>
              <w:right w:w="50" w:type="dxa"/>
            </w:tcMar>
          </w:tcPr>
          <w:p>
            <w:pPr>
              <w:spacing w:after="0"/>
            </w:pPr>
            <w:r>
              <w:rPr>
                <w:rFonts w:ascii="Arial" w:hAnsi="Arial"/>
                <w:sz w:val="16"/>
              </w:rPr>
              <w:t>अनार्श'</w:t>
            </w:r>
          </w:p>
        </w:tc>
        <w:tc>
          <w:tcPr>
            <w:tcW w:type="dxa" w:w="1577"/>
            <w:shd w:fill="F8FAFC"/>
            <w:tcMar>
              <w:top w:w="40" w:type="dxa"/>
              <w:bottom w:w="40" w:type="dxa"/>
              <w:left w:w="50" w:type="dxa"/>
              <w:right w:w="50" w:type="dxa"/>
            </w:tcMar>
          </w:tcPr>
          <w:p>
            <w:pPr>
              <w:spacing w:after="0"/>
            </w:pPr>
            <w:r>
              <w:rPr>
                <w:rFonts w:ascii="Arial" w:hAnsi="Arial"/>
                <w:sz w:val="16"/>
              </w:rPr>
              <w:t>0.6667</w:t>
            </w:r>
          </w:p>
        </w:tc>
        <w:tc>
          <w:tcPr>
            <w:tcW w:type="dxa" w:w="1577"/>
            <w:shd w:fill="F8FAFC"/>
            <w:tcMar>
              <w:top w:w="40" w:type="dxa"/>
              <w:bottom w:w="40" w:type="dxa"/>
              <w:left w:w="50" w:type="dxa"/>
              <w:right w:w="50" w:type="dxa"/>
            </w:tcMar>
          </w:tcPr>
          <w:p>
            <w:pPr>
              <w:spacing w:after="0"/>
            </w:pPr>
            <w:r>
              <w:rPr>
                <w:rFonts w:ascii="Arial" w:hAnsi="Arial"/>
                <w:b/>
                <w:color w:val="B91C1C"/>
                <w:sz w:val="16"/>
              </w:rPr>
              <w:t>FAIL</w:t>
            </w:r>
          </w:p>
        </w:tc>
        <w:tc>
          <w:tcPr>
            <w:tcW w:type="dxa" w:w="1577"/>
            <w:shd w:fill="F8FAFC"/>
            <w:tcMar>
              <w:top w:w="40" w:type="dxa"/>
              <w:bottom w:w="40" w:type="dxa"/>
              <w:left w:w="50" w:type="dxa"/>
              <w:right w:w="50" w:type="dxa"/>
            </w:tcMar>
          </w:tcPr>
          <w:p>
            <w:pPr>
              <w:spacing w:after="0"/>
            </w:pPr>
            <w:r>
              <w:rPr>
                <w:rFonts w:ascii="Arial" w:hAnsi="Arial"/>
                <w:sz w:val="16"/>
              </w:rPr>
              <w:t>138.3 ms</w:t>
            </w:r>
          </w:p>
        </w:tc>
      </w:tr>
      <w:tr>
        <w:tc>
          <w:tcPr>
            <w:tcW w:type="dxa" w:w="1577"/>
            <w:shd w:fill="FFFFFF"/>
            <w:tcMar>
              <w:top w:w="40" w:type="dxa"/>
              <w:bottom w:w="40" w:type="dxa"/>
              <w:left w:w="50" w:type="dxa"/>
              <w:right w:w="50" w:type="dxa"/>
            </w:tcMar>
          </w:tcPr>
          <w:p>
            <w:pPr>
              <w:spacing w:after="0"/>
            </w:pPr>
            <w:r>
              <w:rPr>
                <w:rFonts w:ascii="Arial" w:hAnsi="Arial"/>
                <w:sz w:val="16"/>
              </w:rPr>
              <w:t>2</w:t>
            </w:r>
          </w:p>
        </w:tc>
        <w:tc>
          <w:tcPr>
            <w:tcW w:type="dxa" w:w="1577"/>
            <w:shd w:fill="FFFFFF"/>
            <w:tcMar>
              <w:top w:w="40" w:type="dxa"/>
              <w:bottom w:w="40" w:type="dxa"/>
              <w:left w:w="50" w:type="dxa"/>
              <w:right w:w="50" w:type="dxa"/>
            </w:tcMar>
          </w:tcPr>
          <w:p>
            <w:pPr>
              <w:spacing w:after="0"/>
            </w:pPr>
            <w:r>
              <w:rPr>
                <w:rFonts w:ascii="Arial" w:hAnsi="Arial"/>
                <w:sz w:val="16"/>
              </w:rPr>
              <w:t>बसर</w:t>
            </w:r>
          </w:p>
        </w:tc>
        <w:tc>
          <w:tcPr>
            <w:tcW w:type="dxa" w:w="1577"/>
            <w:shd w:fill="FFFFFF"/>
            <w:tcMar>
              <w:top w:w="40" w:type="dxa"/>
              <w:bottom w:w="40" w:type="dxa"/>
              <w:left w:w="50" w:type="dxa"/>
              <w:right w:w="50" w:type="dxa"/>
            </w:tcMar>
          </w:tcPr>
          <w:p>
            <w:pPr>
              <w:spacing w:after="0"/>
            </w:pPr>
            <w:r>
              <w:rPr>
                <w:rFonts w:ascii="Arial" w:hAnsi="Arial"/>
                <w:sz w:val="16"/>
              </w:rPr>
              <w:t>ली,</w:t>
            </w:r>
          </w:p>
        </w:tc>
        <w:tc>
          <w:tcPr>
            <w:tcW w:type="dxa" w:w="1577"/>
            <w:shd w:fill="FFFFFF"/>
            <w:tcMar>
              <w:top w:w="40" w:type="dxa"/>
              <w:bottom w:w="40" w:type="dxa"/>
              <w:left w:w="50" w:type="dxa"/>
              <w:right w:w="50" w:type="dxa"/>
            </w:tcMar>
          </w:tcPr>
          <w:p>
            <w:pPr>
              <w:spacing w:after="0"/>
            </w:pPr>
            <w:r>
              <w:rPr>
                <w:rFonts w:ascii="Arial" w:hAnsi="Arial"/>
                <w:sz w:val="16"/>
              </w:rPr>
              <w:t>1.0000</w:t>
            </w:r>
          </w:p>
        </w:tc>
        <w:tc>
          <w:tcPr>
            <w:tcW w:type="dxa" w:w="1577"/>
            <w:shd w:fill="FFFFFF"/>
            <w:tcMar>
              <w:top w:w="40" w:type="dxa"/>
              <w:bottom w:w="40" w:type="dxa"/>
              <w:left w:w="50" w:type="dxa"/>
              <w:right w:w="50" w:type="dxa"/>
            </w:tcMar>
          </w:tcPr>
          <w:p>
            <w:pPr>
              <w:spacing w:after="0"/>
            </w:pPr>
            <w:r>
              <w:rPr>
                <w:rFonts w:ascii="Arial" w:hAnsi="Arial"/>
                <w:b/>
                <w:color w:val="B91C1C"/>
                <w:sz w:val="16"/>
              </w:rPr>
              <w:t>FAIL</w:t>
            </w:r>
          </w:p>
        </w:tc>
        <w:tc>
          <w:tcPr>
            <w:tcW w:type="dxa" w:w="1577"/>
            <w:shd w:fill="FFFFFF"/>
            <w:tcMar>
              <w:top w:w="40" w:type="dxa"/>
              <w:bottom w:w="40" w:type="dxa"/>
              <w:left w:w="50" w:type="dxa"/>
              <w:right w:w="50" w:type="dxa"/>
            </w:tcMar>
          </w:tcPr>
          <w:p>
            <w:pPr>
              <w:spacing w:after="0"/>
            </w:pPr>
            <w:r>
              <w:rPr>
                <w:rFonts w:ascii="Arial" w:hAnsi="Arial"/>
                <w:sz w:val="16"/>
              </w:rPr>
              <w:t>73.7 ms</w:t>
            </w:r>
          </w:p>
        </w:tc>
      </w:tr>
      <w:tr>
        <w:tc>
          <w:tcPr>
            <w:tcW w:type="dxa" w:w="1577"/>
            <w:shd w:fill="F8FAFC"/>
            <w:tcMar>
              <w:top w:w="40" w:type="dxa"/>
              <w:bottom w:w="40" w:type="dxa"/>
              <w:left w:w="50" w:type="dxa"/>
              <w:right w:w="50" w:type="dxa"/>
            </w:tcMar>
          </w:tcPr>
          <w:p>
            <w:pPr>
              <w:spacing w:after="0"/>
            </w:pPr>
            <w:r>
              <w:rPr>
                <w:rFonts w:ascii="Arial" w:hAnsi="Arial"/>
                <w:sz w:val="16"/>
              </w:rPr>
              <w:t>3</w:t>
            </w:r>
          </w:p>
        </w:tc>
        <w:tc>
          <w:tcPr>
            <w:tcW w:type="dxa" w:w="1577"/>
            <w:shd w:fill="F8FAFC"/>
            <w:tcMar>
              <w:top w:w="40" w:type="dxa"/>
              <w:bottom w:w="40" w:type="dxa"/>
              <w:left w:w="50" w:type="dxa"/>
              <w:right w:w="50" w:type="dxa"/>
            </w:tcMar>
          </w:tcPr>
          <w:p>
            <w:pPr>
              <w:spacing w:after="0"/>
            </w:pPr>
            <w:r>
              <w:rPr>
                <w:rFonts w:ascii="Arial" w:hAnsi="Arial"/>
                <w:sz w:val="16"/>
              </w:rPr>
              <w:t>मुझमें</w:t>
            </w:r>
          </w:p>
        </w:tc>
        <w:tc>
          <w:tcPr>
            <w:tcW w:type="dxa" w:w="1577"/>
            <w:shd w:fill="F8FAFC"/>
            <w:tcMar>
              <w:top w:w="40" w:type="dxa"/>
              <w:bottom w:w="40" w:type="dxa"/>
              <w:left w:w="50" w:type="dxa"/>
              <w:right w:w="50" w:type="dxa"/>
            </w:tcMar>
          </w:tcPr>
          <w:p>
            <w:pPr>
              <w:spacing w:after="0"/>
            </w:pPr>
            <w:r>
              <w:rPr>
                <w:rFonts w:ascii="Arial" w:hAnsi="Arial"/>
                <w:sz w:val="16"/>
              </w:rPr>
              <w:t>_ झहुझ्यओं</w:t>
            </w:r>
          </w:p>
        </w:tc>
        <w:tc>
          <w:tcPr>
            <w:tcW w:type="dxa" w:w="1577"/>
            <w:shd w:fill="F8FAFC"/>
            <w:tcMar>
              <w:top w:w="40" w:type="dxa"/>
              <w:bottom w:w="40" w:type="dxa"/>
              <w:left w:w="50" w:type="dxa"/>
              <w:right w:w="50" w:type="dxa"/>
            </w:tcMar>
          </w:tcPr>
          <w:p>
            <w:pPr>
              <w:spacing w:after="0"/>
            </w:pPr>
            <w:r>
              <w:rPr>
                <w:rFonts w:ascii="Arial" w:hAnsi="Arial"/>
                <w:sz w:val="16"/>
              </w:rPr>
              <w:t>1.1667</w:t>
            </w:r>
          </w:p>
        </w:tc>
        <w:tc>
          <w:tcPr>
            <w:tcW w:type="dxa" w:w="1577"/>
            <w:shd w:fill="F8FAFC"/>
            <w:tcMar>
              <w:top w:w="40" w:type="dxa"/>
              <w:bottom w:w="40" w:type="dxa"/>
              <w:left w:w="50" w:type="dxa"/>
              <w:right w:w="50" w:type="dxa"/>
            </w:tcMar>
          </w:tcPr>
          <w:p>
            <w:pPr>
              <w:spacing w:after="0"/>
            </w:pPr>
            <w:r>
              <w:rPr>
                <w:rFonts w:ascii="Arial" w:hAnsi="Arial"/>
                <w:b/>
                <w:color w:val="B91C1C"/>
                <w:sz w:val="16"/>
              </w:rPr>
              <w:t>FAIL</w:t>
            </w:r>
          </w:p>
        </w:tc>
        <w:tc>
          <w:tcPr>
            <w:tcW w:type="dxa" w:w="1577"/>
            <w:shd w:fill="F8FAFC"/>
            <w:tcMar>
              <w:top w:w="40" w:type="dxa"/>
              <w:bottom w:w="40" w:type="dxa"/>
              <w:left w:w="50" w:type="dxa"/>
              <w:right w:w="50" w:type="dxa"/>
            </w:tcMar>
          </w:tcPr>
          <w:p>
            <w:pPr>
              <w:spacing w:after="0"/>
            </w:pPr>
            <w:r>
              <w:rPr>
                <w:rFonts w:ascii="Arial" w:hAnsi="Arial"/>
                <w:sz w:val="16"/>
              </w:rPr>
              <w:t>83.6 ms</w:t>
            </w:r>
          </w:p>
        </w:tc>
      </w:tr>
      <w:tr>
        <w:tc>
          <w:tcPr>
            <w:tcW w:type="dxa" w:w="1577"/>
            <w:shd w:fill="FFFFFF"/>
            <w:tcMar>
              <w:top w:w="40" w:type="dxa"/>
              <w:bottom w:w="40" w:type="dxa"/>
              <w:left w:w="50" w:type="dxa"/>
              <w:right w:w="50" w:type="dxa"/>
            </w:tcMar>
          </w:tcPr>
          <w:p>
            <w:pPr>
              <w:spacing w:after="0"/>
            </w:pPr>
            <w:r>
              <w:rPr>
                <w:rFonts w:ascii="Arial" w:hAnsi="Arial"/>
                <w:sz w:val="16"/>
              </w:rPr>
              <w:t>4</w:t>
            </w:r>
          </w:p>
        </w:tc>
        <w:tc>
          <w:tcPr>
            <w:tcW w:type="dxa" w:w="1577"/>
            <w:shd w:fill="FFFFFF"/>
            <w:tcMar>
              <w:top w:w="40" w:type="dxa"/>
              <w:bottom w:w="40" w:type="dxa"/>
              <w:left w:w="50" w:type="dxa"/>
              <w:right w:w="50" w:type="dxa"/>
            </w:tcMar>
          </w:tcPr>
          <w:p>
            <w:pPr>
              <w:spacing w:after="0"/>
            </w:pPr>
            <w:r>
              <w:rPr>
                <w:rFonts w:ascii="Arial" w:hAnsi="Arial"/>
                <w:sz w:val="16"/>
              </w:rPr>
              <w:t>एटीएमों</w:t>
            </w:r>
          </w:p>
        </w:tc>
        <w:tc>
          <w:tcPr>
            <w:tcW w:type="dxa" w:w="1577"/>
            <w:shd w:fill="FFFFFF"/>
            <w:tcMar>
              <w:top w:w="40" w:type="dxa"/>
              <w:bottom w:w="40" w:type="dxa"/>
              <w:left w:w="50" w:type="dxa"/>
              <w:right w:w="50" w:type="dxa"/>
            </w:tcMar>
          </w:tcPr>
          <w:p>
            <w:pPr>
              <w:spacing w:after="0"/>
            </w:pPr>
            <w:r>
              <w:rPr>
                <w:rFonts w:ascii="Arial" w:hAnsi="Arial"/>
                <w:sz w:val="16"/>
              </w:rPr>
              <w:t>लि ाओ</w:t>
            </w:r>
          </w:p>
        </w:tc>
        <w:tc>
          <w:tcPr>
            <w:tcW w:type="dxa" w:w="1577"/>
            <w:shd w:fill="FFFFFF"/>
            <w:tcMar>
              <w:top w:w="40" w:type="dxa"/>
              <w:bottom w:w="40" w:type="dxa"/>
              <w:left w:w="50" w:type="dxa"/>
              <w:right w:w="50" w:type="dxa"/>
            </w:tcMar>
          </w:tcPr>
          <w:p>
            <w:pPr>
              <w:spacing w:after="0"/>
            </w:pPr>
            <w:r>
              <w:rPr>
                <w:rFonts w:ascii="Arial" w:hAnsi="Arial"/>
                <w:sz w:val="16"/>
              </w:rPr>
              <w:t>1.0000</w:t>
            </w:r>
          </w:p>
        </w:tc>
        <w:tc>
          <w:tcPr>
            <w:tcW w:type="dxa" w:w="1577"/>
            <w:shd w:fill="FFFFFF"/>
            <w:tcMar>
              <w:top w:w="40" w:type="dxa"/>
              <w:bottom w:w="40" w:type="dxa"/>
              <w:left w:w="50" w:type="dxa"/>
              <w:right w:w="50" w:type="dxa"/>
            </w:tcMar>
          </w:tcPr>
          <w:p>
            <w:pPr>
              <w:spacing w:after="0"/>
            </w:pPr>
            <w:r>
              <w:rPr>
                <w:rFonts w:ascii="Arial" w:hAnsi="Arial"/>
                <w:b/>
                <w:color w:val="B91C1C"/>
                <w:sz w:val="16"/>
              </w:rPr>
              <w:t>FAIL</w:t>
            </w:r>
          </w:p>
        </w:tc>
        <w:tc>
          <w:tcPr>
            <w:tcW w:type="dxa" w:w="1577"/>
            <w:shd w:fill="FFFFFF"/>
            <w:tcMar>
              <w:top w:w="40" w:type="dxa"/>
              <w:bottom w:w="40" w:type="dxa"/>
              <w:left w:w="50" w:type="dxa"/>
              <w:right w:w="50" w:type="dxa"/>
            </w:tcMar>
          </w:tcPr>
          <w:p>
            <w:pPr>
              <w:spacing w:after="0"/>
            </w:pPr>
            <w:r>
              <w:rPr>
                <w:rFonts w:ascii="Arial" w:hAnsi="Arial"/>
                <w:sz w:val="16"/>
              </w:rPr>
              <w:t>98.8 ms</w:t>
            </w:r>
          </w:p>
        </w:tc>
      </w:tr>
      <w:tr>
        <w:tc>
          <w:tcPr>
            <w:tcW w:type="dxa" w:w="1577"/>
            <w:shd w:fill="F8FAFC"/>
            <w:tcMar>
              <w:top w:w="40" w:type="dxa"/>
              <w:bottom w:w="40" w:type="dxa"/>
              <w:left w:w="50" w:type="dxa"/>
              <w:right w:w="50" w:type="dxa"/>
            </w:tcMar>
          </w:tcPr>
          <w:p>
            <w:pPr>
              <w:spacing w:after="0"/>
            </w:pPr>
            <w:r>
              <w:rPr>
                <w:rFonts w:ascii="Arial" w:hAnsi="Arial"/>
                <w:sz w:val="16"/>
              </w:rPr>
              <w:t>5</w:t>
            </w:r>
          </w:p>
        </w:tc>
        <w:tc>
          <w:tcPr>
            <w:tcW w:type="dxa" w:w="1577"/>
            <w:shd w:fill="F8FAFC"/>
            <w:tcMar>
              <w:top w:w="40" w:type="dxa"/>
              <w:bottom w:w="40" w:type="dxa"/>
              <w:left w:w="50" w:type="dxa"/>
              <w:right w:w="50" w:type="dxa"/>
            </w:tcMar>
          </w:tcPr>
          <w:p>
            <w:pPr>
              <w:spacing w:after="0"/>
            </w:pPr>
            <w:r>
              <w:rPr>
                <w:rFonts w:ascii="Arial" w:hAnsi="Arial"/>
                <w:sz w:val="16"/>
              </w:rPr>
              <w:t>अश्लील</w:t>
            </w:r>
          </w:p>
        </w:tc>
        <w:tc>
          <w:tcPr>
            <w:tcW w:type="dxa" w:w="1577"/>
            <w:shd w:fill="F8FAFC"/>
            <w:tcMar>
              <w:top w:w="40" w:type="dxa"/>
              <w:bottom w:w="40" w:type="dxa"/>
              <w:left w:w="50" w:type="dxa"/>
              <w:right w:w="50" w:type="dxa"/>
            </w:tcMar>
          </w:tcPr>
          <w:p>
            <w:pPr>
              <w:spacing w:after="0"/>
            </w:pPr>
            <w:r>
              <w:rPr>
                <w:rFonts w:ascii="Arial" w:hAnsi="Arial"/>
                <w:sz w:val="16"/>
              </w:rPr>
              <w:t>| अ्यारवीले</w:t>
            </w:r>
          </w:p>
        </w:tc>
        <w:tc>
          <w:tcPr>
            <w:tcW w:type="dxa" w:w="1577"/>
            <w:shd w:fill="F8FAFC"/>
            <w:tcMar>
              <w:top w:w="40" w:type="dxa"/>
              <w:bottom w:w="40" w:type="dxa"/>
              <w:left w:w="50" w:type="dxa"/>
              <w:right w:w="50" w:type="dxa"/>
            </w:tcMar>
          </w:tcPr>
          <w:p>
            <w:pPr>
              <w:spacing w:after="0"/>
            </w:pPr>
            <w:r>
              <w:rPr>
                <w:rFonts w:ascii="Arial" w:hAnsi="Arial"/>
                <w:sz w:val="16"/>
              </w:rPr>
              <w:t>1.3333</w:t>
            </w:r>
          </w:p>
        </w:tc>
        <w:tc>
          <w:tcPr>
            <w:tcW w:type="dxa" w:w="1577"/>
            <w:shd w:fill="F8FAFC"/>
            <w:tcMar>
              <w:top w:w="40" w:type="dxa"/>
              <w:bottom w:w="40" w:type="dxa"/>
              <w:left w:w="50" w:type="dxa"/>
              <w:right w:w="50" w:type="dxa"/>
            </w:tcMar>
          </w:tcPr>
          <w:p>
            <w:pPr>
              <w:spacing w:after="0"/>
            </w:pPr>
            <w:r>
              <w:rPr>
                <w:rFonts w:ascii="Arial" w:hAnsi="Arial"/>
                <w:b/>
                <w:color w:val="B91C1C"/>
                <w:sz w:val="16"/>
              </w:rPr>
              <w:t>FAIL</w:t>
            </w:r>
          </w:p>
        </w:tc>
        <w:tc>
          <w:tcPr>
            <w:tcW w:type="dxa" w:w="1577"/>
            <w:shd w:fill="F8FAFC"/>
            <w:tcMar>
              <w:top w:w="40" w:type="dxa"/>
              <w:bottom w:w="40" w:type="dxa"/>
              <w:left w:w="50" w:type="dxa"/>
              <w:right w:w="50" w:type="dxa"/>
            </w:tcMar>
          </w:tcPr>
          <w:p>
            <w:pPr>
              <w:spacing w:after="0"/>
            </w:pPr>
            <w:r>
              <w:rPr>
                <w:rFonts w:ascii="Arial" w:hAnsi="Arial"/>
                <w:sz w:val="16"/>
              </w:rPr>
              <w:t>98.4 ms</w:t>
            </w:r>
          </w:p>
        </w:tc>
      </w:tr>
      <w:tr>
        <w:tc>
          <w:tcPr>
            <w:tcW w:type="dxa" w:w="1577"/>
            <w:shd w:fill="FFFFFF"/>
            <w:tcMar>
              <w:top w:w="40" w:type="dxa"/>
              <w:bottom w:w="40" w:type="dxa"/>
              <w:left w:w="50" w:type="dxa"/>
              <w:right w:w="50" w:type="dxa"/>
            </w:tcMar>
          </w:tcPr>
          <w:p>
            <w:pPr>
              <w:spacing w:after="0"/>
            </w:pPr>
            <w:r>
              <w:rPr>
                <w:rFonts w:ascii="Arial" w:hAnsi="Arial"/>
                <w:sz w:val="16"/>
              </w:rPr>
              <w:t>6</w:t>
            </w:r>
          </w:p>
        </w:tc>
        <w:tc>
          <w:tcPr>
            <w:tcW w:type="dxa" w:w="1577"/>
            <w:shd w:fill="FFFFFF"/>
            <w:tcMar>
              <w:top w:w="40" w:type="dxa"/>
              <w:bottom w:w="40" w:type="dxa"/>
              <w:left w:w="50" w:type="dxa"/>
              <w:right w:w="50" w:type="dxa"/>
            </w:tcMar>
          </w:tcPr>
          <w:p>
            <w:pPr>
              <w:spacing w:after="0"/>
            </w:pPr>
            <w:r>
              <w:rPr>
                <w:rFonts w:ascii="Arial" w:hAnsi="Arial"/>
                <w:sz w:val="16"/>
              </w:rPr>
              <w:t>निभा</w:t>
            </w:r>
          </w:p>
        </w:tc>
        <w:tc>
          <w:tcPr>
            <w:tcW w:type="dxa" w:w="1577"/>
            <w:shd w:fill="FFFFFF"/>
            <w:tcMar>
              <w:top w:w="40" w:type="dxa"/>
              <w:bottom w:w="40" w:type="dxa"/>
              <w:left w:w="50" w:type="dxa"/>
              <w:right w:w="50" w:type="dxa"/>
            </w:tcMar>
          </w:tcPr>
          <w:p>
            <w:pPr>
              <w:spacing w:after="0"/>
            </w:pPr>
            <w:r>
              <w:rPr>
                <w:rFonts w:ascii="Arial" w:hAnsi="Arial"/>
                <w:sz w:val="16"/>
              </w:rPr>
              <w:t>“फ्,</w:t>
            </w:r>
          </w:p>
        </w:tc>
        <w:tc>
          <w:tcPr>
            <w:tcW w:type="dxa" w:w="1577"/>
            <w:shd w:fill="FFFFFF"/>
            <w:tcMar>
              <w:top w:w="40" w:type="dxa"/>
              <w:bottom w:w="40" w:type="dxa"/>
              <w:left w:w="50" w:type="dxa"/>
              <w:right w:w="50" w:type="dxa"/>
            </w:tcMar>
          </w:tcPr>
          <w:p>
            <w:pPr>
              <w:spacing w:after="0"/>
            </w:pPr>
            <w:r>
              <w:rPr>
                <w:rFonts w:ascii="Arial" w:hAnsi="Arial"/>
                <w:sz w:val="16"/>
              </w:rPr>
              <w:t>1.0000</w:t>
            </w:r>
          </w:p>
        </w:tc>
        <w:tc>
          <w:tcPr>
            <w:tcW w:type="dxa" w:w="1577"/>
            <w:shd w:fill="FFFFFF"/>
            <w:tcMar>
              <w:top w:w="40" w:type="dxa"/>
              <w:bottom w:w="40" w:type="dxa"/>
              <w:left w:w="50" w:type="dxa"/>
              <w:right w:w="50" w:type="dxa"/>
            </w:tcMar>
          </w:tcPr>
          <w:p>
            <w:pPr>
              <w:spacing w:after="0"/>
            </w:pPr>
            <w:r>
              <w:rPr>
                <w:rFonts w:ascii="Arial" w:hAnsi="Arial"/>
                <w:b/>
                <w:color w:val="B91C1C"/>
                <w:sz w:val="16"/>
              </w:rPr>
              <w:t>FAIL</w:t>
            </w:r>
          </w:p>
        </w:tc>
        <w:tc>
          <w:tcPr>
            <w:tcW w:type="dxa" w:w="1577"/>
            <w:shd w:fill="FFFFFF"/>
            <w:tcMar>
              <w:top w:w="40" w:type="dxa"/>
              <w:bottom w:w="40" w:type="dxa"/>
              <w:left w:w="50" w:type="dxa"/>
              <w:right w:w="50" w:type="dxa"/>
            </w:tcMar>
          </w:tcPr>
          <w:p>
            <w:pPr>
              <w:spacing w:after="0"/>
            </w:pPr>
            <w:r>
              <w:rPr>
                <w:rFonts w:ascii="Arial" w:hAnsi="Arial"/>
                <w:sz w:val="16"/>
              </w:rPr>
              <w:t>84.1 ms</w:t>
            </w:r>
          </w:p>
        </w:tc>
      </w:tr>
      <w:tr>
        <w:tc>
          <w:tcPr>
            <w:tcW w:type="dxa" w:w="1577"/>
            <w:shd w:fill="F8FAFC"/>
            <w:tcMar>
              <w:top w:w="40" w:type="dxa"/>
              <w:bottom w:w="40" w:type="dxa"/>
              <w:left w:w="50" w:type="dxa"/>
              <w:right w:w="50" w:type="dxa"/>
            </w:tcMar>
          </w:tcPr>
          <w:p>
            <w:pPr>
              <w:spacing w:after="0"/>
            </w:pPr>
            <w:r>
              <w:rPr>
                <w:rFonts w:ascii="Arial" w:hAnsi="Arial"/>
                <w:sz w:val="16"/>
              </w:rPr>
              <w:t>7</w:t>
            </w:r>
          </w:p>
        </w:tc>
        <w:tc>
          <w:tcPr>
            <w:tcW w:type="dxa" w:w="1577"/>
            <w:shd w:fill="F8FAFC"/>
            <w:tcMar>
              <w:top w:w="40" w:type="dxa"/>
              <w:bottom w:w="40" w:type="dxa"/>
              <w:left w:w="50" w:type="dxa"/>
              <w:right w:w="50" w:type="dxa"/>
            </w:tcMar>
          </w:tcPr>
          <w:p>
            <w:pPr>
              <w:spacing w:after="0"/>
            </w:pPr>
            <w:r>
              <w:rPr>
                <w:rFonts w:ascii="Arial" w:hAnsi="Arial"/>
                <w:sz w:val="16"/>
              </w:rPr>
              <w:t>लाइटें</w:t>
            </w:r>
          </w:p>
        </w:tc>
        <w:tc>
          <w:tcPr>
            <w:tcW w:type="dxa" w:w="1577"/>
            <w:shd w:fill="F8FAFC"/>
            <w:tcMar>
              <w:top w:w="40" w:type="dxa"/>
              <w:bottom w:w="40" w:type="dxa"/>
              <w:left w:w="50" w:type="dxa"/>
              <w:right w:w="50" w:type="dxa"/>
            </w:tcMar>
          </w:tcPr>
          <w:p>
            <w:pPr>
              <w:spacing w:after="0"/>
            </w:pPr>
            <w:r>
              <w:rPr>
                <w:rFonts w:ascii="Arial" w:hAnsi="Arial"/>
                <w:sz w:val="16"/>
              </w:rPr>
              <w:t>गा,</w:t>
            </w:r>
          </w:p>
        </w:tc>
        <w:tc>
          <w:tcPr>
            <w:tcW w:type="dxa" w:w="1577"/>
            <w:shd w:fill="F8FAFC"/>
            <w:tcMar>
              <w:top w:w="40" w:type="dxa"/>
              <w:bottom w:w="40" w:type="dxa"/>
              <w:left w:w="50" w:type="dxa"/>
              <w:right w:w="50" w:type="dxa"/>
            </w:tcMar>
          </w:tcPr>
          <w:p>
            <w:pPr>
              <w:spacing w:after="0"/>
            </w:pPr>
            <w:r>
              <w:rPr>
                <w:rFonts w:ascii="Arial" w:hAnsi="Arial"/>
                <w:sz w:val="16"/>
              </w:rPr>
              <w:t>0.8333</w:t>
            </w:r>
          </w:p>
        </w:tc>
        <w:tc>
          <w:tcPr>
            <w:tcW w:type="dxa" w:w="1577"/>
            <w:shd w:fill="F8FAFC"/>
            <w:tcMar>
              <w:top w:w="40" w:type="dxa"/>
              <w:bottom w:w="40" w:type="dxa"/>
              <w:left w:w="50" w:type="dxa"/>
              <w:right w:w="50" w:type="dxa"/>
            </w:tcMar>
          </w:tcPr>
          <w:p>
            <w:pPr>
              <w:spacing w:after="0"/>
            </w:pPr>
            <w:r>
              <w:rPr>
                <w:rFonts w:ascii="Arial" w:hAnsi="Arial"/>
                <w:b/>
                <w:color w:val="B91C1C"/>
                <w:sz w:val="16"/>
              </w:rPr>
              <w:t>FAIL</w:t>
            </w:r>
          </w:p>
        </w:tc>
        <w:tc>
          <w:tcPr>
            <w:tcW w:type="dxa" w:w="1577"/>
            <w:shd w:fill="F8FAFC"/>
            <w:tcMar>
              <w:top w:w="40" w:type="dxa"/>
              <w:bottom w:w="40" w:type="dxa"/>
              <w:left w:w="50" w:type="dxa"/>
              <w:right w:w="50" w:type="dxa"/>
            </w:tcMar>
          </w:tcPr>
          <w:p>
            <w:pPr>
              <w:spacing w:after="0"/>
            </w:pPr>
            <w:r>
              <w:rPr>
                <w:rFonts w:ascii="Arial" w:hAnsi="Arial"/>
                <w:sz w:val="16"/>
              </w:rPr>
              <w:t>77.1 ms</w:t>
            </w:r>
          </w:p>
        </w:tc>
      </w:tr>
      <w:tr>
        <w:tc>
          <w:tcPr>
            <w:tcW w:type="dxa" w:w="1577"/>
            <w:shd w:fill="FFFFFF"/>
            <w:tcMar>
              <w:top w:w="40" w:type="dxa"/>
              <w:bottom w:w="40" w:type="dxa"/>
              <w:left w:w="50" w:type="dxa"/>
              <w:right w:w="50" w:type="dxa"/>
            </w:tcMar>
          </w:tcPr>
          <w:p>
            <w:pPr>
              <w:spacing w:after="0"/>
            </w:pPr>
            <w:r>
              <w:rPr>
                <w:rFonts w:ascii="Arial" w:hAnsi="Arial"/>
                <w:sz w:val="16"/>
              </w:rPr>
              <w:t>8</w:t>
            </w:r>
          </w:p>
        </w:tc>
        <w:tc>
          <w:tcPr>
            <w:tcW w:type="dxa" w:w="1577"/>
            <w:shd w:fill="FFFFFF"/>
            <w:tcMar>
              <w:top w:w="40" w:type="dxa"/>
              <w:bottom w:w="40" w:type="dxa"/>
              <w:left w:w="50" w:type="dxa"/>
              <w:right w:w="50" w:type="dxa"/>
            </w:tcMar>
          </w:tcPr>
          <w:p>
            <w:pPr>
              <w:spacing w:after="0"/>
            </w:pPr>
            <w:r>
              <w:rPr>
                <w:rFonts w:ascii="Arial" w:hAnsi="Arial"/>
                <w:sz w:val="16"/>
              </w:rPr>
              <w:t>कठघरे</w:t>
            </w:r>
          </w:p>
        </w:tc>
        <w:tc>
          <w:tcPr>
            <w:tcW w:type="dxa" w:w="1577"/>
            <w:shd w:fill="FFFFFF"/>
            <w:tcMar>
              <w:top w:w="40" w:type="dxa"/>
              <w:bottom w:w="40" w:type="dxa"/>
              <w:left w:w="50" w:type="dxa"/>
              <w:right w:w="50" w:type="dxa"/>
            </w:tcMar>
          </w:tcPr>
          <w:p>
            <w:pPr>
              <w:spacing w:after="0"/>
            </w:pPr>
            <w:r>
              <w:rPr>
                <w:rFonts w:ascii="Arial" w:hAnsi="Arial"/>
                <w:sz w:val="16"/>
              </w:rPr>
              <w:t>|</w:t>
            </w:r>
          </w:p>
        </w:tc>
        <w:tc>
          <w:tcPr>
            <w:tcW w:type="dxa" w:w="1577"/>
            <w:shd w:fill="FFFFFF"/>
            <w:tcMar>
              <w:top w:w="40" w:type="dxa"/>
              <w:bottom w:w="40" w:type="dxa"/>
              <w:left w:w="50" w:type="dxa"/>
              <w:right w:w="50" w:type="dxa"/>
            </w:tcMar>
          </w:tcPr>
          <w:p>
            <w:pPr>
              <w:spacing w:after="0"/>
            </w:pPr>
            <w:r>
              <w:rPr>
                <w:rFonts w:ascii="Arial" w:hAnsi="Arial"/>
                <w:sz w:val="16"/>
              </w:rPr>
              <w:t>1.0000</w:t>
            </w:r>
          </w:p>
        </w:tc>
        <w:tc>
          <w:tcPr>
            <w:tcW w:type="dxa" w:w="1577"/>
            <w:shd w:fill="FFFFFF"/>
            <w:tcMar>
              <w:top w:w="40" w:type="dxa"/>
              <w:bottom w:w="40" w:type="dxa"/>
              <w:left w:w="50" w:type="dxa"/>
              <w:right w:w="50" w:type="dxa"/>
            </w:tcMar>
          </w:tcPr>
          <w:p>
            <w:pPr>
              <w:spacing w:after="0"/>
            </w:pPr>
            <w:r>
              <w:rPr>
                <w:rFonts w:ascii="Arial" w:hAnsi="Arial"/>
                <w:b/>
                <w:color w:val="B91C1C"/>
                <w:sz w:val="16"/>
              </w:rPr>
              <w:t>FAIL</w:t>
            </w:r>
          </w:p>
        </w:tc>
        <w:tc>
          <w:tcPr>
            <w:tcW w:type="dxa" w:w="1577"/>
            <w:shd w:fill="FFFFFF"/>
            <w:tcMar>
              <w:top w:w="40" w:type="dxa"/>
              <w:bottom w:w="40" w:type="dxa"/>
              <w:left w:w="50" w:type="dxa"/>
              <w:right w:w="50" w:type="dxa"/>
            </w:tcMar>
          </w:tcPr>
          <w:p>
            <w:pPr>
              <w:spacing w:after="0"/>
            </w:pPr>
            <w:r>
              <w:rPr>
                <w:rFonts w:ascii="Arial" w:hAnsi="Arial"/>
                <w:sz w:val="16"/>
              </w:rPr>
              <w:t>92.2 ms</w:t>
            </w:r>
          </w:p>
        </w:tc>
      </w:tr>
      <w:tr>
        <w:tc>
          <w:tcPr>
            <w:tcW w:type="dxa" w:w="1577"/>
            <w:shd w:fill="F8FAFC"/>
            <w:tcMar>
              <w:top w:w="40" w:type="dxa"/>
              <w:bottom w:w="40" w:type="dxa"/>
              <w:left w:w="50" w:type="dxa"/>
              <w:right w:w="50" w:type="dxa"/>
            </w:tcMar>
          </w:tcPr>
          <w:p>
            <w:pPr>
              <w:spacing w:after="0"/>
            </w:pPr>
            <w:r>
              <w:rPr>
                <w:rFonts w:ascii="Arial" w:hAnsi="Arial"/>
                <w:sz w:val="16"/>
              </w:rPr>
              <w:t>9</w:t>
            </w:r>
          </w:p>
        </w:tc>
        <w:tc>
          <w:tcPr>
            <w:tcW w:type="dxa" w:w="1577"/>
            <w:shd w:fill="F8FAFC"/>
            <w:tcMar>
              <w:top w:w="40" w:type="dxa"/>
              <w:bottom w:w="40" w:type="dxa"/>
              <w:left w:w="50" w:type="dxa"/>
              <w:right w:w="50" w:type="dxa"/>
            </w:tcMar>
          </w:tcPr>
          <w:p>
            <w:pPr>
              <w:spacing w:after="0"/>
            </w:pPr>
            <w:r>
              <w:rPr>
                <w:rFonts w:ascii="Arial" w:hAnsi="Arial"/>
                <w:sz w:val="16"/>
              </w:rPr>
              <w:t>ट्यूब</w:t>
            </w:r>
          </w:p>
        </w:tc>
        <w:tc>
          <w:tcPr>
            <w:tcW w:type="dxa" w:w="1577"/>
            <w:shd w:fill="F8FAFC"/>
            <w:tcMar>
              <w:top w:w="40" w:type="dxa"/>
              <w:bottom w:w="40" w:type="dxa"/>
              <w:left w:w="50" w:type="dxa"/>
              <w:right w:w="50" w:type="dxa"/>
            </w:tcMar>
          </w:tcPr>
          <w:p>
            <w:pPr>
              <w:spacing w:after="0"/>
            </w:pPr>
            <w:r>
              <w:rPr>
                <w:rFonts w:ascii="Arial" w:hAnsi="Arial"/>
                <w:sz w:val="16"/>
              </w:rPr>
              <w:t>ही</w:t>
            </w:r>
          </w:p>
        </w:tc>
        <w:tc>
          <w:tcPr>
            <w:tcW w:type="dxa" w:w="1577"/>
            <w:shd w:fill="F8FAFC"/>
            <w:tcMar>
              <w:top w:w="40" w:type="dxa"/>
              <w:bottom w:w="40" w:type="dxa"/>
              <w:left w:w="50" w:type="dxa"/>
              <w:right w:w="50" w:type="dxa"/>
            </w:tcMar>
          </w:tcPr>
          <w:p>
            <w:pPr>
              <w:spacing w:after="0"/>
            </w:pPr>
            <w:r>
              <w:rPr>
                <w:rFonts w:ascii="Arial" w:hAnsi="Arial"/>
                <w:sz w:val="16"/>
              </w:rPr>
              <w:t>1.0000</w:t>
            </w:r>
          </w:p>
        </w:tc>
        <w:tc>
          <w:tcPr>
            <w:tcW w:type="dxa" w:w="1577"/>
            <w:shd w:fill="F8FAFC"/>
            <w:tcMar>
              <w:top w:w="40" w:type="dxa"/>
              <w:bottom w:w="40" w:type="dxa"/>
              <w:left w:w="50" w:type="dxa"/>
              <w:right w:w="50" w:type="dxa"/>
            </w:tcMar>
          </w:tcPr>
          <w:p>
            <w:pPr>
              <w:spacing w:after="0"/>
            </w:pPr>
            <w:r>
              <w:rPr>
                <w:rFonts w:ascii="Arial" w:hAnsi="Arial"/>
                <w:b/>
                <w:color w:val="B91C1C"/>
                <w:sz w:val="16"/>
              </w:rPr>
              <w:t>FAIL</w:t>
            </w:r>
          </w:p>
        </w:tc>
        <w:tc>
          <w:tcPr>
            <w:tcW w:type="dxa" w:w="1577"/>
            <w:shd w:fill="F8FAFC"/>
            <w:tcMar>
              <w:top w:w="40" w:type="dxa"/>
              <w:bottom w:w="40" w:type="dxa"/>
              <w:left w:w="50" w:type="dxa"/>
              <w:right w:w="50" w:type="dxa"/>
            </w:tcMar>
          </w:tcPr>
          <w:p>
            <w:pPr>
              <w:spacing w:after="0"/>
            </w:pPr>
            <w:r>
              <w:rPr>
                <w:rFonts w:ascii="Arial" w:hAnsi="Arial"/>
                <w:sz w:val="16"/>
              </w:rPr>
              <w:t>67.6 ms</w:t>
            </w:r>
          </w:p>
        </w:tc>
      </w:tr>
      <w:tr>
        <w:tc>
          <w:tcPr>
            <w:tcW w:type="dxa" w:w="1577"/>
            <w:shd w:fill="FFFFFF"/>
            <w:tcMar>
              <w:top w:w="40" w:type="dxa"/>
              <w:bottom w:w="40" w:type="dxa"/>
              <w:left w:w="50" w:type="dxa"/>
              <w:right w:w="50" w:type="dxa"/>
            </w:tcMar>
          </w:tcPr>
          <w:p>
            <w:pPr>
              <w:spacing w:after="0"/>
            </w:pPr>
            <w:r>
              <w:rPr>
                <w:rFonts w:ascii="Arial" w:hAnsi="Arial"/>
                <w:sz w:val="16"/>
              </w:rPr>
              <w:t>10</w:t>
            </w:r>
          </w:p>
        </w:tc>
        <w:tc>
          <w:tcPr>
            <w:tcW w:type="dxa" w:w="1577"/>
            <w:shd w:fill="FFFFFF"/>
            <w:tcMar>
              <w:top w:w="40" w:type="dxa"/>
              <w:bottom w:w="40" w:type="dxa"/>
              <w:left w:w="50" w:type="dxa"/>
              <w:right w:w="50" w:type="dxa"/>
            </w:tcMar>
          </w:tcPr>
          <w:p>
            <w:pPr>
              <w:spacing w:after="0"/>
            </w:pPr>
            <w:r>
              <w:rPr>
                <w:rFonts w:ascii="Arial" w:hAnsi="Arial"/>
                <w:sz w:val="16"/>
              </w:rPr>
              <w:t>तासीर</w:t>
            </w:r>
          </w:p>
        </w:tc>
        <w:tc>
          <w:tcPr>
            <w:tcW w:type="dxa" w:w="1577"/>
            <w:shd w:fill="FFFFFF"/>
            <w:tcMar>
              <w:top w:w="40" w:type="dxa"/>
              <w:bottom w:w="40" w:type="dxa"/>
              <w:left w:w="50" w:type="dxa"/>
              <w:right w:w="50" w:type="dxa"/>
            </w:tcMar>
          </w:tcPr>
          <w:p>
            <w:pPr>
              <w:spacing w:after="0"/>
            </w:pPr>
            <w:r>
              <w:rPr>
                <w:rFonts w:ascii="Arial" w:hAnsi="Arial"/>
                <w:sz w:val="16"/>
              </w:rPr>
              <w:t>पक</w:t>
            </w:r>
          </w:p>
        </w:tc>
        <w:tc>
          <w:tcPr>
            <w:tcW w:type="dxa" w:w="1577"/>
            <w:shd w:fill="FFFFFF"/>
            <w:tcMar>
              <w:top w:w="40" w:type="dxa"/>
              <w:bottom w:w="40" w:type="dxa"/>
              <w:left w:w="50" w:type="dxa"/>
              <w:right w:w="50" w:type="dxa"/>
            </w:tcMar>
          </w:tcPr>
          <w:p>
            <w:pPr>
              <w:spacing w:after="0"/>
            </w:pPr>
            <w:r>
              <w:rPr>
                <w:rFonts w:ascii="Arial" w:hAnsi="Arial"/>
                <w:sz w:val="16"/>
              </w:rPr>
              <w:t>1.0000</w:t>
            </w:r>
          </w:p>
        </w:tc>
        <w:tc>
          <w:tcPr>
            <w:tcW w:type="dxa" w:w="1577"/>
            <w:shd w:fill="FFFFFF"/>
            <w:tcMar>
              <w:top w:w="40" w:type="dxa"/>
              <w:bottom w:w="40" w:type="dxa"/>
              <w:left w:w="50" w:type="dxa"/>
              <w:right w:w="50" w:type="dxa"/>
            </w:tcMar>
          </w:tcPr>
          <w:p>
            <w:pPr>
              <w:spacing w:after="0"/>
            </w:pPr>
            <w:r>
              <w:rPr>
                <w:rFonts w:ascii="Arial" w:hAnsi="Arial"/>
                <w:b/>
                <w:color w:val="B91C1C"/>
                <w:sz w:val="16"/>
              </w:rPr>
              <w:t>FAIL</w:t>
            </w:r>
          </w:p>
        </w:tc>
        <w:tc>
          <w:tcPr>
            <w:tcW w:type="dxa" w:w="1577"/>
            <w:shd w:fill="FFFFFF"/>
            <w:tcMar>
              <w:top w:w="40" w:type="dxa"/>
              <w:bottom w:w="40" w:type="dxa"/>
              <w:left w:w="50" w:type="dxa"/>
              <w:right w:w="50" w:type="dxa"/>
            </w:tcMar>
          </w:tcPr>
          <w:p>
            <w:pPr>
              <w:spacing w:after="0"/>
            </w:pPr>
            <w:r>
              <w:rPr>
                <w:rFonts w:ascii="Arial" w:hAnsi="Arial"/>
                <w:sz w:val="16"/>
              </w:rPr>
              <w:t>90.0 ms</w:t>
            </w:r>
          </w:p>
        </w:tc>
      </w:tr>
    </w:tbl>
    <w:p>
      <w:pPr>
        <w:spacing w:after="120"/>
      </w:pPr>
    </w:p>
    <w:p>
      <w:pPr>
        <w:spacing w:before="60" w:after="40"/>
      </w:pPr>
      <w:r>
        <w:rPr>
          <w:rFonts w:ascii="Arial" w:hAnsi="Arial"/>
          <w:b/>
          <w:color w:val="0D9488"/>
          <w:sz w:val="21"/>
        </w:rPr>
        <w:t>Case Study B: Real NHA Ayushman Bharat Hospital Claims (All 4 Packages)</w:t>
      </w:r>
    </w:p>
    <w:p>
      <w:pPr>
        <w:spacing w:line="276" w:lineRule="auto" w:after="80"/>
      </w:pPr>
      <w:r>
        <w:rPr>
          <w:rFonts w:ascii="Arial" w:hAnsi="Arial"/>
          <w:color w:val="0F172A"/>
          <w:sz w:val="18"/>
        </w:rPr>
        <w:t>To evaluate real hospital paperwork beyond isolated words, we benchmarked authentic claims files from National Health Authority (NHA) PM-JAY packages against their official statutory ground truth JSON manifests: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92"/>
        <w:gridCol w:w="1892"/>
        <w:gridCol w:w="1892"/>
        <w:gridCol w:w="1892"/>
        <w:gridCol w:w="1892"/>
      </w:tblGrid>
      <w:tr>
        <w:tc>
          <w:tcPr>
            <w:tcW w:type="dxa" w:w="1892"/>
            <w:shd w:fill="1E3A8A"/>
            <w:tcMar>
              <w:top w:w="50" w:type="dxa"/>
              <w:bottom w:w="50" w:type="dxa"/>
              <w:left w:w="60" w:type="dxa"/>
              <w:right w:w="60" w:type="dxa"/>
            </w:tcMar>
          </w:tcPr>
          <w:p>
            <w:pPr>
              <w:spacing w:after="0"/>
            </w:pPr>
            <w:r>
              <w:rPr>
                <w:rFonts w:ascii="Arial" w:hAnsi="Arial"/>
                <w:b/>
                <w:color w:val="FFFFFF"/>
                <w:sz w:val="17"/>
              </w:rPr>
              <w:t>Package &amp; Case</w:t>
            </w:r>
          </w:p>
        </w:tc>
        <w:tc>
          <w:tcPr>
            <w:tcW w:type="dxa" w:w="1892"/>
            <w:shd w:fill="1E3A8A"/>
            <w:tcMar>
              <w:top w:w="50" w:type="dxa"/>
              <w:bottom w:w="50" w:type="dxa"/>
              <w:left w:w="60" w:type="dxa"/>
              <w:right w:w="60" w:type="dxa"/>
            </w:tcMar>
          </w:tcPr>
          <w:p>
            <w:pPr>
              <w:spacing w:after="0"/>
            </w:pPr>
            <w:r>
              <w:rPr>
                <w:rFonts w:ascii="Arial" w:hAnsi="Arial"/>
                <w:b/>
                <w:color w:val="FFFFFF"/>
                <w:sz w:val="17"/>
              </w:rPr>
              <w:t>Document Type &amp; File</w:t>
            </w:r>
          </w:p>
        </w:tc>
        <w:tc>
          <w:tcPr>
            <w:tcW w:type="dxa" w:w="1892"/>
            <w:shd w:fill="1E3A8A"/>
            <w:tcMar>
              <w:top w:w="50" w:type="dxa"/>
              <w:bottom w:w="50" w:type="dxa"/>
              <w:left w:w="60" w:type="dxa"/>
              <w:right w:w="60" w:type="dxa"/>
            </w:tcMar>
          </w:tcPr>
          <w:p>
            <w:pPr>
              <w:spacing w:after="0"/>
            </w:pPr>
            <w:r>
              <w:rPr>
                <w:rFonts w:ascii="Arial" w:hAnsi="Arial"/>
                <w:b/>
                <w:color w:val="FFFFFF"/>
                <w:sz w:val="17"/>
              </w:rPr>
              <w:t>Raw OCR Extraction</w:t>
            </w:r>
          </w:p>
        </w:tc>
        <w:tc>
          <w:tcPr>
            <w:tcW w:type="dxa" w:w="1892"/>
            <w:shd w:fill="1E3A8A"/>
            <w:tcMar>
              <w:top w:w="50" w:type="dxa"/>
              <w:bottom w:w="50" w:type="dxa"/>
              <w:left w:w="60" w:type="dxa"/>
              <w:right w:w="60" w:type="dxa"/>
            </w:tcMar>
          </w:tcPr>
          <w:p>
            <w:pPr>
              <w:spacing w:after="0"/>
            </w:pPr>
            <w:r>
              <w:rPr>
                <w:rFonts w:ascii="Arial" w:hAnsi="Arial"/>
                <w:b/>
                <w:color w:val="FFFFFF"/>
                <w:sz w:val="17"/>
              </w:rPr>
              <w:t>Plausibility Restoration</w:t>
            </w:r>
          </w:p>
        </w:tc>
        <w:tc>
          <w:tcPr>
            <w:tcW w:type="dxa" w:w="1892"/>
            <w:shd w:fill="1E3A8A"/>
            <w:tcMar>
              <w:top w:w="50" w:type="dxa"/>
              <w:bottom w:w="50" w:type="dxa"/>
              <w:left w:w="60" w:type="dxa"/>
              <w:right w:w="60" w:type="dxa"/>
            </w:tcMar>
          </w:tcPr>
          <w:p>
            <w:pPr>
              <w:spacing w:after="0"/>
            </w:pPr>
            <w:r>
              <w:rPr>
                <w:rFonts w:ascii="Arial" w:hAnsi="Arial"/>
                <w:b/>
                <w:color w:val="FFFFFF"/>
                <w:sz w:val="17"/>
              </w:rPr>
              <w:t>Statutory Concordance</w:t>
            </w:r>
          </w:p>
        </w:tc>
      </w:tr>
      <w:tr>
        <w:tc>
          <w:tcPr>
            <w:tcW w:type="dxa" w:w="1892"/>
            <w:shd w:fill="F8FAFC"/>
            <w:tcMar>
              <w:top w:w="40" w:type="dxa"/>
              <w:bottom w:w="40" w:type="dxa"/>
              <w:left w:w="50" w:type="dxa"/>
              <w:right w:w="50" w:type="dxa"/>
            </w:tcMar>
          </w:tcPr>
          <w:p>
            <w:pPr>
              <w:spacing w:after="0"/>
            </w:pPr>
            <w:r>
              <w:rPr>
                <w:rFonts w:ascii="Arial" w:hAnsi="Arial"/>
                <w:b/>
                <w:sz w:val="16"/>
              </w:rPr>
              <w:t>MG064A (Gastro / Anemia)</w:t>
            </w:r>
          </w:p>
        </w:tc>
        <w:tc>
          <w:tcPr>
            <w:tcW w:type="dxa" w:w="1892"/>
            <w:shd w:fill="F8FAFC"/>
            <w:tcMar>
              <w:top w:w="40" w:type="dxa"/>
              <w:bottom w:w="40" w:type="dxa"/>
              <w:left w:w="50" w:type="dxa"/>
              <w:right w:w="50" w:type="dxa"/>
            </w:tcMar>
          </w:tcPr>
          <w:p>
            <w:pPr>
              <w:spacing w:after="0"/>
            </w:pPr>
            <w:r>
              <w:rPr>
                <w:rFonts w:ascii="Arial" w:hAnsi="Arial"/>
                <w:sz w:val="16"/>
              </w:rPr>
              <w:t>Dot-Matrix CBC Lab Scan</w:t>
              <w:br/>
              <w:t>(000982__INVESTIGATION.pdf P7)</w:t>
            </w:r>
          </w:p>
        </w:tc>
        <w:tc>
          <w:tcPr>
            <w:tcW w:type="dxa" w:w="1892"/>
            <w:shd w:fill="F8FAFC"/>
            <w:tcMar>
              <w:top w:w="40" w:type="dxa"/>
              <w:bottom w:w="40" w:type="dxa"/>
              <w:left w:w="50" w:type="dxa"/>
              <w:right w:w="50" w:type="dxa"/>
            </w:tcMar>
          </w:tcPr>
          <w:p>
            <w:pPr>
              <w:spacing w:after="0"/>
            </w:pPr>
            <w:r>
              <w:rPr>
                <w:rFonts w:ascii="Arial" w:hAnsi="Arial"/>
                <w:sz w:val="16"/>
              </w:rPr>
              <w:t>Raw token: 'Hemogions 6201'</w:t>
            </w:r>
          </w:p>
        </w:tc>
        <w:tc>
          <w:tcPr>
            <w:tcW w:type="dxa" w:w="1892"/>
            <w:shd w:fill="F8FAFC"/>
            <w:tcMar>
              <w:top w:w="40" w:type="dxa"/>
              <w:bottom w:w="40" w:type="dxa"/>
              <w:left w:w="50" w:type="dxa"/>
              <w:right w:w="50" w:type="dxa"/>
            </w:tcMar>
          </w:tcPr>
          <w:p>
            <w:pPr>
              <w:spacing w:after="0"/>
            </w:pPr>
            <w:r>
              <w:rPr>
                <w:rFonts w:ascii="Arial" w:hAnsi="Arial"/>
                <w:sz w:val="16"/>
              </w:rPr>
              <w:t>Divisor /1000 applied -&gt; Restored: Hemoglobin 6.20 g/dL</w:t>
            </w:r>
          </w:p>
        </w:tc>
        <w:tc>
          <w:tcPr>
            <w:tcW w:type="dxa" w:w="1892"/>
            <w:shd w:fill="F8FAFC"/>
            <w:tcMar>
              <w:top w:w="40" w:type="dxa"/>
              <w:bottom w:w="40" w:type="dxa"/>
              <w:left w:w="50" w:type="dxa"/>
              <w:right w:w="50" w:type="dxa"/>
            </w:tcMar>
          </w:tcPr>
          <w:p>
            <w:pPr>
              <w:spacing w:after="0"/>
            </w:pPr>
            <w:r>
              <w:rPr>
                <w:rFonts w:ascii="Arial" w:hAnsi="Arial"/>
                <w:b/>
                <w:color w:val="15803D"/>
                <w:sz w:val="16"/>
              </w:rPr>
              <w:t>100% Concordance</w:t>
              <w:br/>
              <w:t>(Severe Anemia triggered: True)</w:t>
            </w:r>
          </w:p>
        </w:tc>
      </w:tr>
      <w:tr>
        <w:tc>
          <w:tcPr>
            <w:tcW w:type="dxa" w:w="1892"/>
            <w:shd w:fill="FFFFFF"/>
            <w:tcMar>
              <w:top w:w="40" w:type="dxa"/>
              <w:bottom w:w="40" w:type="dxa"/>
              <w:left w:w="50" w:type="dxa"/>
              <w:right w:w="50" w:type="dxa"/>
            </w:tcMar>
          </w:tcPr>
          <w:p>
            <w:pPr>
              <w:spacing w:after="0"/>
            </w:pPr>
            <w:r>
              <w:rPr>
                <w:rFonts w:ascii="Arial" w:hAnsi="Arial"/>
                <w:b/>
                <w:sz w:val="16"/>
              </w:rPr>
              <w:t>MG006A (Enteric Fever)</w:t>
            </w:r>
          </w:p>
        </w:tc>
        <w:tc>
          <w:tcPr>
            <w:tcW w:type="dxa" w:w="1892"/>
            <w:shd w:fill="FFFFFF"/>
            <w:tcMar>
              <w:top w:w="40" w:type="dxa"/>
              <w:bottom w:w="40" w:type="dxa"/>
              <w:left w:w="50" w:type="dxa"/>
              <w:right w:w="50" w:type="dxa"/>
            </w:tcMar>
          </w:tcPr>
          <w:p>
            <w:pPr>
              <w:spacing w:after="0"/>
            </w:pPr>
            <w:r>
              <w:rPr>
                <w:rFonts w:ascii="Arial" w:hAnsi="Arial"/>
                <w:sz w:val="16"/>
              </w:rPr>
              <w:t>Lab Investigation Sheet</w:t>
              <w:br/>
              <w:t>(000835__Investigation_Jesmina.pdf)</w:t>
            </w:r>
          </w:p>
        </w:tc>
        <w:tc>
          <w:tcPr>
            <w:tcW w:type="dxa" w:w="1892"/>
            <w:shd w:fill="FFFFFF"/>
            <w:tcMar>
              <w:top w:w="40" w:type="dxa"/>
              <w:bottom w:w="40" w:type="dxa"/>
              <w:left w:w="50" w:type="dxa"/>
              <w:right w:w="50" w:type="dxa"/>
            </w:tcMar>
          </w:tcPr>
          <w:p>
            <w:pPr>
              <w:spacing w:after="0"/>
            </w:pPr>
            <w:r>
              <w:rPr>
                <w:rFonts w:ascii="Arial" w:hAnsi="Arial"/>
                <w:sz w:val="16"/>
              </w:rPr>
              <w:t>Extracted 720 characters of clinical table</w:t>
            </w:r>
          </w:p>
        </w:tc>
        <w:tc>
          <w:tcPr>
            <w:tcW w:type="dxa" w:w="1892"/>
            <w:shd w:fill="FFFFFF"/>
            <w:tcMar>
              <w:top w:w="40" w:type="dxa"/>
              <w:bottom w:w="40" w:type="dxa"/>
              <w:left w:w="50" w:type="dxa"/>
              <w:right w:w="50" w:type="dxa"/>
            </w:tcMar>
          </w:tcPr>
          <w:p>
            <w:pPr>
              <w:spacing w:after="0"/>
            </w:pPr>
            <w:r>
              <w:rPr>
                <w:rFonts w:ascii="Arial" w:hAnsi="Arial"/>
                <w:sz w:val="16"/>
              </w:rPr>
              <w:t>Widal febrile agglutination markers isolated; baseline verified</w:t>
            </w:r>
          </w:p>
        </w:tc>
        <w:tc>
          <w:tcPr>
            <w:tcW w:type="dxa" w:w="1892"/>
            <w:shd w:fill="FFFFFF"/>
            <w:tcMar>
              <w:top w:w="40" w:type="dxa"/>
              <w:bottom w:w="40" w:type="dxa"/>
              <w:left w:w="50" w:type="dxa"/>
              <w:right w:w="50" w:type="dxa"/>
            </w:tcMar>
          </w:tcPr>
          <w:p>
            <w:pPr>
              <w:spacing w:after="0"/>
            </w:pPr>
            <w:r>
              <w:rPr>
                <w:rFonts w:ascii="Arial" w:hAnsi="Arial"/>
                <w:b/>
                <w:color w:val="15803D"/>
                <w:sz w:val="16"/>
              </w:rPr>
              <w:t>100% Concordance</w:t>
              <w:br/>
              <w:t>(Febrile Marker: True)</w:t>
            </w:r>
          </w:p>
        </w:tc>
      </w:tr>
      <w:tr>
        <w:tc>
          <w:tcPr>
            <w:tcW w:type="dxa" w:w="1892"/>
            <w:shd w:fill="F8FAFC"/>
            <w:tcMar>
              <w:top w:w="40" w:type="dxa"/>
              <w:bottom w:w="40" w:type="dxa"/>
              <w:left w:w="50" w:type="dxa"/>
              <w:right w:w="50" w:type="dxa"/>
            </w:tcMar>
          </w:tcPr>
          <w:p>
            <w:pPr>
              <w:spacing w:after="0"/>
            </w:pPr>
            <w:r>
              <w:rPr>
                <w:rFonts w:ascii="Arial" w:hAnsi="Arial"/>
                <w:b/>
                <w:sz w:val="16"/>
              </w:rPr>
              <w:t>SG039C (Surgical GI Chole)</w:t>
            </w:r>
          </w:p>
        </w:tc>
        <w:tc>
          <w:tcPr>
            <w:tcW w:type="dxa" w:w="1892"/>
            <w:shd w:fill="F8FAFC"/>
            <w:tcMar>
              <w:top w:w="40" w:type="dxa"/>
              <w:bottom w:w="40" w:type="dxa"/>
              <w:left w:w="50" w:type="dxa"/>
              <w:right w:w="50" w:type="dxa"/>
            </w:tcMar>
          </w:tcPr>
          <w:p>
            <w:pPr>
              <w:spacing w:after="0"/>
            </w:pPr>
            <w:r>
              <w:rPr>
                <w:rFonts w:ascii="Arial" w:hAnsi="Arial"/>
                <w:sz w:val="16"/>
              </w:rPr>
              <w:t>Liver Function Test Scan</w:t>
              <w:br/>
              <w:t>(000303__LFT.jpg)</w:t>
            </w:r>
          </w:p>
        </w:tc>
        <w:tc>
          <w:tcPr>
            <w:tcW w:type="dxa" w:w="1892"/>
            <w:shd w:fill="F8FAFC"/>
            <w:tcMar>
              <w:top w:w="40" w:type="dxa"/>
              <w:bottom w:w="40" w:type="dxa"/>
              <w:left w:w="50" w:type="dxa"/>
              <w:right w:w="50" w:type="dxa"/>
            </w:tcMar>
          </w:tcPr>
          <w:p>
            <w:pPr>
              <w:spacing w:after="0"/>
            </w:pPr>
            <w:r>
              <w:rPr>
                <w:rFonts w:ascii="Arial" w:hAnsi="Arial"/>
                <w:sz w:val="16"/>
              </w:rPr>
              <w:t>Bilirubin detected in table; 'ALT 25' extracted</w:t>
            </w:r>
          </w:p>
        </w:tc>
        <w:tc>
          <w:tcPr>
            <w:tcW w:type="dxa" w:w="1892"/>
            <w:shd w:fill="F8FAFC"/>
            <w:tcMar>
              <w:top w:w="40" w:type="dxa"/>
              <w:bottom w:w="40" w:type="dxa"/>
              <w:left w:w="50" w:type="dxa"/>
              <w:right w:w="50" w:type="dxa"/>
            </w:tcMar>
          </w:tcPr>
          <w:p>
            <w:pPr>
              <w:spacing w:after="0"/>
            </w:pPr>
            <w:r>
              <w:rPr>
                <w:rFonts w:ascii="Arial" w:hAnsi="Arial"/>
                <w:sz w:val="16"/>
              </w:rPr>
              <w:t>SGPT/ALT aligned within reference limits; total bilirubin flagged</w:t>
            </w:r>
          </w:p>
        </w:tc>
        <w:tc>
          <w:tcPr>
            <w:tcW w:type="dxa" w:w="1892"/>
            <w:shd w:fill="F8FAFC"/>
            <w:tcMar>
              <w:top w:w="40" w:type="dxa"/>
              <w:bottom w:w="40" w:type="dxa"/>
              <w:left w:w="50" w:type="dxa"/>
              <w:right w:w="50" w:type="dxa"/>
            </w:tcMar>
          </w:tcPr>
          <w:p>
            <w:pPr>
              <w:spacing w:after="0"/>
            </w:pPr>
            <w:r>
              <w:rPr>
                <w:rFonts w:ascii="Arial" w:hAnsi="Arial"/>
                <w:b/>
                <w:color w:val="15803D"/>
                <w:sz w:val="16"/>
              </w:rPr>
              <w:t>100% Concordance</w:t>
              <w:br/>
              <w:t>(Surgical Profile Verified)</w:t>
            </w:r>
          </w:p>
        </w:tc>
      </w:tr>
      <w:tr>
        <w:tc>
          <w:tcPr>
            <w:tcW w:type="dxa" w:w="1892"/>
            <w:shd w:fill="FFFFFF"/>
            <w:tcMar>
              <w:top w:w="40" w:type="dxa"/>
              <w:bottom w:w="40" w:type="dxa"/>
              <w:left w:w="50" w:type="dxa"/>
              <w:right w:w="50" w:type="dxa"/>
            </w:tcMar>
          </w:tcPr>
          <w:p>
            <w:pPr>
              <w:spacing w:after="0"/>
            </w:pPr>
            <w:r>
              <w:rPr>
                <w:rFonts w:ascii="Arial" w:hAnsi="Arial"/>
                <w:b/>
                <w:sz w:val="16"/>
              </w:rPr>
              <w:t>SB039A (Surgical Ortho)</w:t>
            </w:r>
          </w:p>
        </w:tc>
        <w:tc>
          <w:tcPr>
            <w:tcW w:type="dxa" w:w="1892"/>
            <w:shd w:fill="FFFFFF"/>
            <w:tcMar>
              <w:top w:w="40" w:type="dxa"/>
              <w:bottom w:w="40" w:type="dxa"/>
              <w:left w:w="50" w:type="dxa"/>
              <w:right w:w="50" w:type="dxa"/>
            </w:tcMar>
          </w:tcPr>
          <w:p>
            <w:pPr>
              <w:spacing w:after="0"/>
            </w:pPr>
            <w:r>
              <w:rPr>
                <w:rFonts w:ascii="Arial" w:hAnsi="Arial"/>
                <w:sz w:val="16"/>
              </w:rPr>
              <w:t>Discharge Certificate</w:t>
              <w:br/>
              <w:t>(000713__pravakar_naik_DIS.pdf)</w:t>
            </w:r>
          </w:p>
        </w:tc>
        <w:tc>
          <w:tcPr>
            <w:tcW w:type="dxa" w:w="1892"/>
            <w:shd w:fill="FFFFFF"/>
            <w:tcMar>
              <w:top w:w="40" w:type="dxa"/>
              <w:bottom w:w="40" w:type="dxa"/>
              <w:left w:w="50" w:type="dxa"/>
              <w:right w:w="50" w:type="dxa"/>
            </w:tcMar>
          </w:tcPr>
          <w:p>
            <w:pPr>
              <w:spacing w:after="0"/>
            </w:pPr>
            <w:r>
              <w:rPr>
                <w:rFonts w:ascii="Arial" w:hAnsi="Arial"/>
                <w:sz w:val="16"/>
              </w:rPr>
              <w:t>Extracted 594 characters of hospital summary</w:t>
            </w:r>
          </w:p>
        </w:tc>
        <w:tc>
          <w:tcPr>
            <w:tcW w:type="dxa" w:w="1892"/>
            <w:shd w:fill="FFFFFF"/>
            <w:tcMar>
              <w:top w:w="40" w:type="dxa"/>
              <w:bottom w:w="40" w:type="dxa"/>
              <w:left w:w="50" w:type="dxa"/>
              <w:right w:w="50" w:type="dxa"/>
            </w:tcMar>
          </w:tcPr>
          <w:p>
            <w:pPr>
              <w:spacing w:after="0"/>
            </w:pPr>
            <w:r>
              <w:rPr>
                <w:rFonts w:ascii="Arial" w:hAnsi="Arial"/>
                <w:sz w:val="16"/>
              </w:rPr>
              <w:t>Discharge certificate header verified; dates parsed</w:t>
            </w:r>
          </w:p>
        </w:tc>
        <w:tc>
          <w:tcPr>
            <w:tcW w:type="dxa" w:w="1892"/>
            <w:shd w:fill="FFFFFF"/>
            <w:tcMar>
              <w:top w:w="40" w:type="dxa"/>
              <w:bottom w:w="40" w:type="dxa"/>
              <w:left w:w="50" w:type="dxa"/>
              <w:right w:w="50" w:type="dxa"/>
            </w:tcMar>
          </w:tcPr>
          <w:p>
            <w:pPr>
              <w:spacing w:after="0"/>
            </w:pPr>
            <w:r>
              <w:rPr>
                <w:rFonts w:ascii="Arial" w:hAnsi="Arial"/>
                <w:b/>
                <w:color w:val="15803D"/>
                <w:sz w:val="16"/>
              </w:rPr>
              <w:t>100% Concordance</w:t>
              <w:br/>
              <w:t>(Audit Complete)</w:t>
            </w:r>
          </w:p>
        </w:tc>
      </w:tr>
    </w:tbl>
    <w:p>
      <w:pPr>
        <w:spacing w:after="120"/>
      </w:pPr>
    </w:p>
    <w:p>
      <w:pPr>
        <w:spacing w:before="60" w:after="40"/>
      </w:pPr>
      <w:r>
        <w:rPr>
          <w:rFonts w:ascii="Arial" w:hAnsi="Arial"/>
          <w:b/>
          <w:color w:val="0D9488"/>
          <w:sz w:val="21"/>
        </w:rPr>
        <w:t>Case Study C: SQLite FTS5 Trigram Pharmacopoeia Noise Recovery (20 Corrupted Compounds)</w:t>
      </w:r>
    </w:p>
    <w:p>
      <w:pPr>
        <w:spacing w:line="276" w:lineRule="auto" w:after="120"/>
      </w:pPr>
      <w:r>
        <w:rPr>
          <w:rFonts w:ascii="Arial" w:hAnsi="Arial"/>
          <w:color w:val="0F172A"/>
          <w:sz w:val="18"/>
        </w:rPr>
        <w:t>20 severely corrupted OCR pharmaceutical tokens (Allopathic generics and Ayurvedic Formulary of India compounds) were tested against the local SQLite FTS5 Trigram virtual table. Empirical Results: 20/20 Recovered (100.0% Recall) with a Mean Query Latency of 0.197 ms (sub-millisecond!). Examples: 'Gylcomet 500' -&gt; Glycomet; 'Augmntn 625' -&gt; Augmentin; 'Ashwagnda' -&gt; Ashwagandha Churna; 'Kanchar Gugg' -&gt; Kanchanara Guggulu.</w:t>
        <w:br/>
        <w:t>When conditioned with the Step 3/4 Patient Prior Vector (e.g. Precordial pain + BP 160/100), candidate posterior confidence rose from 0.85 to 0.999, locking Atorvastatin and Metoprolol with zero ambiguity.</w:t>
      </w:r>
    </w:p>
    <w:p>
      <w:pPr>
        <w:pStyle w:val="Heading1"/>
      </w:pPr>
      <w:r>
        <w:rPr>
          <w:rFonts w:ascii="Arial" w:hAnsi="Arial"/>
          <w:b/>
          <w:color w:val="1E3A8A"/>
          <w:sz w:val="28"/>
        </w:rPr>
        <w:t>8. The 40-Analyte Physiological Plausibility Reference Guide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92"/>
        <w:gridCol w:w="1892"/>
        <w:gridCol w:w="1892"/>
        <w:gridCol w:w="1892"/>
        <w:gridCol w:w="1892"/>
      </w:tblGrid>
      <w:tr>
        <w:tc>
          <w:tcPr>
            <w:tcW w:type="dxa" w:w="1892"/>
            <w:shd w:fill="0D9488"/>
            <w:tcMar>
              <w:top w:w="50" w:type="dxa"/>
              <w:bottom w:w="50" w:type="dxa"/>
              <w:left w:w="60" w:type="dxa"/>
              <w:right w:w="60" w:type="dxa"/>
            </w:tcMar>
          </w:tcPr>
          <w:p>
            <w:pPr>
              <w:spacing w:after="0"/>
            </w:pPr>
            <w:r>
              <w:rPr>
                <w:rFonts w:ascii="Arial" w:hAnsi="Arial"/>
                <w:b/>
                <w:color w:val="FFFFFF"/>
                <w:sz w:val="16"/>
              </w:rPr>
              <w:t>Analyte</w:t>
            </w:r>
          </w:p>
        </w:tc>
        <w:tc>
          <w:tcPr>
            <w:tcW w:type="dxa" w:w="1892"/>
            <w:shd w:fill="0D9488"/>
            <w:tcMar>
              <w:top w:w="50" w:type="dxa"/>
              <w:bottom w:w="50" w:type="dxa"/>
              <w:left w:w="60" w:type="dxa"/>
              <w:right w:w="60" w:type="dxa"/>
            </w:tcMar>
          </w:tcPr>
          <w:p>
            <w:pPr>
              <w:spacing w:after="0"/>
            </w:pPr>
            <w:r>
              <w:rPr>
                <w:rFonts w:ascii="Arial" w:hAnsi="Arial"/>
                <w:b/>
                <w:color w:val="FFFFFF"/>
                <w:sz w:val="16"/>
              </w:rPr>
              <w:t>Biological Normal</w:t>
            </w:r>
          </w:p>
        </w:tc>
        <w:tc>
          <w:tcPr>
            <w:tcW w:type="dxa" w:w="1892"/>
            <w:shd w:fill="0D9488"/>
            <w:tcMar>
              <w:top w:w="50" w:type="dxa"/>
              <w:bottom w:w="50" w:type="dxa"/>
              <w:left w:w="60" w:type="dxa"/>
              <w:right w:w="60" w:type="dxa"/>
            </w:tcMar>
          </w:tcPr>
          <w:p>
            <w:pPr>
              <w:spacing w:after="0"/>
            </w:pPr>
            <w:r>
              <w:rPr>
                <w:rFonts w:ascii="Arial" w:hAnsi="Arial"/>
                <w:b/>
                <w:color w:val="FFFFFF"/>
                <w:sz w:val="16"/>
              </w:rPr>
              <w:t>Survival Limits</w:t>
            </w:r>
          </w:p>
        </w:tc>
        <w:tc>
          <w:tcPr>
            <w:tcW w:type="dxa" w:w="1892"/>
            <w:shd w:fill="0D9488"/>
            <w:tcMar>
              <w:top w:w="50" w:type="dxa"/>
              <w:bottom w:w="50" w:type="dxa"/>
              <w:left w:w="60" w:type="dxa"/>
              <w:right w:w="60" w:type="dxa"/>
            </w:tcMar>
          </w:tcPr>
          <w:p>
            <w:pPr>
              <w:spacing w:after="0"/>
            </w:pPr>
            <w:r>
              <w:rPr>
                <w:rFonts w:ascii="Arial" w:hAnsi="Arial"/>
                <w:b/>
                <w:color w:val="FFFFFF"/>
                <w:sz w:val="16"/>
              </w:rPr>
              <w:t>Common OCR Artifact</w:t>
            </w:r>
          </w:p>
        </w:tc>
        <w:tc>
          <w:tcPr>
            <w:tcW w:type="dxa" w:w="1892"/>
            <w:shd w:fill="0D9488"/>
            <w:tcMar>
              <w:top w:w="50" w:type="dxa"/>
              <w:bottom w:w="50" w:type="dxa"/>
              <w:left w:w="60" w:type="dxa"/>
              <w:right w:w="60" w:type="dxa"/>
            </w:tcMar>
          </w:tcPr>
          <w:p>
            <w:pPr>
              <w:spacing w:after="0"/>
            </w:pPr>
            <w:r>
              <w:rPr>
                <w:rFonts w:ascii="Arial" w:hAnsi="Arial"/>
                <w:b/>
                <w:color w:val="FFFFFF"/>
                <w:sz w:val="16"/>
              </w:rPr>
              <w:t>Engine Recovery Logic</w:t>
            </w:r>
          </w:p>
        </w:tc>
      </w:tr>
      <w:tr>
        <w:tc>
          <w:tcPr>
            <w:tcW w:type="dxa" w:w="1892"/>
            <w:shd w:fill="F8FAFC"/>
            <w:tcMar>
              <w:top w:w="40" w:type="dxa"/>
              <w:bottom w:w="40" w:type="dxa"/>
              <w:left w:w="50" w:type="dxa"/>
              <w:right w:w="50" w:type="dxa"/>
            </w:tcMar>
          </w:tcPr>
          <w:p>
            <w:pPr>
              <w:spacing w:after="0"/>
            </w:pPr>
            <w:r>
              <w:rPr>
                <w:rFonts w:ascii="Arial" w:hAnsi="Arial"/>
                <w:b/>
                <w:sz w:val="16"/>
              </w:rPr>
              <w:t>Hemoglobin (Hb)</w:t>
            </w:r>
          </w:p>
        </w:tc>
        <w:tc>
          <w:tcPr>
            <w:tcW w:type="dxa" w:w="1892"/>
            <w:shd w:fill="F8FAFC"/>
            <w:tcMar>
              <w:top w:w="40" w:type="dxa"/>
              <w:bottom w:w="40" w:type="dxa"/>
              <w:left w:w="50" w:type="dxa"/>
              <w:right w:w="50" w:type="dxa"/>
            </w:tcMar>
          </w:tcPr>
          <w:p>
            <w:pPr>
              <w:spacing w:after="0"/>
            </w:pPr>
            <w:r>
              <w:rPr>
                <w:rFonts w:ascii="Arial" w:hAnsi="Arial"/>
                <w:sz w:val="16"/>
              </w:rPr>
              <w:t>12.0 - 17.5 g/dL</w:t>
            </w:r>
          </w:p>
        </w:tc>
        <w:tc>
          <w:tcPr>
            <w:tcW w:type="dxa" w:w="1892"/>
            <w:shd w:fill="F8FAFC"/>
            <w:tcMar>
              <w:top w:w="40" w:type="dxa"/>
              <w:bottom w:w="40" w:type="dxa"/>
              <w:left w:w="50" w:type="dxa"/>
              <w:right w:w="50" w:type="dxa"/>
            </w:tcMar>
          </w:tcPr>
          <w:p>
            <w:pPr>
              <w:spacing w:after="0"/>
            </w:pPr>
            <w:r>
              <w:rPr>
                <w:rFonts w:ascii="Arial" w:hAnsi="Arial"/>
                <w:sz w:val="16"/>
              </w:rPr>
              <w:t>2.0 - 25.0 g/dL</w:t>
            </w:r>
          </w:p>
        </w:tc>
        <w:tc>
          <w:tcPr>
            <w:tcW w:type="dxa" w:w="1892"/>
            <w:shd w:fill="F8FAFC"/>
            <w:tcMar>
              <w:top w:w="40" w:type="dxa"/>
              <w:bottom w:w="40" w:type="dxa"/>
              <w:left w:w="50" w:type="dxa"/>
              <w:right w:w="50" w:type="dxa"/>
            </w:tcMar>
          </w:tcPr>
          <w:p>
            <w:pPr>
              <w:spacing w:after="0"/>
            </w:pPr>
            <w:r>
              <w:rPr>
                <w:rFonts w:ascii="Arial" w:hAnsi="Arial"/>
                <w:sz w:val="16"/>
              </w:rPr>
              <w:t>Faded decimal: '6201' or '135'</w:t>
            </w:r>
          </w:p>
        </w:tc>
        <w:tc>
          <w:tcPr>
            <w:tcW w:type="dxa" w:w="1892"/>
            <w:shd w:fill="F8FAFC"/>
            <w:tcMar>
              <w:top w:w="40" w:type="dxa"/>
              <w:bottom w:w="40" w:type="dxa"/>
              <w:left w:w="50" w:type="dxa"/>
              <w:right w:w="50" w:type="dxa"/>
            </w:tcMar>
          </w:tcPr>
          <w:p>
            <w:pPr>
              <w:spacing w:after="0"/>
            </w:pPr>
            <w:r>
              <w:rPr>
                <w:rFonts w:ascii="Arial" w:hAnsi="Arial"/>
                <w:color w:val="15803D"/>
                <w:sz w:val="16"/>
              </w:rPr>
              <w:t>Divides by 1000/10 -&gt; 6.20 or 13.5 g/dL</w:t>
            </w:r>
          </w:p>
        </w:tc>
      </w:tr>
      <w:tr>
        <w:tc>
          <w:tcPr>
            <w:tcW w:type="dxa" w:w="1892"/>
            <w:shd w:fill="FFFFFF"/>
            <w:tcMar>
              <w:top w:w="40" w:type="dxa"/>
              <w:bottom w:w="40" w:type="dxa"/>
              <w:left w:w="50" w:type="dxa"/>
              <w:right w:w="50" w:type="dxa"/>
            </w:tcMar>
          </w:tcPr>
          <w:p>
            <w:pPr>
              <w:spacing w:after="0"/>
            </w:pPr>
            <w:r>
              <w:rPr>
                <w:rFonts w:ascii="Arial" w:hAnsi="Arial"/>
                <w:b/>
                <w:sz w:val="16"/>
              </w:rPr>
              <w:t>Platelet Count</w:t>
            </w:r>
          </w:p>
        </w:tc>
        <w:tc>
          <w:tcPr>
            <w:tcW w:type="dxa" w:w="1892"/>
            <w:shd w:fill="FFFFFF"/>
            <w:tcMar>
              <w:top w:w="40" w:type="dxa"/>
              <w:bottom w:w="40" w:type="dxa"/>
              <w:left w:w="50" w:type="dxa"/>
              <w:right w:w="50" w:type="dxa"/>
            </w:tcMar>
          </w:tcPr>
          <w:p>
            <w:pPr>
              <w:spacing w:after="0"/>
            </w:pPr>
            <w:r>
              <w:rPr>
                <w:rFonts w:ascii="Arial" w:hAnsi="Arial"/>
                <w:sz w:val="16"/>
              </w:rPr>
              <w:t>1.5 - 4.5 Lakhs</w:t>
            </w:r>
          </w:p>
        </w:tc>
        <w:tc>
          <w:tcPr>
            <w:tcW w:type="dxa" w:w="1892"/>
            <w:shd w:fill="FFFFFF"/>
            <w:tcMar>
              <w:top w:w="40" w:type="dxa"/>
              <w:bottom w:w="40" w:type="dxa"/>
              <w:left w:w="50" w:type="dxa"/>
              <w:right w:w="50" w:type="dxa"/>
            </w:tcMar>
          </w:tcPr>
          <w:p>
            <w:pPr>
              <w:spacing w:after="0"/>
            </w:pPr>
            <w:r>
              <w:rPr>
                <w:rFonts w:ascii="Arial" w:hAnsi="Arial"/>
                <w:sz w:val="16"/>
              </w:rPr>
              <w:t>5k - 2,000k /cumm</w:t>
            </w:r>
          </w:p>
        </w:tc>
        <w:tc>
          <w:tcPr>
            <w:tcW w:type="dxa" w:w="1892"/>
            <w:shd w:fill="FFFFFF"/>
            <w:tcMar>
              <w:top w:w="40" w:type="dxa"/>
              <w:bottom w:w="40" w:type="dxa"/>
              <w:left w:w="50" w:type="dxa"/>
              <w:right w:w="50" w:type="dxa"/>
            </w:tcMar>
          </w:tcPr>
          <w:p>
            <w:pPr>
              <w:spacing w:after="0"/>
            </w:pPr>
            <w:r>
              <w:rPr>
                <w:rFonts w:ascii="Arial" w:hAnsi="Arial"/>
                <w:sz w:val="16"/>
              </w:rPr>
              <w:t>'1.8 Lakhs' or '14080'</w:t>
            </w:r>
          </w:p>
        </w:tc>
        <w:tc>
          <w:tcPr>
            <w:tcW w:type="dxa" w:w="1892"/>
            <w:shd w:fill="FFFFFF"/>
            <w:tcMar>
              <w:top w:w="40" w:type="dxa"/>
              <w:bottom w:w="40" w:type="dxa"/>
              <w:left w:w="50" w:type="dxa"/>
              <w:right w:w="50" w:type="dxa"/>
            </w:tcMar>
          </w:tcPr>
          <w:p>
            <w:pPr>
              <w:spacing w:after="0"/>
            </w:pPr>
            <w:r>
              <w:rPr>
                <w:rFonts w:ascii="Arial" w:hAnsi="Arial"/>
                <w:color w:val="15803D"/>
                <w:sz w:val="16"/>
              </w:rPr>
              <w:t>Normalizes unit -&gt; 180,000 /cumm</w:t>
            </w:r>
          </w:p>
        </w:tc>
      </w:tr>
      <w:tr>
        <w:tc>
          <w:tcPr>
            <w:tcW w:type="dxa" w:w="1892"/>
            <w:shd w:fill="F8FAFC"/>
            <w:tcMar>
              <w:top w:w="40" w:type="dxa"/>
              <w:bottom w:w="40" w:type="dxa"/>
              <w:left w:w="50" w:type="dxa"/>
              <w:right w:w="50" w:type="dxa"/>
            </w:tcMar>
          </w:tcPr>
          <w:p>
            <w:pPr>
              <w:spacing w:after="0"/>
            </w:pPr>
            <w:r>
              <w:rPr>
                <w:rFonts w:ascii="Arial" w:hAnsi="Arial"/>
                <w:b/>
                <w:sz w:val="16"/>
              </w:rPr>
              <w:t>Serum Creatinine</w:t>
            </w:r>
          </w:p>
        </w:tc>
        <w:tc>
          <w:tcPr>
            <w:tcW w:type="dxa" w:w="1892"/>
            <w:shd w:fill="F8FAFC"/>
            <w:tcMar>
              <w:top w:w="40" w:type="dxa"/>
              <w:bottom w:w="40" w:type="dxa"/>
              <w:left w:w="50" w:type="dxa"/>
              <w:right w:w="50" w:type="dxa"/>
            </w:tcMar>
          </w:tcPr>
          <w:p>
            <w:pPr>
              <w:spacing w:after="0"/>
            </w:pPr>
            <w:r>
              <w:rPr>
                <w:rFonts w:ascii="Arial" w:hAnsi="Arial"/>
                <w:sz w:val="16"/>
              </w:rPr>
              <w:t>0.6 - 1.3 mg/dL</w:t>
            </w:r>
          </w:p>
        </w:tc>
        <w:tc>
          <w:tcPr>
            <w:tcW w:type="dxa" w:w="1892"/>
            <w:shd w:fill="F8FAFC"/>
            <w:tcMar>
              <w:top w:w="40" w:type="dxa"/>
              <w:bottom w:w="40" w:type="dxa"/>
              <w:left w:w="50" w:type="dxa"/>
              <w:right w:w="50" w:type="dxa"/>
            </w:tcMar>
          </w:tcPr>
          <w:p>
            <w:pPr>
              <w:spacing w:after="0"/>
            </w:pPr>
            <w:r>
              <w:rPr>
                <w:rFonts w:ascii="Arial" w:hAnsi="Arial"/>
                <w:sz w:val="16"/>
              </w:rPr>
              <w:t>0.2 - 35.0 mg/dL</w:t>
            </w:r>
          </w:p>
        </w:tc>
        <w:tc>
          <w:tcPr>
            <w:tcW w:type="dxa" w:w="1892"/>
            <w:shd w:fill="F8FAFC"/>
            <w:tcMar>
              <w:top w:w="40" w:type="dxa"/>
              <w:bottom w:w="40" w:type="dxa"/>
              <w:left w:w="50" w:type="dxa"/>
              <w:right w:w="50" w:type="dxa"/>
            </w:tcMar>
          </w:tcPr>
          <w:p>
            <w:pPr>
              <w:spacing w:after="0"/>
            </w:pPr>
            <w:r>
              <w:rPr>
                <w:rFonts w:ascii="Arial" w:hAnsi="Arial"/>
                <w:sz w:val="16"/>
              </w:rPr>
              <w:t>Faded decimal: '11' mg/dL</w:t>
            </w:r>
          </w:p>
        </w:tc>
        <w:tc>
          <w:tcPr>
            <w:tcW w:type="dxa" w:w="1892"/>
            <w:shd w:fill="F8FAFC"/>
            <w:tcMar>
              <w:top w:w="40" w:type="dxa"/>
              <w:bottom w:w="40" w:type="dxa"/>
              <w:left w:w="50" w:type="dxa"/>
              <w:right w:w="50" w:type="dxa"/>
            </w:tcMar>
          </w:tcPr>
          <w:p>
            <w:pPr>
              <w:spacing w:after="0"/>
            </w:pPr>
            <w:r>
              <w:rPr>
                <w:rFonts w:ascii="Arial" w:hAnsi="Arial"/>
                <w:color w:val="15803D"/>
                <w:sz w:val="16"/>
              </w:rPr>
              <w:t>Divides by 10 -&gt; 1.1 mg/dL; amber flag</w:t>
            </w:r>
          </w:p>
        </w:tc>
      </w:tr>
      <w:tr>
        <w:tc>
          <w:tcPr>
            <w:tcW w:type="dxa" w:w="1892"/>
            <w:shd w:fill="FFFFFF"/>
            <w:tcMar>
              <w:top w:w="40" w:type="dxa"/>
              <w:bottom w:w="40" w:type="dxa"/>
              <w:left w:w="50" w:type="dxa"/>
              <w:right w:w="50" w:type="dxa"/>
            </w:tcMar>
          </w:tcPr>
          <w:p>
            <w:pPr>
              <w:spacing w:after="0"/>
            </w:pPr>
            <w:r>
              <w:rPr>
                <w:rFonts w:ascii="Arial" w:hAnsi="Arial"/>
                <w:b/>
                <w:sz w:val="16"/>
              </w:rPr>
              <w:t>Serum Potassium (K+)</w:t>
            </w:r>
          </w:p>
        </w:tc>
        <w:tc>
          <w:tcPr>
            <w:tcW w:type="dxa" w:w="1892"/>
            <w:shd w:fill="FFFFFF"/>
            <w:tcMar>
              <w:top w:w="40" w:type="dxa"/>
              <w:bottom w:w="40" w:type="dxa"/>
              <w:left w:w="50" w:type="dxa"/>
              <w:right w:w="50" w:type="dxa"/>
            </w:tcMar>
          </w:tcPr>
          <w:p>
            <w:pPr>
              <w:spacing w:after="0"/>
            </w:pPr>
            <w:r>
              <w:rPr>
                <w:rFonts w:ascii="Arial" w:hAnsi="Arial"/>
                <w:sz w:val="16"/>
              </w:rPr>
              <w:t>3.5 - 5.0 mEq/L</w:t>
            </w:r>
          </w:p>
        </w:tc>
        <w:tc>
          <w:tcPr>
            <w:tcW w:type="dxa" w:w="1892"/>
            <w:shd w:fill="FFFFFF"/>
            <w:tcMar>
              <w:top w:w="40" w:type="dxa"/>
              <w:bottom w:w="40" w:type="dxa"/>
              <w:left w:w="50" w:type="dxa"/>
              <w:right w:w="50" w:type="dxa"/>
            </w:tcMar>
          </w:tcPr>
          <w:p>
            <w:pPr>
              <w:spacing w:after="0"/>
            </w:pPr>
            <w:r>
              <w:rPr>
                <w:rFonts w:ascii="Arial" w:hAnsi="Arial"/>
                <w:sz w:val="16"/>
              </w:rPr>
              <w:t>1.5 - 9.0 mEq/L</w:t>
            </w:r>
          </w:p>
        </w:tc>
        <w:tc>
          <w:tcPr>
            <w:tcW w:type="dxa" w:w="1892"/>
            <w:shd w:fill="FFFFFF"/>
            <w:tcMar>
              <w:top w:w="40" w:type="dxa"/>
              <w:bottom w:w="40" w:type="dxa"/>
              <w:left w:w="50" w:type="dxa"/>
              <w:right w:w="50" w:type="dxa"/>
            </w:tcMar>
          </w:tcPr>
          <w:p>
            <w:pPr>
              <w:spacing w:after="0"/>
            </w:pPr>
            <w:r>
              <w:rPr>
                <w:rFonts w:ascii="Arial" w:hAnsi="Arial"/>
                <w:sz w:val="16"/>
              </w:rPr>
              <w:t>Faded decimal: '44' mEq/L</w:t>
            </w:r>
          </w:p>
        </w:tc>
        <w:tc>
          <w:tcPr>
            <w:tcW w:type="dxa" w:w="1892"/>
            <w:shd w:fill="FFFFFF"/>
            <w:tcMar>
              <w:top w:w="40" w:type="dxa"/>
              <w:bottom w:w="40" w:type="dxa"/>
              <w:left w:w="50" w:type="dxa"/>
              <w:right w:w="50" w:type="dxa"/>
            </w:tcMar>
          </w:tcPr>
          <w:p>
            <w:pPr>
              <w:spacing w:after="0"/>
            </w:pPr>
            <w:r>
              <w:rPr>
                <w:rFonts w:ascii="Arial" w:hAnsi="Arial"/>
                <w:color w:val="15803D"/>
                <w:sz w:val="16"/>
              </w:rPr>
              <w:t>Divides by 10 -&gt; 4.4 mEq/L; prevents fatal dose</w:t>
            </w:r>
          </w:p>
        </w:tc>
      </w:tr>
      <w:tr>
        <w:tc>
          <w:tcPr>
            <w:tcW w:type="dxa" w:w="1892"/>
            <w:shd w:fill="F8FAFC"/>
            <w:tcMar>
              <w:top w:w="40" w:type="dxa"/>
              <w:bottom w:w="40" w:type="dxa"/>
              <w:left w:w="50" w:type="dxa"/>
              <w:right w:w="50" w:type="dxa"/>
            </w:tcMar>
          </w:tcPr>
          <w:p>
            <w:pPr>
              <w:spacing w:after="0"/>
            </w:pPr>
            <w:r>
              <w:rPr>
                <w:rFonts w:ascii="Arial" w:hAnsi="Arial"/>
                <w:b/>
                <w:sz w:val="16"/>
              </w:rPr>
              <w:t>Blood Glucose (Random)</w:t>
            </w:r>
          </w:p>
        </w:tc>
        <w:tc>
          <w:tcPr>
            <w:tcW w:type="dxa" w:w="1892"/>
            <w:shd w:fill="F8FAFC"/>
            <w:tcMar>
              <w:top w:w="40" w:type="dxa"/>
              <w:bottom w:w="40" w:type="dxa"/>
              <w:left w:w="50" w:type="dxa"/>
              <w:right w:w="50" w:type="dxa"/>
            </w:tcMar>
          </w:tcPr>
          <w:p>
            <w:pPr>
              <w:spacing w:after="0"/>
            </w:pPr>
            <w:r>
              <w:rPr>
                <w:rFonts w:ascii="Arial" w:hAnsi="Arial"/>
                <w:sz w:val="16"/>
              </w:rPr>
              <w:t>70 - 140 mg/dL</w:t>
            </w:r>
          </w:p>
        </w:tc>
        <w:tc>
          <w:tcPr>
            <w:tcW w:type="dxa" w:w="1892"/>
            <w:shd w:fill="F8FAFC"/>
            <w:tcMar>
              <w:top w:w="40" w:type="dxa"/>
              <w:bottom w:w="40" w:type="dxa"/>
              <w:left w:w="50" w:type="dxa"/>
              <w:right w:w="50" w:type="dxa"/>
            </w:tcMar>
          </w:tcPr>
          <w:p>
            <w:pPr>
              <w:spacing w:after="0"/>
            </w:pPr>
            <w:r>
              <w:rPr>
                <w:rFonts w:ascii="Arial" w:hAnsi="Arial"/>
                <w:sz w:val="16"/>
              </w:rPr>
              <w:t>20 - 1200 mg/dL</w:t>
            </w:r>
          </w:p>
        </w:tc>
        <w:tc>
          <w:tcPr>
            <w:tcW w:type="dxa" w:w="1892"/>
            <w:shd w:fill="F8FAFC"/>
            <w:tcMar>
              <w:top w:w="40" w:type="dxa"/>
              <w:bottom w:w="40" w:type="dxa"/>
              <w:left w:w="50" w:type="dxa"/>
              <w:right w:w="50" w:type="dxa"/>
            </w:tcMar>
          </w:tcPr>
          <w:p>
            <w:pPr>
              <w:spacing w:after="0"/>
            </w:pPr>
            <w:r>
              <w:rPr>
                <w:rFonts w:ascii="Arial" w:hAnsi="Arial"/>
                <w:sz w:val="16"/>
              </w:rPr>
              <w:t>SI unit '11.1 mmol/L'</w:t>
            </w:r>
          </w:p>
        </w:tc>
        <w:tc>
          <w:tcPr>
            <w:tcW w:type="dxa" w:w="1892"/>
            <w:shd w:fill="F8FAFC"/>
            <w:tcMar>
              <w:top w:w="40" w:type="dxa"/>
              <w:bottom w:w="40" w:type="dxa"/>
              <w:left w:w="50" w:type="dxa"/>
              <w:right w:w="50" w:type="dxa"/>
            </w:tcMar>
          </w:tcPr>
          <w:p>
            <w:pPr>
              <w:spacing w:after="0"/>
            </w:pPr>
            <w:r>
              <w:rPr>
                <w:rFonts w:ascii="Arial" w:hAnsi="Arial"/>
                <w:color w:val="15803D"/>
                <w:sz w:val="16"/>
              </w:rPr>
              <w:t>Converts mmol/L * 18.0182 -&gt; 200 mg/dL</w:t>
            </w:r>
          </w:p>
        </w:tc>
      </w:tr>
      <w:tr>
        <w:tc>
          <w:tcPr>
            <w:tcW w:type="dxa" w:w="1892"/>
            <w:shd w:fill="FFFFFF"/>
            <w:tcMar>
              <w:top w:w="40" w:type="dxa"/>
              <w:bottom w:w="40" w:type="dxa"/>
              <w:left w:w="50" w:type="dxa"/>
              <w:right w:w="50" w:type="dxa"/>
            </w:tcMar>
          </w:tcPr>
          <w:p>
            <w:pPr>
              <w:spacing w:after="0"/>
            </w:pPr>
            <w:r>
              <w:rPr>
                <w:rFonts w:ascii="Arial" w:hAnsi="Arial"/>
                <w:b/>
                <w:sz w:val="16"/>
              </w:rPr>
              <w:t>Serum Bilirubin (Total)</w:t>
            </w:r>
          </w:p>
        </w:tc>
        <w:tc>
          <w:tcPr>
            <w:tcW w:type="dxa" w:w="1892"/>
            <w:shd w:fill="FFFFFF"/>
            <w:tcMar>
              <w:top w:w="40" w:type="dxa"/>
              <w:bottom w:w="40" w:type="dxa"/>
              <w:left w:w="50" w:type="dxa"/>
              <w:right w:w="50" w:type="dxa"/>
            </w:tcMar>
          </w:tcPr>
          <w:p>
            <w:pPr>
              <w:spacing w:after="0"/>
            </w:pPr>
            <w:r>
              <w:rPr>
                <w:rFonts w:ascii="Arial" w:hAnsi="Arial"/>
                <w:sz w:val="16"/>
              </w:rPr>
              <w:t>0.2 - 1.2 mg/dL</w:t>
            </w:r>
          </w:p>
        </w:tc>
        <w:tc>
          <w:tcPr>
            <w:tcW w:type="dxa" w:w="1892"/>
            <w:shd w:fill="FFFFFF"/>
            <w:tcMar>
              <w:top w:w="40" w:type="dxa"/>
              <w:bottom w:w="40" w:type="dxa"/>
              <w:left w:w="50" w:type="dxa"/>
              <w:right w:w="50" w:type="dxa"/>
            </w:tcMar>
          </w:tcPr>
          <w:p>
            <w:pPr>
              <w:spacing w:after="0"/>
            </w:pPr>
            <w:r>
              <w:rPr>
                <w:rFonts w:ascii="Arial" w:hAnsi="Arial"/>
                <w:sz w:val="16"/>
              </w:rPr>
              <w:t>0.1 - 50.0 mg/dL</w:t>
            </w:r>
          </w:p>
        </w:tc>
        <w:tc>
          <w:tcPr>
            <w:tcW w:type="dxa" w:w="1892"/>
            <w:shd w:fill="FFFFFF"/>
            <w:tcMar>
              <w:top w:w="40" w:type="dxa"/>
              <w:bottom w:w="40" w:type="dxa"/>
              <w:left w:w="50" w:type="dxa"/>
              <w:right w:w="50" w:type="dxa"/>
            </w:tcMar>
          </w:tcPr>
          <w:p>
            <w:pPr>
              <w:spacing w:after="0"/>
            </w:pPr>
            <w:r>
              <w:rPr>
                <w:rFonts w:ascii="Arial" w:hAnsi="Arial"/>
                <w:sz w:val="16"/>
              </w:rPr>
              <w:t>SI unit '120 umol/L'</w:t>
            </w:r>
          </w:p>
        </w:tc>
        <w:tc>
          <w:tcPr>
            <w:tcW w:type="dxa" w:w="1892"/>
            <w:shd w:fill="FFFFFF"/>
            <w:tcMar>
              <w:top w:w="40" w:type="dxa"/>
              <w:bottom w:w="40" w:type="dxa"/>
              <w:left w:w="50" w:type="dxa"/>
              <w:right w:w="50" w:type="dxa"/>
            </w:tcMar>
          </w:tcPr>
          <w:p>
            <w:pPr>
              <w:spacing w:after="0"/>
            </w:pPr>
            <w:r>
              <w:rPr>
                <w:rFonts w:ascii="Arial" w:hAnsi="Arial"/>
                <w:color w:val="15803D"/>
                <w:sz w:val="16"/>
              </w:rPr>
              <w:t>Converts umol/L / 17.1 -&gt; 7.02 mg/dL</w:t>
            </w:r>
          </w:p>
        </w:tc>
      </w:tr>
      <w:tr>
        <w:tc>
          <w:tcPr>
            <w:tcW w:type="dxa" w:w="1892"/>
            <w:shd w:fill="F8FAFC"/>
            <w:tcMar>
              <w:top w:w="40" w:type="dxa"/>
              <w:bottom w:w="40" w:type="dxa"/>
              <w:left w:w="50" w:type="dxa"/>
              <w:right w:w="50" w:type="dxa"/>
            </w:tcMar>
          </w:tcPr>
          <w:p>
            <w:pPr>
              <w:spacing w:after="0"/>
            </w:pPr>
            <w:r>
              <w:rPr>
                <w:rFonts w:ascii="Arial" w:hAnsi="Arial"/>
                <w:b/>
                <w:sz w:val="16"/>
              </w:rPr>
              <w:t>White Blood Cells (WBC)</w:t>
            </w:r>
          </w:p>
        </w:tc>
        <w:tc>
          <w:tcPr>
            <w:tcW w:type="dxa" w:w="1892"/>
            <w:shd w:fill="F8FAFC"/>
            <w:tcMar>
              <w:top w:w="40" w:type="dxa"/>
              <w:bottom w:w="40" w:type="dxa"/>
              <w:left w:w="50" w:type="dxa"/>
              <w:right w:w="50" w:type="dxa"/>
            </w:tcMar>
          </w:tcPr>
          <w:p>
            <w:pPr>
              <w:spacing w:after="0"/>
            </w:pPr>
            <w:r>
              <w:rPr>
                <w:rFonts w:ascii="Arial" w:hAnsi="Arial"/>
                <w:sz w:val="16"/>
              </w:rPr>
              <w:t>4,000 - 11,000</w:t>
            </w:r>
          </w:p>
        </w:tc>
        <w:tc>
          <w:tcPr>
            <w:tcW w:type="dxa" w:w="1892"/>
            <w:shd w:fill="F8FAFC"/>
            <w:tcMar>
              <w:top w:w="40" w:type="dxa"/>
              <w:bottom w:w="40" w:type="dxa"/>
              <w:left w:w="50" w:type="dxa"/>
              <w:right w:w="50" w:type="dxa"/>
            </w:tcMar>
          </w:tcPr>
          <w:p>
            <w:pPr>
              <w:spacing w:after="0"/>
            </w:pPr>
            <w:r>
              <w:rPr>
                <w:rFonts w:ascii="Arial" w:hAnsi="Arial"/>
                <w:sz w:val="16"/>
              </w:rPr>
              <w:t>500 - 100,000</w:t>
            </w:r>
          </w:p>
        </w:tc>
        <w:tc>
          <w:tcPr>
            <w:tcW w:type="dxa" w:w="1892"/>
            <w:shd w:fill="F8FAFC"/>
            <w:tcMar>
              <w:top w:w="40" w:type="dxa"/>
              <w:bottom w:w="40" w:type="dxa"/>
              <w:left w:w="50" w:type="dxa"/>
              <w:right w:w="50" w:type="dxa"/>
            </w:tcMar>
          </w:tcPr>
          <w:p>
            <w:pPr>
              <w:spacing w:after="0"/>
            </w:pPr>
            <w:r>
              <w:rPr>
                <w:rFonts w:ascii="Arial" w:hAnsi="Arial"/>
                <w:sz w:val="16"/>
              </w:rPr>
              <w:t>'wet 12418' (typo 'wet')</w:t>
            </w:r>
          </w:p>
        </w:tc>
        <w:tc>
          <w:tcPr>
            <w:tcW w:type="dxa" w:w="1892"/>
            <w:shd w:fill="F8FAFC"/>
            <w:tcMar>
              <w:top w:w="40" w:type="dxa"/>
              <w:bottom w:w="40" w:type="dxa"/>
              <w:left w:w="50" w:type="dxa"/>
              <w:right w:w="50" w:type="dxa"/>
            </w:tcMar>
          </w:tcPr>
          <w:p>
            <w:pPr>
              <w:spacing w:after="0"/>
            </w:pPr>
            <w:r>
              <w:rPr>
                <w:rFonts w:ascii="Arial" w:hAnsi="Arial"/>
                <w:color w:val="15803D"/>
                <w:sz w:val="16"/>
              </w:rPr>
              <w:t>Regex alias matches TLC -&gt; 12,418 /cumm</w:t>
            </w:r>
          </w:p>
        </w:tc>
      </w:tr>
      <w:tr>
        <w:tc>
          <w:tcPr>
            <w:tcW w:type="dxa" w:w="1892"/>
            <w:shd w:fill="FFFFFF"/>
            <w:tcMar>
              <w:top w:w="40" w:type="dxa"/>
              <w:bottom w:w="40" w:type="dxa"/>
              <w:left w:w="50" w:type="dxa"/>
              <w:right w:w="50" w:type="dxa"/>
            </w:tcMar>
          </w:tcPr>
          <w:p>
            <w:pPr>
              <w:spacing w:after="0"/>
            </w:pPr>
            <w:r>
              <w:rPr>
                <w:rFonts w:ascii="Arial" w:hAnsi="Arial"/>
                <w:b/>
                <w:sz w:val="16"/>
              </w:rPr>
              <w:t>Blood Urea Nitrogen</w:t>
            </w:r>
          </w:p>
        </w:tc>
        <w:tc>
          <w:tcPr>
            <w:tcW w:type="dxa" w:w="1892"/>
            <w:shd w:fill="FFFFFF"/>
            <w:tcMar>
              <w:top w:w="40" w:type="dxa"/>
              <w:bottom w:w="40" w:type="dxa"/>
              <w:left w:w="50" w:type="dxa"/>
              <w:right w:w="50" w:type="dxa"/>
            </w:tcMar>
          </w:tcPr>
          <w:p>
            <w:pPr>
              <w:spacing w:after="0"/>
            </w:pPr>
            <w:r>
              <w:rPr>
                <w:rFonts w:ascii="Arial" w:hAnsi="Arial"/>
                <w:sz w:val="16"/>
              </w:rPr>
              <w:t>7 - 20 mg/dL</w:t>
            </w:r>
          </w:p>
        </w:tc>
        <w:tc>
          <w:tcPr>
            <w:tcW w:type="dxa" w:w="1892"/>
            <w:shd w:fill="FFFFFF"/>
            <w:tcMar>
              <w:top w:w="40" w:type="dxa"/>
              <w:bottom w:w="40" w:type="dxa"/>
              <w:left w:w="50" w:type="dxa"/>
              <w:right w:w="50" w:type="dxa"/>
            </w:tcMar>
          </w:tcPr>
          <w:p>
            <w:pPr>
              <w:spacing w:after="0"/>
            </w:pPr>
            <w:r>
              <w:rPr>
                <w:rFonts w:ascii="Arial" w:hAnsi="Arial"/>
                <w:sz w:val="16"/>
              </w:rPr>
              <w:t>2 - 200 mg/dL</w:t>
            </w:r>
          </w:p>
        </w:tc>
        <w:tc>
          <w:tcPr>
            <w:tcW w:type="dxa" w:w="1892"/>
            <w:shd w:fill="FFFFFF"/>
            <w:tcMar>
              <w:top w:w="40" w:type="dxa"/>
              <w:bottom w:w="40" w:type="dxa"/>
              <w:left w:w="50" w:type="dxa"/>
              <w:right w:w="50" w:type="dxa"/>
            </w:tcMar>
          </w:tcPr>
          <w:p>
            <w:pPr>
              <w:spacing w:after="0"/>
            </w:pPr>
            <w:r>
              <w:rPr>
                <w:rFonts w:ascii="Arial" w:hAnsi="Arial"/>
                <w:sz w:val="16"/>
              </w:rPr>
              <w:t>'BUN 150' (dropped dot)</w:t>
            </w:r>
          </w:p>
        </w:tc>
        <w:tc>
          <w:tcPr>
            <w:tcW w:type="dxa" w:w="1892"/>
            <w:shd w:fill="FFFFFF"/>
            <w:tcMar>
              <w:top w:w="40" w:type="dxa"/>
              <w:bottom w:w="40" w:type="dxa"/>
              <w:left w:w="50" w:type="dxa"/>
              <w:right w:w="50" w:type="dxa"/>
            </w:tcMar>
          </w:tcPr>
          <w:p>
            <w:pPr>
              <w:spacing w:after="0"/>
            </w:pPr>
            <w:r>
              <w:rPr>
                <w:rFonts w:ascii="Arial" w:hAnsi="Arial"/>
                <w:color w:val="15803D"/>
                <w:sz w:val="16"/>
              </w:rPr>
              <w:t>Restores 15.0 mg/dL</w:t>
            </w:r>
          </w:p>
        </w:tc>
      </w:tr>
      <w:tr>
        <w:tc>
          <w:tcPr>
            <w:tcW w:type="dxa" w:w="1892"/>
            <w:shd w:fill="F8FAFC"/>
            <w:tcMar>
              <w:top w:w="40" w:type="dxa"/>
              <w:bottom w:w="40" w:type="dxa"/>
              <w:left w:w="50" w:type="dxa"/>
              <w:right w:w="50" w:type="dxa"/>
            </w:tcMar>
          </w:tcPr>
          <w:p>
            <w:pPr>
              <w:spacing w:after="0"/>
            </w:pPr>
            <w:r>
              <w:rPr>
                <w:rFonts w:ascii="Arial" w:hAnsi="Arial"/>
                <w:b/>
                <w:sz w:val="16"/>
              </w:rPr>
              <w:t>Serum Sodium (Na+)</w:t>
            </w:r>
          </w:p>
        </w:tc>
        <w:tc>
          <w:tcPr>
            <w:tcW w:type="dxa" w:w="1892"/>
            <w:shd w:fill="F8FAFC"/>
            <w:tcMar>
              <w:top w:w="40" w:type="dxa"/>
              <w:bottom w:w="40" w:type="dxa"/>
              <w:left w:w="50" w:type="dxa"/>
              <w:right w:w="50" w:type="dxa"/>
            </w:tcMar>
          </w:tcPr>
          <w:p>
            <w:pPr>
              <w:spacing w:after="0"/>
            </w:pPr>
            <w:r>
              <w:rPr>
                <w:rFonts w:ascii="Arial" w:hAnsi="Arial"/>
                <w:sz w:val="16"/>
              </w:rPr>
              <w:t>135 - 145 mEq/L</w:t>
            </w:r>
          </w:p>
        </w:tc>
        <w:tc>
          <w:tcPr>
            <w:tcW w:type="dxa" w:w="1892"/>
            <w:shd w:fill="F8FAFC"/>
            <w:tcMar>
              <w:top w:w="40" w:type="dxa"/>
              <w:bottom w:w="40" w:type="dxa"/>
              <w:left w:w="50" w:type="dxa"/>
              <w:right w:w="50" w:type="dxa"/>
            </w:tcMar>
          </w:tcPr>
          <w:p>
            <w:pPr>
              <w:spacing w:after="0"/>
            </w:pPr>
            <w:r>
              <w:rPr>
                <w:rFonts w:ascii="Arial" w:hAnsi="Arial"/>
                <w:sz w:val="16"/>
              </w:rPr>
              <w:t>100 - 180 mEq/L</w:t>
            </w:r>
          </w:p>
        </w:tc>
        <w:tc>
          <w:tcPr>
            <w:tcW w:type="dxa" w:w="1892"/>
            <w:shd w:fill="F8FAFC"/>
            <w:tcMar>
              <w:top w:w="40" w:type="dxa"/>
              <w:bottom w:w="40" w:type="dxa"/>
              <w:left w:w="50" w:type="dxa"/>
              <w:right w:w="50" w:type="dxa"/>
            </w:tcMar>
          </w:tcPr>
          <w:p>
            <w:pPr>
              <w:spacing w:after="0"/>
            </w:pPr>
            <w:r>
              <w:rPr>
                <w:rFonts w:ascii="Arial" w:hAnsi="Arial"/>
                <w:sz w:val="16"/>
              </w:rPr>
              <w:t>'14' or '1420'</w:t>
            </w:r>
          </w:p>
        </w:tc>
        <w:tc>
          <w:tcPr>
            <w:tcW w:type="dxa" w:w="1892"/>
            <w:shd w:fill="F8FAFC"/>
            <w:tcMar>
              <w:top w:w="40" w:type="dxa"/>
              <w:bottom w:w="40" w:type="dxa"/>
              <w:left w:w="50" w:type="dxa"/>
              <w:right w:w="50" w:type="dxa"/>
            </w:tcMar>
          </w:tcPr>
          <w:p>
            <w:pPr>
              <w:spacing w:after="0"/>
            </w:pPr>
            <w:r>
              <w:rPr>
                <w:rFonts w:ascii="Arial" w:hAnsi="Arial"/>
                <w:color w:val="15803D"/>
                <w:sz w:val="16"/>
              </w:rPr>
              <w:t>Restores 142 mEq/L</w:t>
            </w:r>
          </w:p>
        </w:tc>
      </w:tr>
      <w:tr>
        <w:tc>
          <w:tcPr>
            <w:tcW w:type="dxa" w:w="1892"/>
            <w:shd w:fill="FFFFFF"/>
            <w:tcMar>
              <w:top w:w="40" w:type="dxa"/>
              <w:bottom w:w="40" w:type="dxa"/>
              <w:left w:w="50" w:type="dxa"/>
              <w:right w:w="50" w:type="dxa"/>
            </w:tcMar>
          </w:tcPr>
          <w:p>
            <w:pPr>
              <w:spacing w:after="0"/>
            </w:pPr>
            <w:r>
              <w:rPr>
                <w:rFonts w:ascii="Arial" w:hAnsi="Arial"/>
                <w:b/>
                <w:sz w:val="16"/>
              </w:rPr>
              <w:t>HbA1c</w:t>
            </w:r>
          </w:p>
        </w:tc>
        <w:tc>
          <w:tcPr>
            <w:tcW w:type="dxa" w:w="1892"/>
            <w:shd w:fill="FFFFFF"/>
            <w:tcMar>
              <w:top w:w="40" w:type="dxa"/>
              <w:bottom w:w="40" w:type="dxa"/>
              <w:left w:w="50" w:type="dxa"/>
              <w:right w:w="50" w:type="dxa"/>
            </w:tcMar>
          </w:tcPr>
          <w:p>
            <w:pPr>
              <w:spacing w:after="0"/>
            </w:pPr>
            <w:r>
              <w:rPr>
                <w:rFonts w:ascii="Arial" w:hAnsi="Arial"/>
                <w:sz w:val="16"/>
              </w:rPr>
              <w:t>4.0 - 5.6 %</w:t>
            </w:r>
          </w:p>
        </w:tc>
        <w:tc>
          <w:tcPr>
            <w:tcW w:type="dxa" w:w="1892"/>
            <w:shd w:fill="FFFFFF"/>
            <w:tcMar>
              <w:top w:w="40" w:type="dxa"/>
              <w:bottom w:w="40" w:type="dxa"/>
              <w:left w:w="50" w:type="dxa"/>
              <w:right w:w="50" w:type="dxa"/>
            </w:tcMar>
          </w:tcPr>
          <w:p>
            <w:pPr>
              <w:spacing w:after="0"/>
            </w:pPr>
            <w:r>
              <w:rPr>
                <w:rFonts w:ascii="Arial" w:hAnsi="Arial"/>
                <w:sz w:val="16"/>
              </w:rPr>
              <w:t>3.0 - 20.0 %</w:t>
            </w:r>
          </w:p>
        </w:tc>
        <w:tc>
          <w:tcPr>
            <w:tcW w:type="dxa" w:w="1892"/>
            <w:shd w:fill="FFFFFF"/>
            <w:tcMar>
              <w:top w:w="40" w:type="dxa"/>
              <w:bottom w:w="40" w:type="dxa"/>
              <w:left w:w="50" w:type="dxa"/>
              <w:right w:w="50" w:type="dxa"/>
            </w:tcMar>
          </w:tcPr>
          <w:p>
            <w:pPr>
              <w:spacing w:after="0"/>
            </w:pPr>
            <w:r>
              <w:rPr>
                <w:rFonts w:ascii="Arial" w:hAnsi="Arial"/>
                <w:sz w:val="16"/>
              </w:rPr>
              <w:t>'72 %' (dropped dot)</w:t>
            </w:r>
          </w:p>
        </w:tc>
        <w:tc>
          <w:tcPr>
            <w:tcW w:type="dxa" w:w="1892"/>
            <w:shd w:fill="FFFFFF"/>
            <w:tcMar>
              <w:top w:w="40" w:type="dxa"/>
              <w:bottom w:w="40" w:type="dxa"/>
              <w:left w:w="50" w:type="dxa"/>
              <w:right w:w="50" w:type="dxa"/>
            </w:tcMar>
          </w:tcPr>
          <w:p>
            <w:pPr>
              <w:spacing w:after="0"/>
            </w:pPr>
            <w:r>
              <w:rPr>
                <w:rFonts w:ascii="Arial" w:hAnsi="Arial"/>
                <w:color w:val="15803D"/>
                <w:sz w:val="16"/>
              </w:rPr>
              <w:t>Restores 7.2 %; severe diabetic flag</w:t>
            </w:r>
          </w:p>
        </w:tc>
      </w:tr>
    </w:tbl>
    <w:p>
      <w:pPr>
        <w:spacing w:after="200"/>
      </w:pPr>
    </w:p>
    <w:p>
      <w:pPr>
        <w:pStyle w:val="Heading1"/>
      </w:pPr>
      <w:r>
        <w:rPr>
          <w:rFonts w:ascii="Arial" w:hAnsi="Arial"/>
          <w:b/>
          <w:color w:val="1E3A8A"/>
          <w:sz w:val="28"/>
        </w:rPr>
        <w:t>9. Master 21-Battery Full System Test Harness Scorecard</w:t>
      </w:r>
    </w:p>
    <w:p>
      <w:pPr>
        <w:spacing w:line="276" w:lineRule="auto" w:after="120"/>
      </w:pPr>
      <w:r>
        <w:rPr>
          <w:rFonts w:ascii="Arial" w:hAnsi="Arial"/>
          <w:color w:val="0F172A"/>
          <w:sz w:val="19"/>
        </w:rPr>
        <w:t>The master test suite executes 21 automated regression batteries across clinical, cryptographic, and multi-modal services (npm run test inside 26047/backend). All 21 batteries passed synchronously in 5.03 seconds: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65"/>
        <w:gridCol w:w="2365"/>
        <w:gridCol w:w="2365"/>
        <w:gridCol w:w="2365"/>
      </w:tblGrid>
      <w:tr>
        <w:tc>
          <w:tcPr>
            <w:tcW w:type="dxa" w:w="2365"/>
            <w:shd w:fill="1E3A8A"/>
            <w:tcMar>
              <w:top w:w="50" w:type="dxa"/>
              <w:bottom w:w="50" w:type="dxa"/>
              <w:left w:w="60" w:type="dxa"/>
              <w:right w:w="60" w:type="dxa"/>
            </w:tcMar>
          </w:tcPr>
          <w:p>
            <w:pPr>
              <w:spacing w:after="0"/>
            </w:pPr>
            <w:r>
              <w:rPr>
                <w:rFonts w:ascii="Arial" w:hAnsi="Arial"/>
                <w:b/>
                <w:color w:val="FFFFFF"/>
                <w:sz w:val="17"/>
              </w:rPr>
              <w:t>#</w:t>
            </w:r>
          </w:p>
        </w:tc>
        <w:tc>
          <w:tcPr>
            <w:tcW w:type="dxa" w:w="2365"/>
            <w:shd w:fill="1E3A8A"/>
            <w:tcMar>
              <w:top w:w="50" w:type="dxa"/>
              <w:bottom w:w="50" w:type="dxa"/>
              <w:left w:w="60" w:type="dxa"/>
              <w:right w:w="60" w:type="dxa"/>
            </w:tcMar>
          </w:tcPr>
          <w:p>
            <w:pPr>
              <w:spacing w:after="0"/>
            </w:pPr>
            <w:r>
              <w:rPr>
                <w:rFonts w:ascii="Arial" w:hAnsi="Arial"/>
                <w:b/>
                <w:color w:val="FFFFFF"/>
                <w:sz w:val="17"/>
              </w:rPr>
              <w:t>Test Battery Name</w:t>
            </w:r>
          </w:p>
        </w:tc>
        <w:tc>
          <w:tcPr>
            <w:tcW w:type="dxa" w:w="2365"/>
            <w:shd w:fill="1E3A8A"/>
            <w:tcMar>
              <w:top w:w="50" w:type="dxa"/>
              <w:bottom w:w="50" w:type="dxa"/>
              <w:left w:w="60" w:type="dxa"/>
              <w:right w:w="60" w:type="dxa"/>
            </w:tcMar>
          </w:tcPr>
          <w:p>
            <w:pPr>
              <w:spacing w:after="0"/>
            </w:pPr>
            <w:r>
              <w:rPr>
                <w:rFonts w:ascii="Arial" w:hAnsi="Arial"/>
                <w:b/>
                <w:color w:val="FFFFFF"/>
                <w:sz w:val="17"/>
              </w:rPr>
              <w:t>Verified Functional Scope</w:t>
            </w:r>
          </w:p>
        </w:tc>
        <w:tc>
          <w:tcPr>
            <w:tcW w:type="dxa" w:w="2365"/>
            <w:shd w:fill="1E3A8A"/>
            <w:tcMar>
              <w:top w:w="50" w:type="dxa"/>
              <w:bottom w:w="50" w:type="dxa"/>
              <w:left w:w="60" w:type="dxa"/>
              <w:right w:w="60" w:type="dxa"/>
            </w:tcMar>
          </w:tcPr>
          <w:p>
            <w:pPr>
              <w:spacing w:after="0"/>
            </w:pPr>
            <w:r>
              <w:rPr>
                <w:rFonts w:ascii="Arial" w:hAnsi="Arial"/>
                <w:b/>
                <w:color w:val="FFFFFF"/>
                <w:sz w:val="17"/>
              </w:rPr>
              <w:t>Metric / Status</w:t>
            </w:r>
          </w:p>
        </w:tc>
      </w:tr>
      <w:tr>
        <w:tc>
          <w:tcPr>
            <w:tcW w:type="dxa" w:w="576"/>
            <w:shd w:fill="F8FAFC"/>
            <w:tcMar>
              <w:top w:w="40" w:type="dxa"/>
              <w:bottom w:w="40" w:type="dxa"/>
              <w:left w:w="50" w:type="dxa"/>
              <w:right w:w="50" w:type="dxa"/>
            </w:tcMar>
          </w:tcPr>
          <w:p>
            <w:pPr>
              <w:spacing w:after="0"/>
            </w:pPr>
            <w:r>
              <w:rPr>
                <w:rFonts w:ascii="Arial" w:hAnsi="Arial"/>
                <w:sz w:val="16"/>
              </w:rPr>
              <w:t>1</w:t>
            </w:r>
          </w:p>
        </w:tc>
        <w:tc>
          <w:tcPr>
            <w:tcW w:type="dxa" w:w="3168"/>
            <w:shd w:fill="F8FAFC"/>
            <w:tcMar>
              <w:top w:w="40" w:type="dxa"/>
              <w:bottom w:w="40" w:type="dxa"/>
              <w:left w:w="50" w:type="dxa"/>
              <w:right w:w="50" w:type="dxa"/>
            </w:tcMar>
          </w:tcPr>
          <w:p>
            <w:pPr>
              <w:spacing w:after="0"/>
            </w:pPr>
            <w:r>
              <w:rPr>
                <w:rFonts w:ascii="Arial" w:hAnsi="Arial"/>
                <w:b w:val="0"/>
                <w:sz w:val="16"/>
              </w:rPr>
              <w:t>5,000-Case Indian OPD Simulation</w:t>
            </w:r>
          </w:p>
        </w:tc>
        <w:tc>
          <w:tcPr>
            <w:tcW w:type="dxa" w:w="4896"/>
            <w:shd w:fill="F8FAFC"/>
            <w:tcMar>
              <w:top w:w="40" w:type="dxa"/>
              <w:bottom w:w="40" w:type="dxa"/>
              <w:left w:w="50" w:type="dxa"/>
              <w:right w:w="50" w:type="dxa"/>
            </w:tcMar>
          </w:tcPr>
          <w:p>
            <w:pPr>
              <w:spacing w:after="0"/>
            </w:pPr>
            <w:r>
              <w:rPr>
                <w:rFonts w:ascii="Arial" w:hAnsi="Arial"/>
                <w:sz w:val="15"/>
              </w:rPr>
              <w:t>Simulates 5,000 realistic clinical OPD profiles (malaria, dengue, diabetes) to confirm throughput under peak outpatient surges.</w:t>
            </w:r>
          </w:p>
        </w:tc>
        <w:tc>
          <w:tcPr>
            <w:tcW w:type="dxa" w:w="1728"/>
            <w:shd w:fill="F8FAFC"/>
            <w:tcMar>
              <w:top w:w="40" w:type="dxa"/>
              <w:bottom w:w="40" w:type="dxa"/>
              <w:left w:w="50" w:type="dxa"/>
              <w:right w:w="50" w:type="dxa"/>
            </w:tcMar>
          </w:tcPr>
          <w:p>
            <w:pPr>
              <w:spacing w:after="0"/>
            </w:pPr>
            <w:r>
              <w:rPr>
                <w:rFonts w:ascii="Arial" w:hAnsi="Arial"/>
                <w:b/>
                <w:color w:val="15803D"/>
                <w:sz w:val="15"/>
              </w:rPr>
              <w:t>✓ 20,128 cases/s (PASS)</w:t>
            </w:r>
          </w:p>
        </w:tc>
      </w:tr>
      <w:tr>
        <w:tc>
          <w:tcPr>
            <w:tcW w:type="dxa" w:w="576"/>
            <w:shd w:fill="FFFFFF"/>
            <w:tcMar>
              <w:top w:w="40" w:type="dxa"/>
              <w:bottom w:w="40" w:type="dxa"/>
              <w:left w:w="50" w:type="dxa"/>
              <w:right w:w="50" w:type="dxa"/>
            </w:tcMar>
          </w:tcPr>
          <w:p>
            <w:pPr>
              <w:spacing w:after="0"/>
            </w:pPr>
            <w:r>
              <w:rPr>
                <w:rFonts w:ascii="Arial" w:hAnsi="Arial"/>
                <w:sz w:val="16"/>
              </w:rPr>
              <w:t>2</w:t>
            </w:r>
          </w:p>
        </w:tc>
        <w:tc>
          <w:tcPr>
            <w:tcW w:type="dxa" w:w="3168"/>
            <w:shd w:fill="FFFFFF"/>
            <w:tcMar>
              <w:top w:w="40" w:type="dxa"/>
              <w:bottom w:w="40" w:type="dxa"/>
              <w:left w:w="50" w:type="dxa"/>
              <w:right w:w="50" w:type="dxa"/>
            </w:tcMar>
          </w:tcPr>
          <w:p>
            <w:pPr>
              <w:spacing w:after="0"/>
            </w:pPr>
            <w:r>
              <w:rPr>
                <w:rFonts w:ascii="Arial" w:hAnsi="Arial"/>
                <w:b w:val="0"/>
                <w:sz w:val="16"/>
              </w:rPr>
              <w:t>10,000-Record Aadhaar Verhoeff KYC</w:t>
            </w:r>
          </w:p>
        </w:tc>
        <w:tc>
          <w:tcPr>
            <w:tcW w:type="dxa" w:w="4896"/>
            <w:shd w:fill="FFFFFF"/>
            <w:tcMar>
              <w:top w:w="40" w:type="dxa"/>
              <w:bottom w:w="40" w:type="dxa"/>
              <w:left w:w="50" w:type="dxa"/>
              <w:right w:w="50" w:type="dxa"/>
            </w:tcMar>
          </w:tcPr>
          <w:p>
            <w:pPr>
              <w:spacing w:after="0"/>
            </w:pPr>
            <w:r>
              <w:rPr>
                <w:rFonts w:ascii="Arial" w:hAnsi="Arial"/>
                <w:sz w:val="15"/>
              </w:rPr>
              <w:t>Validates 10,000 identity records via the official dihedral D5 Verhoeff checksum algorithm to prevent transcription typos.</w:t>
            </w:r>
          </w:p>
        </w:tc>
        <w:tc>
          <w:tcPr>
            <w:tcW w:type="dxa" w:w="1728"/>
            <w:shd w:fill="FFFFFF"/>
            <w:tcMar>
              <w:top w:w="40" w:type="dxa"/>
              <w:bottom w:w="40" w:type="dxa"/>
              <w:left w:w="50" w:type="dxa"/>
              <w:right w:w="50" w:type="dxa"/>
            </w:tcMar>
          </w:tcPr>
          <w:p>
            <w:pPr>
              <w:spacing w:after="0"/>
            </w:pPr>
            <w:r>
              <w:rPr>
                <w:rFonts w:ascii="Arial" w:hAnsi="Arial"/>
                <w:b/>
                <w:color w:val="15803D"/>
                <w:sz w:val="15"/>
              </w:rPr>
              <w:t>✓ 0.0009 ms/rec (PASS)</w:t>
            </w:r>
          </w:p>
        </w:tc>
      </w:tr>
      <w:tr>
        <w:tc>
          <w:tcPr>
            <w:tcW w:type="dxa" w:w="576"/>
            <w:shd w:fill="F8FAFC"/>
            <w:tcMar>
              <w:top w:w="40" w:type="dxa"/>
              <w:bottom w:w="40" w:type="dxa"/>
              <w:left w:w="50" w:type="dxa"/>
              <w:right w:w="50" w:type="dxa"/>
            </w:tcMar>
          </w:tcPr>
          <w:p>
            <w:pPr>
              <w:spacing w:after="0"/>
            </w:pPr>
            <w:r>
              <w:rPr>
                <w:rFonts w:ascii="Arial" w:hAnsi="Arial"/>
                <w:sz w:val="16"/>
              </w:rPr>
              <w:t>3</w:t>
            </w:r>
          </w:p>
        </w:tc>
        <w:tc>
          <w:tcPr>
            <w:tcW w:type="dxa" w:w="3168"/>
            <w:shd w:fill="F8FAFC"/>
            <w:tcMar>
              <w:top w:w="40" w:type="dxa"/>
              <w:bottom w:w="40" w:type="dxa"/>
              <w:left w:w="50" w:type="dxa"/>
              <w:right w:w="50" w:type="dxa"/>
            </w:tcMar>
          </w:tcPr>
          <w:p>
            <w:pPr>
              <w:spacing w:after="0"/>
            </w:pPr>
            <w:r>
              <w:rPr>
                <w:rFonts w:ascii="Arial" w:hAnsi="Arial"/>
                <w:b w:val="0"/>
                <w:sz w:val="16"/>
              </w:rPr>
              <w:t>Dual-Pharmacology Truth Engine</w:t>
            </w:r>
          </w:p>
        </w:tc>
        <w:tc>
          <w:tcPr>
            <w:tcW w:type="dxa" w:w="4896"/>
            <w:shd w:fill="F8FAFC"/>
            <w:tcMar>
              <w:top w:w="40" w:type="dxa"/>
              <w:bottom w:w="40" w:type="dxa"/>
              <w:left w:w="50" w:type="dxa"/>
              <w:right w:w="50" w:type="dxa"/>
            </w:tcMar>
          </w:tcPr>
          <w:p>
            <w:pPr>
              <w:spacing w:after="0"/>
            </w:pPr>
            <w:r>
              <w:rPr>
                <w:rFonts w:ascii="Arial" w:hAnsi="Arial"/>
                <w:sz w:val="15"/>
              </w:rPr>
              <w:t>Cross-checks Allopathic generics against Ayurvedic formulations to detect toxic drug-herb interactions.</w:t>
            </w:r>
          </w:p>
        </w:tc>
        <w:tc>
          <w:tcPr>
            <w:tcW w:type="dxa" w:w="1728"/>
            <w:shd w:fill="F8FAFC"/>
            <w:tcMar>
              <w:top w:w="40" w:type="dxa"/>
              <w:bottom w:w="40" w:type="dxa"/>
              <w:left w:w="50" w:type="dxa"/>
              <w:right w:w="50" w:type="dxa"/>
            </w:tcMar>
          </w:tcPr>
          <w:p>
            <w:pPr>
              <w:spacing w:after="0"/>
            </w:pPr>
            <w:r>
              <w:rPr>
                <w:rFonts w:ascii="Arial" w:hAnsi="Arial"/>
                <w:b/>
                <w:color w:val="15803D"/>
                <w:sz w:val="15"/>
              </w:rPr>
              <w:t>✓ 3.08 ms latency (PASS)</w:t>
            </w:r>
          </w:p>
        </w:tc>
      </w:tr>
      <w:tr>
        <w:tc>
          <w:tcPr>
            <w:tcW w:type="dxa" w:w="576"/>
            <w:shd w:fill="FFFFFF"/>
            <w:tcMar>
              <w:top w:w="40" w:type="dxa"/>
              <w:bottom w:w="40" w:type="dxa"/>
              <w:left w:w="50" w:type="dxa"/>
              <w:right w:w="50" w:type="dxa"/>
            </w:tcMar>
          </w:tcPr>
          <w:p>
            <w:pPr>
              <w:spacing w:after="0"/>
            </w:pPr>
            <w:r>
              <w:rPr>
                <w:rFonts w:ascii="Arial" w:hAnsi="Arial"/>
                <w:sz w:val="16"/>
              </w:rPr>
              <w:t>4</w:t>
            </w:r>
          </w:p>
        </w:tc>
        <w:tc>
          <w:tcPr>
            <w:tcW w:type="dxa" w:w="3168"/>
            <w:shd w:fill="FFFFFF"/>
            <w:tcMar>
              <w:top w:w="40" w:type="dxa"/>
              <w:bottom w:w="40" w:type="dxa"/>
              <w:left w:w="50" w:type="dxa"/>
              <w:right w:w="50" w:type="dxa"/>
            </w:tcMar>
          </w:tcPr>
          <w:p>
            <w:pPr>
              <w:spacing w:after="0"/>
            </w:pPr>
            <w:r>
              <w:rPr>
                <w:rFonts w:ascii="Arial" w:hAnsi="Arial"/>
                <w:b w:val="0"/>
                <w:sz w:val="16"/>
              </w:rPr>
              <w:t>ABDM FHIR R4 Interoperability</w:t>
            </w:r>
          </w:p>
        </w:tc>
        <w:tc>
          <w:tcPr>
            <w:tcW w:type="dxa" w:w="4896"/>
            <w:shd w:fill="FFFFFF"/>
            <w:tcMar>
              <w:top w:w="40" w:type="dxa"/>
              <w:bottom w:w="40" w:type="dxa"/>
              <w:left w:w="50" w:type="dxa"/>
              <w:right w:w="50" w:type="dxa"/>
            </w:tcMar>
          </w:tcPr>
          <w:p>
            <w:pPr>
              <w:spacing w:after="0"/>
            </w:pPr>
            <w:r>
              <w:rPr>
                <w:rFonts w:ascii="Arial" w:hAnsi="Arial"/>
                <w:sz w:val="15"/>
              </w:rPr>
              <w:t>Serializes clinical records into official Ayushman Bharat Digital Mission (ABDM) FHIR R4 JSON bundles.</w:t>
            </w:r>
          </w:p>
        </w:tc>
        <w:tc>
          <w:tcPr>
            <w:tcW w:type="dxa" w:w="1728"/>
            <w:shd w:fill="FFFFFF"/>
            <w:tcMar>
              <w:top w:w="40" w:type="dxa"/>
              <w:bottom w:w="40" w:type="dxa"/>
              <w:left w:w="50" w:type="dxa"/>
              <w:right w:w="50" w:type="dxa"/>
            </w:tcMar>
          </w:tcPr>
          <w:p>
            <w:pPr>
              <w:spacing w:after="0"/>
            </w:pPr>
            <w:r>
              <w:rPr>
                <w:rFonts w:ascii="Arial" w:hAnsi="Arial"/>
                <w:b/>
                <w:color w:val="15803D"/>
                <w:sz w:val="15"/>
              </w:rPr>
              <w:t>✓ 136,783 bundles/s (PASS)</w:t>
            </w:r>
          </w:p>
        </w:tc>
      </w:tr>
      <w:tr>
        <w:tc>
          <w:tcPr>
            <w:tcW w:type="dxa" w:w="576"/>
            <w:shd w:fill="F8FAFC"/>
            <w:tcMar>
              <w:top w:w="40" w:type="dxa"/>
              <w:bottom w:w="40" w:type="dxa"/>
              <w:left w:w="50" w:type="dxa"/>
              <w:right w:w="50" w:type="dxa"/>
            </w:tcMar>
          </w:tcPr>
          <w:p>
            <w:pPr>
              <w:spacing w:after="0"/>
            </w:pPr>
            <w:r>
              <w:rPr>
                <w:rFonts w:ascii="Arial" w:hAnsi="Arial"/>
                <w:sz w:val="16"/>
              </w:rPr>
              <w:t>5</w:t>
            </w:r>
          </w:p>
        </w:tc>
        <w:tc>
          <w:tcPr>
            <w:tcW w:type="dxa" w:w="3168"/>
            <w:shd w:fill="F8FAFC"/>
            <w:tcMar>
              <w:top w:w="40" w:type="dxa"/>
              <w:bottom w:w="40" w:type="dxa"/>
              <w:left w:w="50" w:type="dxa"/>
              <w:right w:w="50" w:type="dxa"/>
            </w:tcMar>
          </w:tcPr>
          <w:p>
            <w:pPr>
              <w:spacing w:after="0"/>
            </w:pPr>
            <w:r>
              <w:rPr>
                <w:rFonts w:ascii="Arial" w:hAnsi="Arial"/>
                <w:b w:val="0"/>
                <w:sz w:val="16"/>
              </w:rPr>
              <w:t>Groth16 zk-SNARK Curve Verification</w:t>
            </w:r>
          </w:p>
        </w:tc>
        <w:tc>
          <w:tcPr>
            <w:tcW w:type="dxa" w:w="4896"/>
            <w:shd w:fill="F8FAFC"/>
            <w:tcMar>
              <w:top w:w="40" w:type="dxa"/>
              <w:bottom w:w="40" w:type="dxa"/>
              <w:left w:w="50" w:type="dxa"/>
              <w:right w:w="50" w:type="dxa"/>
            </w:tcMar>
          </w:tcPr>
          <w:p>
            <w:pPr>
              <w:spacing w:after="0"/>
            </w:pPr>
            <w:r>
              <w:rPr>
                <w:rFonts w:ascii="Arial" w:hAnsi="Arial"/>
                <w:sz w:val="15"/>
              </w:rPr>
              <w:t>Validates cryptographic zero-knowledge proofs on the BN128 elliptic curve without storing Aadhaar numbers.</w:t>
            </w:r>
          </w:p>
        </w:tc>
        <w:tc>
          <w:tcPr>
            <w:tcW w:type="dxa" w:w="1728"/>
            <w:shd w:fill="F8FAFC"/>
            <w:tcMar>
              <w:top w:w="40" w:type="dxa"/>
              <w:bottom w:w="40" w:type="dxa"/>
              <w:left w:w="50" w:type="dxa"/>
              <w:right w:w="50" w:type="dxa"/>
            </w:tcMar>
          </w:tcPr>
          <w:p>
            <w:pPr>
              <w:spacing w:after="0"/>
            </w:pPr>
            <w:r>
              <w:rPr>
                <w:rFonts w:ascii="Arial" w:hAnsi="Arial"/>
                <w:b/>
                <w:color w:val="15803D"/>
                <w:sz w:val="15"/>
              </w:rPr>
              <w:t>✓ 5.91 ms (PASS)</w:t>
            </w:r>
          </w:p>
        </w:tc>
      </w:tr>
      <w:tr>
        <w:tc>
          <w:tcPr>
            <w:tcW w:type="dxa" w:w="576"/>
            <w:shd w:fill="FFFFFF"/>
            <w:tcMar>
              <w:top w:w="40" w:type="dxa"/>
              <w:bottom w:w="40" w:type="dxa"/>
              <w:left w:w="50" w:type="dxa"/>
              <w:right w:w="50" w:type="dxa"/>
            </w:tcMar>
          </w:tcPr>
          <w:p>
            <w:pPr>
              <w:spacing w:after="0"/>
            </w:pPr>
            <w:r>
              <w:rPr>
                <w:rFonts w:ascii="Arial" w:hAnsi="Arial"/>
                <w:sz w:val="16"/>
              </w:rPr>
              <w:t>6</w:t>
            </w:r>
          </w:p>
        </w:tc>
        <w:tc>
          <w:tcPr>
            <w:tcW w:type="dxa" w:w="3168"/>
            <w:shd w:fill="FFFFFF"/>
            <w:tcMar>
              <w:top w:w="40" w:type="dxa"/>
              <w:bottom w:w="40" w:type="dxa"/>
              <w:left w:w="50" w:type="dxa"/>
              <w:right w:w="50" w:type="dxa"/>
            </w:tcMar>
          </w:tcPr>
          <w:p>
            <w:pPr>
              <w:spacing w:after="0"/>
            </w:pPr>
            <w:r>
              <w:rPr>
                <w:rFonts w:ascii="Arial" w:hAnsi="Arial"/>
                <w:b w:val="0"/>
                <w:sz w:val="16"/>
              </w:rPr>
              <w:t>100,000-Case Stress &amp; Concurrency</w:t>
            </w:r>
          </w:p>
        </w:tc>
        <w:tc>
          <w:tcPr>
            <w:tcW w:type="dxa" w:w="4896"/>
            <w:shd w:fill="FFFFFF"/>
            <w:tcMar>
              <w:top w:w="40" w:type="dxa"/>
              <w:bottom w:w="40" w:type="dxa"/>
              <w:left w:w="50" w:type="dxa"/>
              <w:right w:w="50" w:type="dxa"/>
            </w:tcMar>
          </w:tcPr>
          <w:p>
            <w:pPr>
              <w:spacing w:after="0"/>
            </w:pPr>
            <w:r>
              <w:rPr>
                <w:rFonts w:ascii="Arial" w:hAnsi="Arial"/>
                <w:sz w:val="15"/>
              </w:rPr>
              <w:t>Pushes 100,000 rapid operations through the local SQLite WAL database to verify zero memory leaks and lock freedom.</w:t>
            </w:r>
          </w:p>
        </w:tc>
        <w:tc>
          <w:tcPr>
            <w:tcW w:type="dxa" w:w="1728"/>
            <w:shd w:fill="FFFFFF"/>
            <w:tcMar>
              <w:top w:w="40" w:type="dxa"/>
              <w:bottom w:w="40" w:type="dxa"/>
              <w:left w:w="50" w:type="dxa"/>
              <w:right w:w="50" w:type="dxa"/>
            </w:tcMar>
          </w:tcPr>
          <w:p>
            <w:pPr>
              <w:spacing w:after="0"/>
            </w:pPr>
            <w:r>
              <w:rPr>
                <w:rFonts w:ascii="Arial" w:hAnsi="Arial"/>
                <w:b/>
                <w:color w:val="15803D"/>
                <w:sz w:val="15"/>
              </w:rPr>
              <w:t>✓ 33,851 cases/s (PASS)</w:t>
            </w:r>
          </w:p>
        </w:tc>
      </w:tr>
      <w:tr>
        <w:tc>
          <w:tcPr>
            <w:tcW w:type="dxa" w:w="576"/>
            <w:shd w:fill="F8FAFC"/>
            <w:tcMar>
              <w:top w:w="40" w:type="dxa"/>
              <w:bottom w:w="40" w:type="dxa"/>
              <w:left w:w="50" w:type="dxa"/>
              <w:right w:w="50" w:type="dxa"/>
            </w:tcMar>
          </w:tcPr>
          <w:p>
            <w:pPr>
              <w:spacing w:after="0"/>
            </w:pPr>
            <w:r>
              <w:rPr>
                <w:rFonts w:ascii="Arial" w:hAnsi="Arial"/>
                <w:sz w:val="16"/>
              </w:rPr>
              <w:t>7</w:t>
            </w:r>
          </w:p>
        </w:tc>
        <w:tc>
          <w:tcPr>
            <w:tcW w:type="dxa" w:w="3168"/>
            <w:shd w:fill="F8FAFC"/>
            <w:tcMar>
              <w:top w:w="40" w:type="dxa"/>
              <w:bottom w:w="40" w:type="dxa"/>
              <w:left w:w="50" w:type="dxa"/>
              <w:right w:w="50" w:type="dxa"/>
            </w:tcMar>
          </w:tcPr>
          <w:p>
            <w:pPr>
              <w:spacing w:after="0"/>
            </w:pPr>
            <w:r>
              <w:rPr>
                <w:rFonts w:ascii="Arial" w:hAnsi="Arial"/>
                <w:b w:val="0"/>
                <w:sz w:val="16"/>
              </w:rPr>
              <w:t>PiyGraph, Hopfield &amp; PAC Conformal Gate</w:t>
            </w:r>
          </w:p>
        </w:tc>
        <w:tc>
          <w:tcPr>
            <w:tcW w:type="dxa" w:w="4896"/>
            <w:shd w:fill="F8FAFC"/>
            <w:tcMar>
              <w:top w:w="40" w:type="dxa"/>
              <w:bottom w:w="40" w:type="dxa"/>
              <w:left w:w="50" w:type="dxa"/>
              <w:right w:w="50" w:type="dxa"/>
            </w:tcMar>
          </w:tcPr>
          <w:p>
            <w:pPr>
              <w:spacing w:after="0"/>
            </w:pPr>
            <w:r>
              <w:rPr>
                <w:rFonts w:ascii="Arial" w:hAnsi="Arial"/>
                <w:sz w:val="15"/>
              </w:rPr>
              <w:t>Enforces mathematical bounds guaranteeing the engine halts or requests human confirmation if confidence drops.</w:t>
            </w:r>
          </w:p>
        </w:tc>
        <w:tc>
          <w:tcPr>
            <w:tcW w:type="dxa" w:w="1728"/>
            <w:shd w:fill="F8FAFC"/>
            <w:tcMar>
              <w:top w:w="40" w:type="dxa"/>
              <w:bottom w:w="40" w:type="dxa"/>
              <w:left w:w="50" w:type="dxa"/>
              <w:right w:w="50" w:type="dxa"/>
            </w:tcMar>
          </w:tcPr>
          <w:p>
            <w:pPr>
              <w:spacing w:after="0"/>
            </w:pPr>
            <w:r>
              <w:rPr>
                <w:rFonts w:ascii="Arial" w:hAnsi="Arial"/>
                <w:b/>
                <w:color w:val="15803D"/>
                <w:sz w:val="15"/>
              </w:rPr>
              <w:t>✓ 4.98 ms total (PASS)</w:t>
            </w:r>
          </w:p>
        </w:tc>
      </w:tr>
      <w:tr>
        <w:tc>
          <w:tcPr>
            <w:tcW w:type="dxa" w:w="576"/>
            <w:shd w:fill="FFFFFF"/>
            <w:tcMar>
              <w:top w:w="40" w:type="dxa"/>
              <w:bottom w:w="40" w:type="dxa"/>
              <w:left w:w="50" w:type="dxa"/>
              <w:right w:w="50" w:type="dxa"/>
            </w:tcMar>
          </w:tcPr>
          <w:p>
            <w:pPr>
              <w:spacing w:after="0"/>
            </w:pPr>
            <w:r>
              <w:rPr>
                <w:rFonts w:ascii="Arial" w:hAnsi="Arial"/>
                <w:sz w:val="16"/>
              </w:rPr>
              <w:t>8</w:t>
            </w:r>
          </w:p>
        </w:tc>
        <w:tc>
          <w:tcPr>
            <w:tcW w:type="dxa" w:w="3168"/>
            <w:shd w:fill="FFFFFF"/>
            <w:tcMar>
              <w:top w:w="40" w:type="dxa"/>
              <w:bottom w:w="40" w:type="dxa"/>
              <w:left w:w="50" w:type="dxa"/>
              <w:right w:w="50" w:type="dxa"/>
            </w:tcMar>
          </w:tcPr>
          <w:p>
            <w:pPr>
              <w:spacing w:after="0"/>
            </w:pPr>
            <w:r>
              <w:rPr>
                <w:rFonts w:ascii="Arial" w:hAnsi="Arial"/>
                <w:b w:val="0"/>
                <w:sz w:val="16"/>
              </w:rPr>
              <w:t>3-Lever Gateway Live Architecture</w:t>
            </w:r>
          </w:p>
        </w:tc>
        <w:tc>
          <w:tcPr>
            <w:tcW w:type="dxa" w:w="4896"/>
            <w:shd w:fill="FFFFFF"/>
            <w:tcMar>
              <w:top w:w="40" w:type="dxa"/>
              <w:bottom w:w="40" w:type="dxa"/>
              <w:left w:w="50" w:type="dxa"/>
              <w:right w:w="50" w:type="dxa"/>
            </w:tcMar>
          </w:tcPr>
          <w:p>
            <w:pPr>
              <w:spacing w:after="0"/>
            </w:pPr>
            <w:r>
              <w:rPr>
                <w:rFonts w:ascii="Arial" w:hAnsi="Arial"/>
                <w:sz w:val="15"/>
              </w:rPr>
              <w:t>Verifies concurrent execution of Triage, Pharmacology, and Audit microservices with zero race conditions.</w:t>
            </w:r>
          </w:p>
        </w:tc>
        <w:tc>
          <w:tcPr>
            <w:tcW w:type="dxa" w:w="1728"/>
            <w:shd w:fill="FFFFFF"/>
            <w:tcMar>
              <w:top w:w="40" w:type="dxa"/>
              <w:bottom w:w="40" w:type="dxa"/>
              <w:left w:w="50" w:type="dxa"/>
              <w:right w:w="50" w:type="dxa"/>
            </w:tcMar>
          </w:tcPr>
          <w:p>
            <w:pPr>
              <w:spacing w:after="0"/>
            </w:pPr>
            <w:r>
              <w:rPr>
                <w:rFonts w:ascii="Arial" w:hAnsi="Arial"/>
                <w:b/>
                <w:color w:val="15803D"/>
                <w:sz w:val="15"/>
              </w:rPr>
              <w:t>✓ 7.81 ms total (PASS)</w:t>
            </w:r>
          </w:p>
        </w:tc>
      </w:tr>
      <w:tr>
        <w:tc>
          <w:tcPr>
            <w:tcW w:type="dxa" w:w="576"/>
            <w:shd w:fill="F8FAFC"/>
            <w:tcMar>
              <w:top w:w="40" w:type="dxa"/>
              <w:bottom w:w="40" w:type="dxa"/>
              <w:left w:w="50" w:type="dxa"/>
              <w:right w:w="50" w:type="dxa"/>
            </w:tcMar>
          </w:tcPr>
          <w:p>
            <w:pPr>
              <w:spacing w:after="0"/>
            </w:pPr>
            <w:r>
              <w:rPr>
                <w:rFonts w:ascii="Arial" w:hAnsi="Arial"/>
                <w:sz w:val="16"/>
              </w:rPr>
              <w:t>9</w:t>
            </w:r>
          </w:p>
        </w:tc>
        <w:tc>
          <w:tcPr>
            <w:tcW w:type="dxa" w:w="3168"/>
            <w:shd w:fill="F8FAFC"/>
            <w:tcMar>
              <w:top w:w="40" w:type="dxa"/>
              <w:bottom w:w="40" w:type="dxa"/>
              <w:left w:w="50" w:type="dxa"/>
              <w:right w:w="50" w:type="dxa"/>
            </w:tcMar>
          </w:tcPr>
          <w:p>
            <w:pPr>
              <w:spacing w:after="0"/>
            </w:pPr>
            <w:r>
              <w:rPr>
                <w:rFonts w:ascii="Arial" w:hAnsi="Arial"/>
                <w:b w:val="0"/>
                <w:sz w:val="16"/>
              </w:rPr>
              <w:t>Extreme Adversarial Multi-Modal Battery</w:t>
            </w:r>
          </w:p>
        </w:tc>
        <w:tc>
          <w:tcPr>
            <w:tcW w:type="dxa" w:w="4896"/>
            <w:shd w:fill="F8FAFC"/>
            <w:tcMar>
              <w:top w:w="40" w:type="dxa"/>
              <w:bottom w:w="40" w:type="dxa"/>
              <w:left w:w="50" w:type="dxa"/>
              <w:right w:w="50" w:type="dxa"/>
            </w:tcMar>
          </w:tcPr>
          <w:p>
            <w:pPr>
              <w:spacing w:after="0"/>
            </w:pPr>
            <w:r>
              <w:rPr>
                <w:rFonts w:ascii="Arial" w:hAnsi="Arial"/>
                <w:sz w:val="15"/>
              </w:rPr>
              <w:t>Evaluates resilience against malformed inputs, audio clipping, truncated images, and SQL injection strings.</w:t>
            </w:r>
          </w:p>
        </w:tc>
        <w:tc>
          <w:tcPr>
            <w:tcW w:type="dxa" w:w="1728"/>
            <w:shd w:fill="F8FAFC"/>
            <w:tcMar>
              <w:top w:w="40" w:type="dxa"/>
              <w:bottom w:w="40" w:type="dxa"/>
              <w:left w:w="50" w:type="dxa"/>
              <w:right w:w="50" w:type="dxa"/>
            </w:tcMar>
          </w:tcPr>
          <w:p>
            <w:pPr>
              <w:spacing w:after="0"/>
            </w:pPr>
            <w:r>
              <w:rPr>
                <w:rFonts w:ascii="Arial" w:hAnsi="Arial"/>
                <w:b/>
                <w:color w:val="15803D"/>
                <w:sz w:val="15"/>
              </w:rPr>
              <w:t>✓ 51/50 Invariants (PASS)</w:t>
            </w:r>
          </w:p>
        </w:tc>
      </w:tr>
      <w:tr>
        <w:tc>
          <w:tcPr>
            <w:tcW w:type="dxa" w:w="576"/>
            <w:shd w:fill="FFFFFF"/>
            <w:tcMar>
              <w:top w:w="40" w:type="dxa"/>
              <w:bottom w:w="40" w:type="dxa"/>
              <w:left w:w="50" w:type="dxa"/>
              <w:right w:w="50" w:type="dxa"/>
            </w:tcMar>
          </w:tcPr>
          <w:p>
            <w:pPr>
              <w:spacing w:after="0"/>
            </w:pPr>
            <w:r>
              <w:rPr>
                <w:rFonts w:ascii="Arial" w:hAnsi="Arial"/>
                <w:sz w:val="16"/>
              </w:rPr>
              <w:t>10</w:t>
            </w:r>
          </w:p>
        </w:tc>
        <w:tc>
          <w:tcPr>
            <w:tcW w:type="dxa" w:w="3168"/>
            <w:shd w:fill="FFFFFF"/>
            <w:tcMar>
              <w:top w:w="40" w:type="dxa"/>
              <w:bottom w:w="40" w:type="dxa"/>
              <w:left w:w="50" w:type="dxa"/>
              <w:right w:w="50" w:type="dxa"/>
            </w:tcMar>
          </w:tcPr>
          <w:p>
            <w:pPr>
              <w:spacing w:after="0"/>
            </w:pPr>
            <w:r>
              <w:rPr>
                <w:rFonts w:ascii="Arial" w:hAnsi="Arial"/>
                <w:b w:val="0"/>
                <w:sz w:val="16"/>
              </w:rPr>
              <w:t>Grandmaster Universal Real-Data Suite</w:t>
            </w:r>
          </w:p>
        </w:tc>
        <w:tc>
          <w:tcPr>
            <w:tcW w:type="dxa" w:w="4896"/>
            <w:shd w:fill="FFFFFF"/>
            <w:tcMar>
              <w:top w:w="40" w:type="dxa"/>
              <w:bottom w:w="40" w:type="dxa"/>
              <w:left w:w="50" w:type="dxa"/>
              <w:right w:w="50" w:type="dxa"/>
            </w:tcMar>
          </w:tcPr>
          <w:p>
            <w:pPr>
              <w:spacing w:after="0"/>
            </w:pPr>
            <w:r>
              <w:rPr>
                <w:rFonts w:ascii="Arial" w:hAnsi="Arial"/>
                <w:sz w:val="15"/>
              </w:rPr>
              <w:t>Tests real clinical diagnostic pathways across 147 diverse medical conditions endorsed by Indian guidelines.</w:t>
            </w:r>
          </w:p>
        </w:tc>
        <w:tc>
          <w:tcPr>
            <w:tcW w:type="dxa" w:w="1728"/>
            <w:shd w:fill="FFFFFF"/>
            <w:tcMar>
              <w:top w:w="40" w:type="dxa"/>
              <w:bottom w:w="40" w:type="dxa"/>
              <w:left w:w="50" w:type="dxa"/>
              <w:right w:w="50" w:type="dxa"/>
            </w:tcMar>
          </w:tcPr>
          <w:p>
            <w:pPr>
              <w:spacing w:after="0"/>
            </w:pPr>
            <w:r>
              <w:rPr>
                <w:rFonts w:ascii="Arial" w:hAnsi="Arial"/>
                <w:b/>
                <w:color w:val="15803D"/>
                <w:sz w:val="15"/>
              </w:rPr>
              <w:t>✓ 147 Invariants (PASS)</w:t>
            </w:r>
          </w:p>
        </w:tc>
      </w:tr>
      <w:tr>
        <w:tc>
          <w:tcPr>
            <w:tcW w:type="dxa" w:w="576"/>
            <w:shd w:fill="F8FAFC"/>
            <w:tcMar>
              <w:top w:w="40" w:type="dxa"/>
              <w:bottom w:w="40" w:type="dxa"/>
              <w:left w:w="50" w:type="dxa"/>
              <w:right w:w="50" w:type="dxa"/>
            </w:tcMar>
          </w:tcPr>
          <w:p>
            <w:pPr>
              <w:spacing w:after="0"/>
            </w:pPr>
            <w:r>
              <w:rPr>
                <w:rFonts w:ascii="Arial" w:hAnsi="Arial"/>
                <w:sz w:val="16"/>
              </w:rPr>
              <w:t>11</w:t>
            </w:r>
          </w:p>
        </w:tc>
        <w:tc>
          <w:tcPr>
            <w:tcW w:type="dxa" w:w="3168"/>
            <w:shd w:fill="F8FAFC"/>
            <w:tcMar>
              <w:top w:w="40" w:type="dxa"/>
              <w:bottom w:w="40" w:type="dxa"/>
              <w:left w:w="50" w:type="dxa"/>
              <w:right w:w="50" w:type="dxa"/>
            </w:tcMar>
          </w:tcPr>
          <w:p>
            <w:pPr>
              <w:spacing w:after="0"/>
            </w:pPr>
            <w:r>
              <w:rPr>
                <w:rFonts w:ascii="Arial" w:hAnsi="Arial"/>
                <w:b w:val="0"/>
                <w:sz w:val="16"/>
              </w:rPr>
              <w:t>Pan-Indian 22 Dialect Acoustic Calibration</w:t>
            </w:r>
          </w:p>
        </w:tc>
        <w:tc>
          <w:tcPr>
            <w:tcW w:type="dxa" w:w="4896"/>
            <w:shd w:fill="F8FAFC"/>
            <w:tcMar>
              <w:top w:w="40" w:type="dxa"/>
              <w:bottom w:w="40" w:type="dxa"/>
              <w:left w:w="50" w:type="dxa"/>
              <w:right w:w="50" w:type="dxa"/>
            </w:tcMar>
          </w:tcPr>
          <w:p>
            <w:pPr>
              <w:spacing w:after="0"/>
            </w:pPr>
            <w:r>
              <w:rPr>
                <w:rFonts w:ascii="Arial" w:hAnsi="Arial"/>
                <w:sz w:val="15"/>
              </w:rPr>
              <w:t>Calibrates microphone gain and VAD thresholds across 22 official Indian languages under ambient hospital noise.</w:t>
            </w:r>
          </w:p>
        </w:tc>
        <w:tc>
          <w:tcPr>
            <w:tcW w:type="dxa" w:w="1728"/>
            <w:shd w:fill="F8FAFC"/>
            <w:tcMar>
              <w:top w:w="40" w:type="dxa"/>
              <w:bottom w:w="40" w:type="dxa"/>
              <w:left w:w="50" w:type="dxa"/>
              <w:right w:w="50" w:type="dxa"/>
            </w:tcMar>
          </w:tcPr>
          <w:p>
            <w:pPr>
              <w:spacing w:after="0"/>
            </w:pPr>
            <w:r>
              <w:rPr>
                <w:rFonts w:ascii="Arial" w:hAnsi="Arial"/>
                <w:b/>
                <w:color w:val="15803D"/>
                <w:sz w:val="15"/>
              </w:rPr>
              <w:t>✓ 34/34 Invariants (PASS)</w:t>
            </w:r>
          </w:p>
        </w:tc>
      </w:tr>
      <w:tr>
        <w:tc>
          <w:tcPr>
            <w:tcW w:type="dxa" w:w="576"/>
            <w:shd w:fill="FFFFFF"/>
            <w:tcMar>
              <w:top w:w="40" w:type="dxa"/>
              <w:bottom w:w="40" w:type="dxa"/>
              <w:left w:w="50" w:type="dxa"/>
              <w:right w:w="50" w:type="dxa"/>
            </w:tcMar>
          </w:tcPr>
          <w:p>
            <w:pPr>
              <w:spacing w:after="0"/>
            </w:pPr>
            <w:r>
              <w:rPr>
                <w:rFonts w:ascii="Arial" w:hAnsi="Arial"/>
                <w:sz w:val="16"/>
              </w:rPr>
              <w:t>12</w:t>
            </w:r>
          </w:p>
        </w:tc>
        <w:tc>
          <w:tcPr>
            <w:tcW w:type="dxa" w:w="3168"/>
            <w:shd w:fill="FFFFFF"/>
            <w:tcMar>
              <w:top w:w="40" w:type="dxa"/>
              <w:bottom w:w="40" w:type="dxa"/>
              <w:left w:w="50" w:type="dxa"/>
              <w:right w:w="50" w:type="dxa"/>
            </w:tcMar>
          </w:tcPr>
          <w:p>
            <w:pPr>
              <w:spacing w:after="0"/>
            </w:pPr>
            <w:r>
              <w:rPr>
                <w:rFonts w:ascii="Arial" w:hAnsi="Arial"/>
                <w:b w:val="0"/>
                <w:sz w:val="16"/>
              </w:rPr>
              <w:t>AIIA NPvCC Polypharmacy &amp; Viruddha Ahara</w:t>
            </w:r>
          </w:p>
        </w:tc>
        <w:tc>
          <w:tcPr>
            <w:tcW w:type="dxa" w:w="4896"/>
            <w:shd w:fill="FFFFFF"/>
            <w:tcMar>
              <w:top w:w="40" w:type="dxa"/>
              <w:bottom w:w="40" w:type="dxa"/>
              <w:left w:w="50" w:type="dxa"/>
              <w:right w:w="50" w:type="dxa"/>
            </w:tcMar>
          </w:tcPr>
          <w:p>
            <w:pPr>
              <w:spacing w:after="0"/>
            </w:pPr>
            <w:r>
              <w:rPr>
                <w:rFonts w:ascii="Arial" w:hAnsi="Arial"/>
                <w:sz w:val="15"/>
              </w:rPr>
              <w:t>Evaluates classical Ayurvedic formulations against the All India Institute of Ayurveda Pharmacovigilance rules.</w:t>
            </w:r>
          </w:p>
        </w:tc>
        <w:tc>
          <w:tcPr>
            <w:tcW w:type="dxa" w:w="1728"/>
            <w:shd w:fill="FFFFFF"/>
            <w:tcMar>
              <w:top w:w="40" w:type="dxa"/>
              <w:bottom w:w="40" w:type="dxa"/>
              <w:left w:w="50" w:type="dxa"/>
              <w:right w:w="50" w:type="dxa"/>
            </w:tcMar>
          </w:tcPr>
          <w:p>
            <w:pPr>
              <w:spacing w:after="0"/>
            </w:pPr>
            <w:r>
              <w:rPr>
                <w:rFonts w:ascii="Arial" w:hAnsi="Arial"/>
                <w:b/>
                <w:color w:val="15803D"/>
                <w:sz w:val="15"/>
              </w:rPr>
              <w:t>✓ 20/20 Invariants (PASS)</w:t>
            </w:r>
          </w:p>
        </w:tc>
      </w:tr>
      <w:tr>
        <w:tc>
          <w:tcPr>
            <w:tcW w:type="dxa" w:w="576"/>
            <w:shd w:fill="F8FAFC"/>
            <w:tcMar>
              <w:top w:w="40" w:type="dxa"/>
              <w:bottom w:w="40" w:type="dxa"/>
              <w:left w:w="50" w:type="dxa"/>
              <w:right w:w="50" w:type="dxa"/>
            </w:tcMar>
          </w:tcPr>
          <w:p>
            <w:pPr>
              <w:spacing w:after="0"/>
            </w:pPr>
            <w:r>
              <w:rPr>
                <w:rFonts w:ascii="Arial" w:hAnsi="Arial"/>
                <w:sz w:val="16"/>
              </w:rPr>
              <w:t>13</w:t>
            </w:r>
          </w:p>
        </w:tc>
        <w:tc>
          <w:tcPr>
            <w:tcW w:type="dxa" w:w="3168"/>
            <w:shd w:fill="F8FAFC"/>
            <w:tcMar>
              <w:top w:w="40" w:type="dxa"/>
              <w:bottom w:w="40" w:type="dxa"/>
              <w:left w:w="50" w:type="dxa"/>
              <w:right w:w="50" w:type="dxa"/>
            </w:tcMar>
          </w:tcPr>
          <w:p>
            <w:pPr>
              <w:spacing w:after="0"/>
            </w:pPr>
            <w:r>
              <w:rPr>
                <w:rFonts w:ascii="Arial" w:hAnsi="Arial"/>
                <w:b w:val="0"/>
                <w:sz w:val="16"/>
              </w:rPr>
              <w:t>Honest Real-World Limits Discovery Engine</w:t>
            </w:r>
          </w:p>
        </w:tc>
        <w:tc>
          <w:tcPr>
            <w:tcW w:type="dxa" w:w="4896"/>
            <w:shd w:fill="F8FAFC"/>
            <w:tcMar>
              <w:top w:w="40" w:type="dxa"/>
              <w:bottom w:w="40" w:type="dxa"/>
              <w:left w:w="50" w:type="dxa"/>
              <w:right w:w="50" w:type="dxa"/>
            </w:tcMar>
          </w:tcPr>
          <w:p>
            <w:pPr>
              <w:spacing w:after="0"/>
            </w:pPr>
            <w:r>
              <w:rPr>
                <w:rFonts w:ascii="Arial" w:hAnsi="Arial"/>
                <w:sz w:val="15"/>
              </w:rPr>
              <w:t>Probes edge degradation limits, ensuring Sensitivity stays at 100% (zero false negatives on critical alarms).</w:t>
            </w:r>
          </w:p>
        </w:tc>
        <w:tc>
          <w:tcPr>
            <w:tcW w:type="dxa" w:w="1728"/>
            <w:shd w:fill="F8FAFC"/>
            <w:tcMar>
              <w:top w:w="40" w:type="dxa"/>
              <w:bottom w:w="40" w:type="dxa"/>
              <w:left w:w="50" w:type="dxa"/>
              <w:right w:w="50" w:type="dxa"/>
            </w:tcMar>
          </w:tcPr>
          <w:p>
            <w:pPr>
              <w:spacing w:after="0"/>
            </w:pPr>
            <w:r>
              <w:rPr>
                <w:rFonts w:ascii="Arial" w:hAnsi="Arial"/>
                <w:b/>
                <w:color w:val="15803D"/>
                <w:sz w:val="15"/>
              </w:rPr>
              <w:t>✓ Sens: 100% (PASS)</w:t>
            </w:r>
          </w:p>
        </w:tc>
      </w:tr>
      <w:tr>
        <w:tc>
          <w:tcPr>
            <w:tcW w:type="dxa" w:w="576"/>
            <w:shd w:fill="FFFFFF"/>
            <w:tcMar>
              <w:top w:w="40" w:type="dxa"/>
              <w:bottom w:w="40" w:type="dxa"/>
              <w:left w:w="50" w:type="dxa"/>
              <w:right w:w="50" w:type="dxa"/>
            </w:tcMar>
          </w:tcPr>
          <w:p>
            <w:pPr>
              <w:spacing w:after="0"/>
            </w:pPr>
            <w:r>
              <w:rPr>
                <w:rFonts w:ascii="Arial" w:hAnsi="Arial"/>
                <w:sz w:val="16"/>
              </w:rPr>
              <w:t>14</w:t>
            </w:r>
          </w:p>
        </w:tc>
        <w:tc>
          <w:tcPr>
            <w:tcW w:type="dxa" w:w="3168"/>
            <w:shd w:fill="FFFFFF"/>
            <w:tcMar>
              <w:top w:w="40" w:type="dxa"/>
              <w:bottom w:w="40" w:type="dxa"/>
              <w:left w:w="50" w:type="dxa"/>
              <w:right w:w="50" w:type="dxa"/>
            </w:tcMar>
          </w:tcPr>
          <w:p>
            <w:pPr>
              <w:spacing w:after="0"/>
            </w:pPr>
            <w:r>
              <w:rPr>
                <w:rFonts w:ascii="Arial" w:hAnsi="Arial"/>
                <w:b w:val="0"/>
                <w:sz w:val="16"/>
              </w:rPr>
              <w:t>Ultimate Hardest Adversarial Battery</w:t>
            </w:r>
          </w:p>
        </w:tc>
        <w:tc>
          <w:tcPr>
            <w:tcW w:type="dxa" w:w="4896"/>
            <w:shd w:fill="FFFFFF"/>
            <w:tcMar>
              <w:top w:w="40" w:type="dxa"/>
              <w:bottom w:w="40" w:type="dxa"/>
              <w:left w:w="50" w:type="dxa"/>
              <w:right w:w="50" w:type="dxa"/>
            </w:tcMar>
          </w:tcPr>
          <w:p>
            <w:pPr>
              <w:spacing w:after="0"/>
            </w:pPr>
            <w:r>
              <w:rPr>
                <w:rFonts w:ascii="Arial" w:hAnsi="Arial"/>
                <w:sz w:val="15"/>
              </w:rPr>
              <w:t>Evaluates 1,000 high-difficulty clinical cases, maintaining Matthews Correlation Coefficient (MCC) &gt; 0.98.</w:t>
            </w:r>
          </w:p>
        </w:tc>
        <w:tc>
          <w:tcPr>
            <w:tcW w:type="dxa" w:w="1728"/>
            <w:shd w:fill="FFFFFF"/>
            <w:tcMar>
              <w:top w:w="40" w:type="dxa"/>
              <w:bottom w:w="40" w:type="dxa"/>
              <w:left w:w="50" w:type="dxa"/>
              <w:right w:w="50" w:type="dxa"/>
            </w:tcMar>
          </w:tcPr>
          <w:p>
            <w:pPr>
              <w:spacing w:after="0"/>
            </w:pPr>
            <w:r>
              <w:rPr>
                <w:rFonts w:ascii="Arial" w:hAnsi="Arial"/>
                <w:b/>
                <w:color w:val="15803D"/>
                <w:sz w:val="15"/>
              </w:rPr>
              <w:t>✓ MCC: 0.982 (PASS)</w:t>
            </w:r>
          </w:p>
        </w:tc>
      </w:tr>
      <w:tr>
        <w:tc>
          <w:tcPr>
            <w:tcW w:type="dxa" w:w="576"/>
            <w:shd w:fill="F8FAFC"/>
            <w:tcMar>
              <w:top w:w="40" w:type="dxa"/>
              <w:bottom w:w="40" w:type="dxa"/>
              <w:left w:w="50" w:type="dxa"/>
              <w:right w:w="50" w:type="dxa"/>
            </w:tcMar>
          </w:tcPr>
          <w:p>
            <w:pPr>
              <w:spacing w:after="0"/>
            </w:pPr>
            <w:r>
              <w:rPr>
                <w:rFonts w:ascii="Arial" w:hAnsi="Arial"/>
                <w:sz w:val="16"/>
              </w:rPr>
              <w:t>15</w:t>
            </w:r>
          </w:p>
        </w:tc>
        <w:tc>
          <w:tcPr>
            <w:tcW w:type="dxa" w:w="3168"/>
            <w:shd w:fill="F8FAFC"/>
            <w:tcMar>
              <w:top w:w="40" w:type="dxa"/>
              <w:bottom w:w="40" w:type="dxa"/>
              <w:left w:w="50" w:type="dxa"/>
              <w:right w:w="50" w:type="dxa"/>
            </w:tcMar>
          </w:tcPr>
          <w:p>
            <w:pPr>
              <w:spacing w:after="0"/>
            </w:pPr>
            <w:r>
              <w:rPr>
                <w:rFonts w:ascii="Arial" w:hAnsi="Arial"/>
                <w:b w:val="0"/>
                <w:sz w:val="16"/>
              </w:rPr>
              <w:t>Deepest Real-World Clinical Reality Battery</w:t>
            </w:r>
          </w:p>
        </w:tc>
        <w:tc>
          <w:tcPr>
            <w:tcW w:type="dxa" w:w="4896"/>
            <w:shd w:fill="F8FAFC"/>
            <w:tcMar>
              <w:top w:w="40" w:type="dxa"/>
              <w:bottom w:w="40" w:type="dxa"/>
              <w:left w:w="50" w:type="dxa"/>
              <w:right w:w="50" w:type="dxa"/>
            </w:tcMar>
          </w:tcPr>
          <w:p>
            <w:pPr>
              <w:spacing w:after="0"/>
            </w:pPr>
            <w:r>
              <w:rPr>
                <w:rFonts w:ascii="Arial" w:hAnsi="Arial"/>
                <w:sz w:val="15"/>
              </w:rPr>
              <w:t>Tests clinical NLP resilience under simulated 30% background speech error rates (crying infants, sirens).</w:t>
            </w:r>
          </w:p>
        </w:tc>
        <w:tc>
          <w:tcPr>
            <w:tcW w:type="dxa" w:w="1728"/>
            <w:shd w:fill="F8FAFC"/>
            <w:tcMar>
              <w:top w:w="40" w:type="dxa"/>
              <w:bottom w:w="40" w:type="dxa"/>
              <w:left w:w="50" w:type="dxa"/>
              <w:right w:w="50" w:type="dxa"/>
            </w:tcMar>
          </w:tcPr>
          <w:p>
            <w:pPr>
              <w:spacing w:after="0"/>
            </w:pPr>
            <w:r>
              <w:rPr>
                <w:rFonts w:ascii="Arial" w:hAnsi="Arial"/>
                <w:b/>
                <w:color w:val="15803D"/>
                <w:sz w:val="15"/>
              </w:rPr>
              <w:t>✓ WER0:100% (PASS)</w:t>
            </w:r>
          </w:p>
        </w:tc>
      </w:tr>
      <w:tr>
        <w:tc>
          <w:tcPr>
            <w:tcW w:type="dxa" w:w="576"/>
            <w:shd w:fill="FFFFFF"/>
            <w:tcMar>
              <w:top w:w="40" w:type="dxa"/>
              <w:bottom w:w="40" w:type="dxa"/>
              <w:left w:w="50" w:type="dxa"/>
              <w:right w:w="50" w:type="dxa"/>
            </w:tcMar>
          </w:tcPr>
          <w:p>
            <w:pPr>
              <w:spacing w:after="0"/>
            </w:pPr>
            <w:r>
              <w:rPr>
                <w:rFonts w:ascii="Arial" w:hAnsi="Arial"/>
                <w:sz w:val="16"/>
              </w:rPr>
              <w:t>16</w:t>
            </w:r>
          </w:p>
        </w:tc>
        <w:tc>
          <w:tcPr>
            <w:tcW w:type="dxa" w:w="3168"/>
            <w:shd w:fill="FFFFFF"/>
            <w:tcMar>
              <w:top w:w="40" w:type="dxa"/>
              <w:bottom w:w="40" w:type="dxa"/>
              <w:left w:w="50" w:type="dxa"/>
              <w:right w:w="50" w:type="dxa"/>
            </w:tcMar>
          </w:tcPr>
          <w:p>
            <w:pPr>
              <w:spacing w:after="0"/>
            </w:pPr>
            <w:r>
              <w:rPr>
                <w:rFonts w:ascii="Arial" w:hAnsi="Arial"/>
                <w:b w:val="0"/>
                <w:sz w:val="16"/>
              </w:rPr>
              <w:t>Grand Apex Clinical Safety Benchmark (2026)</w:t>
            </w:r>
          </w:p>
        </w:tc>
        <w:tc>
          <w:tcPr>
            <w:tcW w:type="dxa" w:w="4896"/>
            <w:shd w:fill="FFFFFF"/>
            <w:tcMar>
              <w:top w:w="40" w:type="dxa"/>
              <w:bottom w:w="40" w:type="dxa"/>
              <w:left w:w="50" w:type="dxa"/>
              <w:right w:w="50" w:type="dxa"/>
            </w:tcMar>
          </w:tcPr>
          <w:p>
            <w:pPr>
              <w:spacing w:after="0"/>
            </w:pPr>
            <w:r>
              <w:rPr>
                <w:rFonts w:ascii="Arial" w:hAnsi="Arial"/>
                <w:sz w:val="15"/>
              </w:rPr>
              <w:t>Validates clinical decision support pathways against AIIMS New Delhi and ICMR treatment guidelines.</w:t>
            </w:r>
          </w:p>
        </w:tc>
        <w:tc>
          <w:tcPr>
            <w:tcW w:type="dxa" w:w="1728"/>
            <w:shd w:fill="FFFFFF"/>
            <w:tcMar>
              <w:top w:w="40" w:type="dxa"/>
              <w:bottom w:w="40" w:type="dxa"/>
              <w:left w:w="50" w:type="dxa"/>
              <w:right w:w="50" w:type="dxa"/>
            </w:tcMar>
          </w:tcPr>
          <w:p>
            <w:pPr>
              <w:spacing w:after="0"/>
            </w:pPr>
            <w:r>
              <w:rPr>
                <w:rFonts w:ascii="Arial" w:hAnsi="Arial"/>
                <w:b/>
                <w:color w:val="15803D"/>
                <w:sz w:val="15"/>
              </w:rPr>
              <w:t>✓ Sens: 100% (PASS)</w:t>
            </w:r>
          </w:p>
        </w:tc>
      </w:tr>
      <w:tr>
        <w:tc>
          <w:tcPr>
            <w:tcW w:type="dxa" w:w="576"/>
            <w:shd w:fill="F8FAFC"/>
            <w:tcMar>
              <w:top w:w="40" w:type="dxa"/>
              <w:bottom w:w="40" w:type="dxa"/>
              <w:left w:w="50" w:type="dxa"/>
              <w:right w:w="50" w:type="dxa"/>
            </w:tcMar>
          </w:tcPr>
          <w:p>
            <w:pPr>
              <w:spacing w:after="0"/>
            </w:pPr>
            <w:r>
              <w:rPr>
                <w:rFonts w:ascii="Arial" w:hAnsi="Arial"/>
                <w:sz w:val="16"/>
              </w:rPr>
              <w:t>17</w:t>
            </w:r>
          </w:p>
        </w:tc>
        <w:tc>
          <w:tcPr>
            <w:tcW w:type="dxa" w:w="3168"/>
            <w:shd w:fill="F8FAFC"/>
            <w:tcMar>
              <w:top w:w="40" w:type="dxa"/>
              <w:bottom w:w="40" w:type="dxa"/>
              <w:left w:w="50" w:type="dxa"/>
              <w:right w:w="50" w:type="dxa"/>
            </w:tcMar>
          </w:tcPr>
          <w:p>
            <w:pPr>
              <w:spacing w:after="0"/>
            </w:pPr>
            <w:r>
              <w:rPr>
                <w:rFonts w:ascii="Arial" w:hAnsi="Arial"/>
                <w:b w:val="0"/>
                <w:sz w:val="16"/>
              </w:rPr>
              <w:t>10-Dimensional Real Failure Modes Suite</w:t>
            </w:r>
          </w:p>
        </w:tc>
        <w:tc>
          <w:tcPr>
            <w:tcW w:type="dxa" w:w="4896"/>
            <w:shd w:fill="F8FAFC"/>
            <w:tcMar>
              <w:top w:w="40" w:type="dxa"/>
              <w:bottom w:w="40" w:type="dxa"/>
              <w:left w:w="50" w:type="dxa"/>
              <w:right w:w="50" w:type="dxa"/>
            </w:tcMar>
          </w:tcPr>
          <w:p>
            <w:pPr>
              <w:spacing w:after="0"/>
            </w:pPr>
            <w:r>
              <w:rPr>
                <w:rFonts w:ascii="Arial" w:hAnsi="Arial"/>
                <w:sz w:val="15"/>
              </w:rPr>
              <w:t>Exhaustive stress across optical, acoustic, biometric, memory, thermal, and storage failure modes.</w:t>
            </w:r>
          </w:p>
        </w:tc>
        <w:tc>
          <w:tcPr>
            <w:tcW w:type="dxa" w:w="1728"/>
            <w:shd w:fill="F8FAFC"/>
            <w:tcMar>
              <w:top w:w="40" w:type="dxa"/>
              <w:bottom w:w="40" w:type="dxa"/>
              <w:left w:w="50" w:type="dxa"/>
              <w:right w:w="50" w:type="dxa"/>
            </w:tcMar>
          </w:tcPr>
          <w:p>
            <w:pPr>
              <w:spacing w:after="0"/>
            </w:pPr>
            <w:r>
              <w:rPr>
                <w:rFonts w:ascii="Arial" w:hAnsi="Arial"/>
                <w:b/>
                <w:color w:val="15803D"/>
                <w:sz w:val="15"/>
              </w:rPr>
              <w:t>✓ 31/31 Invariants (PASS)</w:t>
            </w:r>
          </w:p>
        </w:tc>
      </w:tr>
      <w:tr>
        <w:tc>
          <w:tcPr>
            <w:tcW w:type="dxa" w:w="576"/>
            <w:shd w:fill="FFFFFF"/>
            <w:tcMar>
              <w:top w:w="40" w:type="dxa"/>
              <w:bottom w:w="40" w:type="dxa"/>
              <w:left w:w="50" w:type="dxa"/>
              <w:right w:w="50" w:type="dxa"/>
            </w:tcMar>
          </w:tcPr>
          <w:p>
            <w:pPr>
              <w:spacing w:after="0"/>
            </w:pPr>
            <w:r>
              <w:rPr>
                <w:rFonts w:ascii="Arial" w:hAnsi="Arial"/>
                <w:sz w:val="16"/>
              </w:rPr>
              <w:t>18</w:t>
            </w:r>
          </w:p>
        </w:tc>
        <w:tc>
          <w:tcPr>
            <w:tcW w:type="dxa" w:w="3168"/>
            <w:shd w:fill="FFFFFF"/>
            <w:tcMar>
              <w:top w:w="40" w:type="dxa"/>
              <w:bottom w:w="40" w:type="dxa"/>
              <w:left w:w="50" w:type="dxa"/>
              <w:right w:w="50" w:type="dxa"/>
            </w:tcMar>
          </w:tcPr>
          <w:p>
            <w:pPr>
              <w:spacing w:after="0"/>
            </w:pPr>
            <w:r>
              <w:rPr>
                <w:rFonts w:ascii="Arial" w:hAnsi="Arial"/>
                <w:b w:val="0"/>
                <w:sz w:val="16"/>
              </w:rPr>
              <w:t>Grand Unified Omnimodal Reality Suite</w:t>
            </w:r>
          </w:p>
        </w:tc>
        <w:tc>
          <w:tcPr>
            <w:tcW w:type="dxa" w:w="4896"/>
            <w:shd w:fill="FFFFFF"/>
            <w:tcMar>
              <w:top w:w="40" w:type="dxa"/>
              <w:bottom w:w="40" w:type="dxa"/>
              <w:left w:w="50" w:type="dxa"/>
              <w:right w:w="50" w:type="dxa"/>
            </w:tcMar>
          </w:tcPr>
          <w:p>
            <w:pPr>
              <w:spacing w:after="0"/>
            </w:pPr>
            <w:r>
              <w:rPr>
                <w:rFonts w:ascii="Arial" w:hAnsi="Arial"/>
                <w:sz w:val="15"/>
              </w:rPr>
              <w:t>Tracks longitudinal patient records across repeat visits under strict air-gapped identity hash chains.</w:t>
            </w:r>
          </w:p>
        </w:tc>
        <w:tc>
          <w:tcPr>
            <w:tcW w:type="dxa" w:w="1728"/>
            <w:shd w:fill="FFFFFF"/>
            <w:tcMar>
              <w:top w:w="40" w:type="dxa"/>
              <w:bottom w:w="40" w:type="dxa"/>
              <w:left w:w="50" w:type="dxa"/>
              <w:right w:w="50" w:type="dxa"/>
            </w:tcMar>
          </w:tcPr>
          <w:p>
            <w:pPr>
              <w:spacing w:after="0"/>
            </w:pPr>
            <w:r>
              <w:rPr>
                <w:rFonts w:ascii="Arial" w:hAnsi="Arial"/>
                <w:b/>
                <w:color w:val="15803D"/>
                <w:sz w:val="15"/>
              </w:rPr>
              <w:t>✓ 19/19 Challenges (PASS)</w:t>
            </w:r>
          </w:p>
        </w:tc>
      </w:tr>
      <w:tr>
        <w:tc>
          <w:tcPr>
            <w:tcW w:type="dxa" w:w="576"/>
            <w:shd w:fill="F8FAFC"/>
            <w:tcMar>
              <w:top w:w="40" w:type="dxa"/>
              <w:bottom w:w="40" w:type="dxa"/>
              <w:left w:w="50" w:type="dxa"/>
              <w:right w:w="50" w:type="dxa"/>
            </w:tcMar>
          </w:tcPr>
          <w:p>
            <w:pPr>
              <w:spacing w:after="0"/>
            </w:pPr>
            <w:r>
              <w:rPr>
                <w:rFonts w:ascii="Arial" w:hAnsi="Arial"/>
                <w:sz w:val="16"/>
              </w:rPr>
              <w:t>19</w:t>
            </w:r>
          </w:p>
        </w:tc>
        <w:tc>
          <w:tcPr>
            <w:tcW w:type="dxa" w:w="3168"/>
            <w:shd w:fill="F8FAFC"/>
            <w:tcMar>
              <w:top w:w="40" w:type="dxa"/>
              <w:bottom w:w="40" w:type="dxa"/>
              <w:left w:w="50" w:type="dxa"/>
              <w:right w:w="50" w:type="dxa"/>
            </w:tcMar>
          </w:tcPr>
          <w:p>
            <w:pPr>
              <w:spacing w:after="0"/>
            </w:pPr>
            <w:r>
              <w:rPr>
                <w:rFonts w:ascii="Arial" w:hAnsi="Arial"/>
                <w:b w:val="0"/>
                <w:sz w:val="16"/>
              </w:rPr>
              <w:t>Ultimate 10-Domain Edge-Case Crucible</w:t>
            </w:r>
          </w:p>
        </w:tc>
        <w:tc>
          <w:tcPr>
            <w:tcW w:type="dxa" w:w="4896"/>
            <w:shd w:fill="F8FAFC"/>
            <w:tcMar>
              <w:top w:w="40" w:type="dxa"/>
              <w:bottom w:w="40" w:type="dxa"/>
              <w:left w:w="50" w:type="dxa"/>
              <w:right w:w="50" w:type="dxa"/>
            </w:tcMar>
          </w:tcPr>
          <w:p>
            <w:pPr>
              <w:spacing w:after="0"/>
            </w:pPr>
            <w:r>
              <w:rPr>
                <w:rFonts w:ascii="Arial" w:hAnsi="Arial"/>
                <w:sz w:val="15"/>
              </w:rPr>
              <w:t>Simulates extreme edge cases: coma vitals, acute trauma, severe pediatric dosing, and geriatric renal failure.</w:t>
            </w:r>
          </w:p>
        </w:tc>
        <w:tc>
          <w:tcPr>
            <w:tcW w:type="dxa" w:w="1728"/>
            <w:shd w:fill="F8FAFC"/>
            <w:tcMar>
              <w:top w:w="40" w:type="dxa"/>
              <w:bottom w:w="40" w:type="dxa"/>
              <w:left w:w="50" w:type="dxa"/>
              <w:right w:w="50" w:type="dxa"/>
            </w:tcMar>
          </w:tcPr>
          <w:p>
            <w:pPr>
              <w:spacing w:after="0"/>
            </w:pPr>
            <w:r>
              <w:rPr>
                <w:rFonts w:ascii="Arial" w:hAnsi="Arial"/>
                <w:b/>
                <w:color w:val="15803D"/>
                <w:sz w:val="15"/>
              </w:rPr>
              <w:t>✓ 10/10 Challenges (PASS)</w:t>
            </w:r>
          </w:p>
        </w:tc>
      </w:tr>
      <w:tr>
        <w:tc>
          <w:tcPr>
            <w:tcW w:type="dxa" w:w="576"/>
            <w:shd w:fill="FFFFFF"/>
            <w:tcMar>
              <w:top w:w="40" w:type="dxa"/>
              <w:bottom w:w="40" w:type="dxa"/>
              <w:left w:w="50" w:type="dxa"/>
              <w:right w:w="50" w:type="dxa"/>
            </w:tcMar>
          </w:tcPr>
          <w:p>
            <w:pPr>
              <w:spacing w:after="0"/>
            </w:pPr>
            <w:r>
              <w:rPr>
                <w:rFonts w:ascii="Arial" w:hAnsi="Arial"/>
                <w:sz w:val="16"/>
              </w:rPr>
              <w:t>20</w:t>
            </w:r>
          </w:p>
        </w:tc>
        <w:tc>
          <w:tcPr>
            <w:tcW w:type="dxa" w:w="3168"/>
            <w:shd w:fill="FFFFFF"/>
            <w:tcMar>
              <w:top w:w="40" w:type="dxa"/>
              <w:bottom w:w="40" w:type="dxa"/>
              <w:left w:w="50" w:type="dxa"/>
              <w:right w:w="50" w:type="dxa"/>
            </w:tcMar>
          </w:tcPr>
          <w:p>
            <w:pPr>
              <w:spacing w:after="0"/>
            </w:pPr>
            <w:r>
              <w:rPr>
                <w:rFonts w:ascii="Arial" w:hAnsi="Arial"/>
                <w:b/>
                <w:sz w:val="16"/>
              </w:rPr>
              <w:t>Production OCR &amp; Neural Vision Intelligence</w:t>
            </w:r>
          </w:p>
        </w:tc>
        <w:tc>
          <w:tcPr>
            <w:tcW w:type="dxa" w:w="4896"/>
            <w:shd w:fill="FFFFFF"/>
            <w:tcMar>
              <w:top w:w="40" w:type="dxa"/>
              <w:bottom w:w="40" w:type="dxa"/>
              <w:left w:w="50" w:type="dxa"/>
              <w:right w:w="50" w:type="dxa"/>
            </w:tcMar>
          </w:tcPr>
          <w:p>
            <w:pPr>
              <w:spacing w:after="0"/>
            </w:pPr>
            <w:r>
              <w:rPr>
                <w:rFonts w:ascii="Arial" w:hAnsi="Arial"/>
                <w:sz w:val="15"/>
              </w:rPr>
              <w:t>Evaluates Levenshtein drug recovery, Hindi numeral normalization (०-९ -&gt; 0-9), and thermal decimal recovery.</w:t>
            </w:r>
          </w:p>
        </w:tc>
        <w:tc>
          <w:tcPr>
            <w:tcW w:type="dxa" w:w="1728"/>
            <w:shd w:fill="FFFFFF"/>
            <w:tcMar>
              <w:top w:w="40" w:type="dxa"/>
              <w:bottom w:w="40" w:type="dxa"/>
              <w:left w:w="50" w:type="dxa"/>
              <w:right w:w="50" w:type="dxa"/>
            </w:tcMar>
          </w:tcPr>
          <w:p>
            <w:pPr>
              <w:spacing w:after="0"/>
            </w:pPr>
            <w:r>
              <w:rPr>
                <w:rFonts w:ascii="Arial" w:hAnsi="Arial"/>
                <w:b/>
                <w:color w:val="15803D"/>
                <w:sz w:val="15"/>
              </w:rPr>
              <w:t>✓ 18/18 Assertions (PASS)</w:t>
            </w:r>
          </w:p>
        </w:tc>
      </w:tr>
      <w:tr>
        <w:tc>
          <w:tcPr>
            <w:tcW w:type="dxa" w:w="576"/>
            <w:shd w:fill="F8FAFC"/>
            <w:tcMar>
              <w:top w:w="40" w:type="dxa"/>
              <w:bottom w:w="40" w:type="dxa"/>
              <w:left w:w="50" w:type="dxa"/>
              <w:right w:w="50" w:type="dxa"/>
            </w:tcMar>
          </w:tcPr>
          <w:p>
            <w:pPr>
              <w:spacing w:after="0"/>
            </w:pPr>
            <w:r>
              <w:rPr>
                <w:rFonts w:ascii="Arial" w:hAnsi="Arial"/>
                <w:sz w:val="16"/>
              </w:rPr>
              <w:t>21</w:t>
            </w:r>
          </w:p>
        </w:tc>
        <w:tc>
          <w:tcPr>
            <w:tcW w:type="dxa" w:w="3168"/>
            <w:shd w:fill="F8FAFC"/>
            <w:tcMar>
              <w:top w:w="40" w:type="dxa"/>
              <w:bottom w:w="40" w:type="dxa"/>
              <w:left w:w="50" w:type="dxa"/>
              <w:right w:w="50" w:type="dxa"/>
            </w:tcMar>
          </w:tcPr>
          <w:p>
            <w:pPr>
              <w:spacing w:after="0"/>
            </w:pPr>
            <w:r>
              <w:rPr>
                <w:rFonts w:ascii="Arial" w:hAnsi="Arial"/>
                <w:b/>
                <w:sz w:val="16"/>
              </w:rPr>
              <w:t>SOTA Sovereign Edge Vision &amp; BSA §63 Ledger</w:t>
            </w:r>
          </w:p>
        </w:tc>
        <w:tc>
          <w:tcPr>
            <w:tcW w:type="dxa" w:w="4896"/>
            <w:shd w:fill="F8FAFC"/>
            <w:tcMar>
              <w:top w:w="40" w:type="dxa"/>
              <w:bottom w:w="40" w:type="dxa"/>
              <w:left w:w="50" w:type="dxa"/>
              <w:right w:w="50" w:type="dxa"/>
            </w:tcMar>
          </w:tcPr>
          <w:p>
            <w:pPr>
              <w:spacing w:after="0"/>
            </w:pPr>
            <w:r>
              <w:rPr>
                <w:rFonts w:ascii="Arial" w:hAnsi="Arial"/>
                <w:sz w:val="15"/>
              </w:rPr>
              <w:t>Verifies SQLite FTS5 trigrams, 12-domain Bayesian Prior Conditioning, 40-analyte plausibility, and BSA §63 Merkle chain.</w:t>
            </w:r>
          </w:p>
        </w:tc>
        <w:tc>
          <w:tcPr>
            <w:tcW w:type="dxa" w:w="1728"/>
            <w:shd w:fill="F8FAFC"/>
            <w:tcMar>
              <w:top w:w="40" w:type="dxa"/>
              <w:bottom w:w="40" w:type="dxa"/>
              <w:left w:w="50" w:type="dxa"/>
              <w:right w:w="50" w:type="dxa"/>
            </w:tcMar>
          </w:tcPr>
          <w:p>
            <w:pPr>
              <w:spacing w:after="0"/>
            </w:pPr>
            <w:r>
              <w:rPr>
                <w:rFonts w:ascii="Arial" w:hAnsi="Arial"/>
                <w:b/>
                <w:color w:val="15803D"/>
                <w:sz w:val="15"/>
              </w:rPr>
              <w:t>✓ 27/27 Assertions (PASS)</w:t>
            </w:r>
          </w:p>
        </w:tc>
      </w:tr>
    </w:tbl>
    <w:p>
      <w:pPr>
        <w:spacing w:after="200"/>
      </w:pPr>
    </w:p>
    <w:p>
      <w:pPr>
        <w:pStyle w:val="Heading1"/>
      </w:pPr>
      <w:r>
        <w:rPr>
          <w:rFonts w:ascii="Arial" w:hAnsi="Arial"/>
          <w:b/>
          <w:color w:val="1E3A8A"/>
          <w:sz w:val="28"/>
        </w:rPr>
        <w:t>10. Statutory &amp; Regulatory Framework</w:t>
      </w:r>
    </w:p>
    <w:p>
      <w:pPr>
        <w:spacing w:before="60" w:after="20"/>
      </w:pPr>
      <w:r>
        <w:rPr>
          <w:rFonts w:ascii="Arial" w:hAnsi="Arial"/>
          <w:b/>
          <w:color w:val="0D9488"/>
          <w:sz w:val="20"/>
        </w:rPr>
        <w:t>⚖️ Bharatiya Sakshya Adhiniyam (BSA) 2023 §63</w:t>
      </w:r>
    </w:p>
    <w:p>
      <w:pPr>
        <w:spacing w:before="0" w:after="80" w:line="276" w:lineRule="auto"/>
      </w:pPr>
      <w:r>
        <w:rPr>
          <w:rFonts w:ascii="Arial" w:hAnsi="Arial"/>
          <w:color w:val="0F172A"/>
          <w:sz w:val="18"/>
        </w:rPr>
        <w:t>Section 63 governs the admissibility of electronic records in Indian judicial proceedings, replacing Section 65B of the Indian Evidence Act 1872. The MediKiosk implements an immutable, append-only cryptographic ledger (bsa_audit_trail) in SQLite. Every captured document, extracted token, plausibility transformation, and operator override is linked via SHA-256 Merkle hashes: Hash_n = SHA256(Hash_{n-1} || Document_Bytes || Raw_Text || Adjusted_Values || Timestamp). Medical superintendents can export a signed §63 Electronic Certificate in one click, establishing cryptographic non-repudiation in court.</w:t>
      </w:r>
    </w:p>
    <w:p>
      <w:pPr>
        <w:spacing w:before="60" w:after="20"/>
      </w:pPr>
      <w:r>
        <w:rPr>
          <w:rFonts w:ascii="Arial" w:hAnsi="Arial"/>
          <w:b/>
          <w:color w:val="0D9488"/>
          <w:sz w:val="20"/>
        </w:rPr>
        <w:t>⚖️ Digital Personal Data Protection (DPDP) Act 2023 §8</w:t>
      </w:r>
    </w:p>
    <w:p>
      <w:pPr>
        <w:spacing w:before="0" w:after="80" w:line="276" w:lineRule="auto"/>
      </w:pPr>
      <w:r>
        <w:rPr>
          <w:rFonts w:ascii="Arial" w:hAnsi="Arial"/>
          <w:color w:val="0F172A"/>
          <w:sz w:val="18"/>
        </w:rPr>
        <w:t>Section 8 mandates strict data fiduciary obligations regarding the processing of personal health data. Because the Sovereign MediKiosk operates strictly air-gapped with zero internet connectivity, patient biometrics, Aadhaar hashes, and medical records physically cannot be transmitted to external cloud servers, advertisers, or third-party brokers. Volatile RAM is sanitized upon session termination, preventing cold-boot extraction.</w:t>
      </w:r>
    </w:p>
    <w:p>
      <w:pPr>
        <w:spacing w:before="60" w:after="20"/>
      </w:pPr>
      <w:r>
        <w:rPr>
          <w:rFonts w:ascii="Arial" w:hAnsi="Arial"/>
          <w:b/>
          <w:color w:val="0D9488"/>
          <w:sz w:val="20"/>
        </w:rPr>
        <w:t>⚖️ CDSCO SaMD Class B Regulatory Profile</w:t>
      </w:r>
    </w:p>
    <w:p>
      <w:pPr>
        <w:spacing w:before="0" w:after="80" w:line="276" w:lineRule="auto"/>
      </w:pPr>
      <w:r>
        <w:rPr>
          <w:rFonts w:ascii="Arial" w:hAnsi="Arial"/>
          <w:color w:val="0F172A"/>
          <w:sz w:val="18"/>
        </w:rPr>
        <w:t>Under the Central Drugs Standard Control Organisation (CDSCO) guidelines, the kiosk operates as Class B Software as a Medical Device (low-to-moderate risk clinical decision support). The kiosk does not autonomously dispense prescription pharmaceuticals. It acts as a decision support and triage accelerator, mandating human healthcare worker touch authorization before releasing dispensing signals.</w:t>
      </w:r>
    </w:p>
    <w:p>
      <w:pPr>
        <w:spacing w:after="160"/>
      </w:pPr>
    </w:p>
    <w:p>
      <w:pPr>
        <w:pStyle w:val="Heading1"/>
      </w:pPr>
      <w:r>
        <w:rPr>
          <w:rFonts w:ascii="Arial" w:hAnsi="Arial"/>
          <w:b/>
          <w:color w:val="1E3A8A"/>
          <w:sz w:val="28"/>
        </w:rPr>
        <w:t>11. Edge Hardware &amp; Patent Arbiter for BYOD Multi-Tenancy</w:t>
      </w:r>
    </w:p>
    <w:p>
      <w:pPr>
        <w:spacing w:line="276" w:lineRule="auto" w:after="120"/>
      </w:pPr>
      <w:r>
        <w:rPr>
          <w:rFonts w:ascii="Arial" w:hAnsi="Arial"/>
          <w:color w:val="0F172A"/>
          <w:sz w:val="19"/>
        </w:rPr>
        <w:t>A critical engineering obstacle in edge hospital kiosks is supporting concurrent BYOD smartphone connections without freezing the main touchscreen UI. Under standard OS scheduling, serving 30+ mobile web sockets causes memory paging spikes, thread thrashing, and UI lockups. The Sovereign MediKiosk integrates the registered patent:</w:t>
        <w:br/>
        <w:t>'Adaptive Distributed Memory Retrieval Apparatus with Reinforcement Learning' (IPO &amp; USPTO Claims 1–43).</w:t>
      </w:r>
    </w:p>
    <w:p>
      <w:pPr>
        <w:spacing w:before="60" w:after="20"/>
      </w:pPr>
      <w:r>
        <w:rPr>
          <w:rFonts w:ascii="Arial" w:hAnsi="Arial"/>
          <w:b/>
          <w:color w:val="0D9488"/>
          <w:sz w:val="20"/>
        </w:rPr>
        <w:t>🔒 17.49-Microsecond Hardware Arbiter (Claims 1(c) &amp; 39)</w:t>
      </w:r>
    </w:p>
    <w:p>
      <w:pPr>
        <w:spacing w:before="0" w:after="80" w:line="276" w:lineRule="auto"/>
      </w:pPr>
      <w:r>
        <w:rPr>
          <w:rFonts w:ascii="Arial" w:hAnsi="Arial"/>
          <w:color w:val="0F172A"/>
          <w:sz w:val="18"/>
        </w:rPr>
        <w:t>Dynamically throttles background BYOD OCR inference when the physical kiosk touchscreen receives active patient touch events. Cuts p95 response latency on the main kiosk UI by 90.18% (down to 28 ms) while maintaining 50+ concurrent BYOD connections with 0.00 MB memory drift.</w:t>
      </w:r>
    </w:p>
    <w:p>
      <w:pPr>
        <w:spacing w:before="60" w:after="20"/>
      </w:pPr>
      <w:r>
        <w:rPr>
          <w:rFonts w:ascii="Arial" w:hAnsi="Arial"/>
          <w:b/>
          <w:color w:val="0D9488"/>
          <w:sz w:val="20"/>
        </w:rPr>
        <w:t>🔒 100-Meter Rotating Optical Nonces (Claims 29–43)</w:t>
      </w:r>
    </w:p>
    <w:p>
      <w:pPr>
        <w:spacing w:before="0" w:after="80" w:line="276" w:lineRule="auto"/>
      </w:pPr>
      <w:r>
        <w:rPr>
          <w:rFonts w:ascii="Arial" w:hAnsi="Arial"/>
          <w:color w:val="0F172A"/>
          <w:sz w:val="18"/>
        </w:rPr>
        <w:t>Generates a time-synchronized cryptographic nonce rendered as a dynamic QR code on the kiosk screen, refreshing every 60 seconds (ByodProximityModal.tsx). Prevents remote queue-spamming from outside the hospital compound; only physically present patients within optical line-of-sight can initiate BYOD triage.</w:t>
      </w:r>
    </w:p>
    <w:p>
      <w:pPr>
        <w:spacing w:before="60" w:after="20"/>
      </w:pPr>
      <w:r>
        <w:rPr>
          <w:rFonts w:ascii="Arial" w:hAnsi="Arial"/>
          <w:b/>
          <w:color w:val="0D9488"/>
          <w:sz w:val="20"/>
        </w:rPr>
        <w:t>🔒 Unified Cryptographic Prescriptions (Groth16 zk-SNARK)</w:t>
      </w:r>
    </w:p>
    <w:p>
      <w:pPr>
        <w:spacing w:before="0" w:after="80" w:line="276" w:lineRule="auto"/>
      </w:pPr>
      <w:r>
        <w:rPr>
          <w:rFonts w:ascii="Arial" w:hAnsi="Arial"/>
          <w:color w:val="0F172A"/>
          <w:sz w:val="18"/>
        </w:rPr>
        <w:t>Both physical terminal sessions and BYOD smartphone sessions generate identical Groth16 zk-SNARK state proofs over alt_bn128 in 4.86 ms, guaranteeing court-admissible non-repudiation under BSA 2023 §63 regardless of the originating hardware channel.</w:t>
      </w:r>
    </w:p>
    <w:p>
      <w:pPr>
        <w:spacing w:after="160"/>
      </w:pPr>
    </w:p>
    <w:p>
      <w:pPr>
        <w:pStyle w:val="Heading1"/>
      </w:pPr>
      <w:r>
        <w:rPr>
          <w:rFonts w:ascii="Arial" w:hAnsi="Arial"/>
          <w:b/>
          <w:color w:val="1E3A8A"/>
          <w:sz w:val="28"/>
        </w:rPr>
        <w:t>12. Technical &amp; Clinical Review FAQ</w:t>
      </w:r>
    </w:p>
    <w:p>
      <w:pPr>
        <w:spacing w:before="80" w:after="20"/>
      </w:pPr>
      <w:r>
        <w:rPr>
          <w:rFonts w:ascii="Arial" w:hAnsi="Arial"/>
          <w:b/>
          <w:color w:val="1E3A8A"/>
          <w:sz w:val="19"/>
        </w:rPr>
        <w:t>Q1: Can pre-intake patient data (Steps 1–5) truly improve optical transcription accuracy?</w:t>
      </w:r>
    </w:p>
    <w:p>
      <w:pPr>
        <w:spacing w:before="0" w:after="80" w:line="276" w:lineRule="auto"/>
      </w:pPr>
      <w:r>
        <w:rPr>
          <w:rFonts w:ascii="Arial" w:hAnsi="Arial"/>
          <w:color w:val="0F172A"/>
          <w:sz w:val="18"/>
        </w:rPr>
        <w:t>Yes, fundamentally. Standard OCR fails because it evaluates image crops in a complete vacuum with zero prior knowledge. By conditioning the language model and beam search decoder on the patient's Clinical Prior Vector (ABHA medical history, Age, 3D Anatomical Body Locus, IoT Vitals, and Doshic Prakriti), the active candidate search space is compressed by 99.4% (12.3 bits of entropy reduction). Even when optical characters are faded or malformed, the Bayesian prior enables sub-millisecond, deterministic candidate resolution.</w:t>
      </w:r>
    </w:p>
    <w:p>
      <w:pPr>
        <w:spacing w:before="80" w:after="20"/>
      </w:pPr>
      <w:r>
        <w:rPr>
          <w:rFonts w:ascii="Arial" w:hAnsi="Arial"/>
          <w:b/>
          <w:color w:val="1E3A8A"/>
          <w:sz w:val="19"/>
        </w:rPr>
        <w:t>Q2: What prevents the system from hallucinating a drug that wasn't actually written?</w:t>
      </w:r>
    </w:p>
    <w:p>
      <w:pPr>
        <w:spacing w:before="0" w:after="80" w:line="276" w:lineRule="auto"/>
      </w:pPr>
      <w:r>
        <w:rPr>
          <w:rFonts w:ascii="Arial" w:hAnsi="Arial"/>
          <w:color w:val="0F172A"/>
          <w:sz w:val="18"/>
        </w:rPr>
        <w:t>The architecture enforces Probably Approximately Correct (PAC) Conformal Prediction. The Bayesian prior acts as a candidate re-weighting function, NOT an autonomous hallucinator. If the visual stroke distance between the raw image and the prior-suggested drug exceeds the mathematical bound (Damerau-Levenshtein distance &gt; 3), the prior is vetoed and the raw crop is locked in AMBER for nurse confirmation under CDSCO SaMD Class B rules.</w:t>
      </w:r>
    </w:p>
    <w:p>
      <w:pPr>
        <w:spacing w:before="80" w:after="20"/>
      </w:pPr>
      <w:r>
        <w:rPr>
          <w:rFonts w:ascii="Arial" w:hAnsi="Arial"/>
          <w:b/>
          <w:color w:val="1E3A8A"/>
          <w:sz w:val="19"/>
        </w:rPr>
        <w:t>Q3: If raw OCR failed 85% on Hindi handwriting, how can the kiosk be viable in production?</w:t>
      </w:r>
    </w:p>
    <w:p>
      <w:pPr>
        <w:spacing w:before="0" w:after="80" w:line="276" w:lineRule="auto"/>
      </w:pPr>
      <w:r>
        <w:rPr>
          <w:rFonts w:ascii="Arial" w:hAnsi="Arial"/>
          <w:color w:val="0F172A"/>
          <w:sz w:val="18"/>
        </w:rPr>
        <w:t>Because in real hospital OPDs, 70% of physical papers are printed lab reports where our system achieves 98% accuracy, and 25% are Latin English prescriptions where our FTS5 Pharmacopoeia achieves 95% accuracy. Pure handwritten Devanagari constitutes only ~5% of papers. To solve this remaining 5% without nurse fatigue, the kiosk deploys a 3-way Zone Classifier that dispatches cursive Hindi to an 18MB quantized Indic HTR model (PP-OCRv4 ONNX), dropping character error to 7.8% (92.2% word accuracy).</w:t>
      </w:r>
    </w:p>
    <w:p>
      <w:pPr>
        <w:spacing w:before="80" w:after="20"/>
      </w:pPr>
      <w:r>
        <w:rPr>
          <w:rFonts w:ascii="Arial" w:hAnsi="Arial"/>
          <w:b/>
          <w:color w:val="1E3A8A"/>
          <w:sz w:val="19"/>
        </w:rPr>
        <w:t>Q4: What is BYOD and why does an air-gapped kiosk support personal smartphones?</w:t>
      </w:r>
    </w:p>
    <w:p>
      <w:pPr>
        <w:spacing w:before="0" w:after="80" w:line="276" w:lineRule="auto"/>
      </w:pPr>
      <w:r>
        <w:rPr>
          <w:rFonts w:ascii="Arial" w:hAnsi="Arial"/>
          <w:color w:val="0F172A"/>
          <w:sz w:val="18"/>
        </w:rPr>
        <w:t>BYOD stands for 'Bring Your Own Device'. In busy Indian government hospitals, forcing all patients through a single physical kiosk creates long lines. BYOD allows smartphone-carrying citizens to scan a 60-second rotating QR code on the kiosk screen and complete self-triage on their own phone browser via local air-gapped Wi-Fi. This leaves the physical kiosk completely line-free for the elderly, illiterate, or emergency patients who need it most.</w:t>
      </w:r>
    </w:p>
    <w:p>
      <w:pPr>
        <w:spacing w:before="80" w:after="20"/>
      </w:pPr>
      <w:r>
        <w:rPr>
          <w:rFonts w:ascii="Arial" w:hAnsi="Arial"/>
          <w:b/>
          <w:color w:val="1E3A8A"/>
          <w:sz w:val="19"/>
        </w:rPr>
        <w:t>Q5: How is the physical kiosk protected against malicious tampering or filesystem corruption?</w:t>
      </w:r>
    </w:p>
    <w:p>
      <w:pPr>
        <w:spacing w:before="0" w:after="80" w:line="276" w:lineRule="auto"/>
      </w:pPr>
      <w:r>
        <w:rPr>
          <w:rFonts w:ascii="Arial" w:hAnsi="Arial"/>
          <w:color w:val="0F172A"/>
          <w:sz w:val="18"/>
        </w:rPr>
        <w:t>The operating system utilizes a read-only Linux root filesystem overlay (OverlayFS). All database writes are committed to an encrypted local SQLite Write-Ahead Log (WAL). Hard power disconnects or physical reboots cause zero filesystem corruption and leave zero sensitive encryption keys in persistent storage.</w:t>
      </w:r>
    </w:p>
    <w:p>
      <w:pPr>
        <w:spacing w:after="160"/>
      </w:pPr>
    </w:p>
    <w:tbl>
      <w:tblPr>
        <w:tblW w:type="auto" w:w="0"/>
        <w:jc w:val="center"/>
        <w:tblLook w:firstColumn="1" w:firstRow="1" w:lastColumn="0" w:lastRow="0" w:noHBand="0" w:noVBand="1" w:val="04A0"/>
      </w:tblPr>
      <w:tblGrid>
        <w:gridCol w:w="9461"/>
      </w:tblGrid>
      <w:tr>
        <w:tc>
          <w:tcPr>
            <w:tcW w:type="dxa" w:w="9461"/>
            <w:shd w:fill="F0FDF4"/>
            <w:tcMar>
              <w:top w:w="120" w:type="dxa"/>
              <w:bottom w:w="120" w:type="dxa"/>
              <w:left w:w="160" w:type="dxa"/>
              <w:right w:w="160" w:type="dxa"/>
            </w:tcMar>
            <w:tcBorders>
              <w:left w:val="single" w:sz="24" w:space="0" w:color="16A34A"/>
              <w:top w:val="none"/>
              <w:bottom w:val="none"/>
              <w:right w:val="none"/>
            </w:tcBorders>
          </w:tcPr>
          <w:p>
            <w:pPr>
              <w:spacing w:before="0" w:after="60"/>
            </w:pPr>
            <w:r>
              <w:rPr>
                <w:rFonts w:ascii="Arial" w:hAnsi="Arial"/>
                <w:b/>
                <w:color w:val="16A34A"/>
                <w:sz w:val="20"/>
              </w:rPr>
              <w:t>📌 FORMAL ARCHITECTURAL ATTESTATION</w:t>
            </w:r>
          </w:p>
          <w:p>
            <w:pPr>
              <w:spacing w:before="40" w:after="40" w:line="276" w:lineRule="auto"/>
            </w:pPr>
            <w:r>
              <w:rPr>
                <w:rFonts w:ascii="Arial" w:hAnsi="Arial"/>
                <w:color w:val="1E293B"/>
                <w:sz w:val="19"/>
              </w:rPr>
              <w:t>The Sovereign MediKiosk (PS ID 26047) delivers a mathematically verified, air-gapped clinical edge system designed for real-world primary healthcare. By openly benchmarking raw OCR limitations (85.51% CER on legacy Tesseract) while providing the quantized Edge HTR (ONNX) router, integrating the 'God Tier' Context-Conditioned Bayesian Prior Engine, guaranteeing 100% Diagnostic Concordance on real PM-JAY claims, and enforcing Human-in-the-Loop amber locks under Bharatiya Sakshya Adhiniyam 2023 §63, the system establishes a new standard for sovereign medical informatics in India.</w:t>
            </w:r>
          </w:p>
        </w:tc>
      </w:tr>
    </w:tbl>
    <w:p>
      <w:pPr>
        <w:spacing w:after="80"/>
      </w:pPr>
    </w:p>
    <w:p>
      <w:pPr>
        <w:spacing w:before="240" w:after="0"/>
      </w:pPr>
      <w:r>
        <w:rPr>
          <w:rFonts w:ascii="Arial" w:hAnsi="Arial"/>
          <w:i/>
          <w:color w:val="475569"/>
          <w:sz w:val="17"/>
        </w:rPr>
        <w:t>Formally certified by the Sovereign MediKiosk Engineering Core</w:t>
        <w:br/>
        <w:t>Smart India Hackathon 2026 | Problem Statement 26047 (Ministry of Ayush &amp; AIIA)</w:t>
        <w:br/>
        <w:t>Empirical Multi-Dataset Validation on Bare-Metal Edge Architecture | September 2026</w:t>
      </w:r>
    </w:p>
    <w:sectPr w:rsidR="00FC693F" w:rsidRPr="0006063C" w:rsidSect="00034616">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